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2F18" w14:textId="77777777" w:rsidR="00040C3A" w:rsidRPr="003C32BC" w:rsidRDefault="00C700CA" w:rsidP="001E4D7D">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53EFD36" wp14:editId="1C84E4F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C99D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" fillcolor="#67ae3c" stroked="f" strokeweight="2p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14FFA12" wp14:editId="64395C6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9CF1D" w14:textId="77777777" w:rsidR="00EC21F7" w:rsidRDefault="00EC21F7">
                            <w:r>
                              <w:rPr>
                                <w:noProof/>
                              </w:rPr>
                              <w:drawing>
                                <wp:inline distT="0" distB="0" distL="0" distR="0" wp14:anchorId="1B469767" wp14:editId="7E2B06A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FFA12"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" filled="f" stroked="f" strokeweight=".5pt">
                <v:textbox>
                  <w:txbxContent>
                    <w:p w14:paraId="5109CF1D" w14:textId="77777777" w:rsidR="00EC21F7" w:rsidRDefault="00EC21F7">
                      <w:r>
                        <w:rPr>
                          <w:noProof/>
                        </w:rPr>
                        <w:drawing>
                          <wp:inline distT="0" distB="0" distL="0" distR="0" wp14:anchorId="1B469767" wp14:editId="7E2B06A8">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E009990"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28100E1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AF96E0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DFF156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DE4EADB"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212B69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2F483D3" w14:textId="77777777" w:rsidR="00040C3A" w:rsidRPr="003C32BC" w:rsidRDefault="00C700CA" w:rsidP="005128E4">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079BC447" wp14:editId="01A9F059">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23DB7" w14:textId="77777777" w:rsidR="00EC21F7" w:rsidRDefault="00EC21F7" w:rsidP="004B7EB6">
                            <w:pPr>
                              <w:spacing w:line="276" w:lineRule="auto"/>
                              <w:rPr>
                                <w:rFonts w:asciiTheme="majorHAnsi" w:hAnsiTheme="majorHAnsi" w:cs="Arial"/>
                                <w:b/>
                                <w:bCs/>
                                <w:color w:val="0D0D0D" w:themeColor="text1" w:themeTint="F2"/>
                                <w:sz w:val="36"/>
                                <w:szCs w:val="40"/>
                              </w:rPr>
                            </w:pPr>
                          </w:p>
                          <w:p w14:paraId="46C66B93" w14:textId="77777777" w:rsidR="00EC21F7" w:rsidRDefault="00EC21F7" w:rsidP="004B7EB6">
                            <w:pPr>
                              <w:spacing w:line="276" w:lineRule="auto"/>
                              <w:rPr>
                                <w:rFonts w:asciiTheme="majorHAnsi" w:hAnsiTheme="majorHAnsi" w:cs="Arial"/>
                                <w:b/>
                                <w:bCs/>
                                <w:color w:val="0D0D0D" w:themeColor="text1" w:themeTint="F2"/>
                                <w:sz w:val="36"/>
                                <w:szCs w:val="40"/>
                              </w:rPr>
                            </w:pPr>
                          </w:p>
                          <w:p w14:paraId="4519C350" w14:textId="77777777" w:rsidR="00EC21F7" w:rsidRDefault="00EC21F7" w:rsidP="004B7EB6">
                            <w:pPr>
                              <w:spacing w:line="276" w:lineRule="auto"/>
                              <w:rPr>
                                <w:rFonts w:asciiTheme="majorHAnsi" w:hAnsiTheme="majorHAnsi" w:cs="Arial"/>
                                <w:b/>
                                <w:bCs/>
                                <w:color w:val="0D0D0D" w:themeColor="text1" w:themeTint="F2"/>
                                <w:sz w:val="36"/>
                                <w:szCs w:val="40"/>
                              </w:rPr>
                            </w:pPr>
                          </w:p>
                          <w:p w14:paraId="0866B6E6" w14:textId="77777777" w:rsidR="00EC21F7" w:rsidRDefault="00EC21F7" w:rsidP="004B7EB6">
                            <w:pPr>
                              <w:spacing w:line="276" w:lineRule="auto"/>
                              <w:rPr>
                                <w:rFonts w:asciiTheme="majorHAnsi" w:hAnsiTheme="majorHAnsi" w:cs="Arial"/>
                                <w:b/>
                                <w:bCs/>
                                <w:color w:val="0D0D0D" w:themeColor="text1" w:themeTint="F2"/>
                                <w:sz w:val="36"/>
                                <w:szCs w:val="40"/>
                              </w:rPr>
                            </w:pPr>
                          </w:p>
                          <w:p w14:paraId="67833912" w14:textId="66038916" w:rsidR="00EC21F7" w:rsidRPr="004B7EB6" w:rsidRDefault="00EC21F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B0DE9">
                              <w:rPr>
                                <w:rFonts w:asciiTheme="majorHAnsi" w:hAnsiTheme="majorHAnsi" w:cs="Arial"/>
                                <w:b/>
                                <w:bCs/>
                                <w:color w:val="0D0D0D" w:themeColor="text1" w:themeTint="F2"/>
                                <w:sz w:val="36"/>
                                <w:szCs w:val="40"/>
                              </w:rPr>
                              <w:t>455</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30314520" w14:textId="77777777" w:rsidR="00EC21F7" w:rsidRPr="004B7EB6" w:rsidRDefault="00EC21F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832</w:t>
                            </w:r>
                          </w:p>
                          <w:p w14:paraId="6D35B171" w14:textId="4E4F9FA9" w:rsidR="00EC21F7" w:rsidRPr="004B7EB6" w:rsidRDefault="00EC21F7"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Pr="008B0DE9">
                              <w:rPr>
                                <w:rFonts w:asciiTheme="majorHAnsi" w:hAnsiTheme="majorHAnsi" w:cs="Arial"/>
                                <w:color w:val="0D0D0D" w:themeColor="text1" w:themeTint="F2"/>
                                <w:szCs w:val="22"/>
                              </w:rPr>
                              <w:t>(</w:t>
                            </w:r>
                            <w:r w:rsidR="00626DFD" w:rsidRPr="008B0DE9">
                              <w:rPr>
                                <w:rFonts w:asciiTheme="majorHAnsi" w:hAnsiTheme="majorHAnsi" w:cs="Arial"/>
                                <w:color w:val="0D0D0D" w:themeColor="text1" w:themeTint="F2"/>
                                <w:szCs w:val="22"/>
                              </w:rPr>
                              <w:t>PUBLICATION</w:t>
                            </w:r>
                            <w:r w:rsidRPr="008B0DE9">
                              <w:rPr>
                                <w:rFonts w:asciiTheme="majorHAnsi" w:hAnsiTheme="majorHAnsi" w:cs="Arial"/>
                                <w:color w:val="0D0D0D" w:themeColor="text1" w:themeTint="F2"/>
                                <w:szCs w:val="22"/>
                              </w:rPr>
                              <w:t>)</w:t>
                            </w:r>
                          </w:p>
                          <w:p w14:paraId="3FE52D91" w14:textId="77777777" w:rsidR="00EC21F7" w:rsidRPr="004B7EB6" w:rsidRDefault="00EC21F7" w:rsidP="004B7EB6">
                            <w:pPr>
                              <w:spacing w:line="276" w:lineRule="auto"/>
                              <w:rPr>
                                <w:rFonts w:asciiTheme="majorHAnsi" w:hAnsiTheme="majorHAnsi" w:cs="Arial"/>
                                <w:color w:val="0D0D0D" w:themeColor="text1" w:themeTint="F2"/>
                                <w:szCs w:val="22"/>
                              </w:rPr>
                            </w:pPr>
                          </w:p>
                          <w:p w14:paraId="5611F4B5" w14:textId="77777777" w:rsidR="00EC21F7" w:rsidRDefault="00EC21F7" w:rsidP="00191F07">
                            <w:pPr>
                              <w:pStyle w:val="Body"/>
                              <w:suppressAutoHyphens/>
                              <w:rPr>
                                <w:rFonts w:ascii="Cambria" w:eastAsia="Cambria" w:hAnsi="Cambria" w:cs="Cambria"/>
                              </w:rPr>
                            </w:pPr>
                            <w:r>
                              <w:rPr>
                                <w:rFonts w:ascii="Cambria" w:eastAsia="Cambria" w:hAnsi="Cambria" w:cs="Cambria"/>
                              </w:rPr>
                              <w:t>GREGORY THOMPSON</w:t>
                            </w:r>
                          </w:p>
                          <w:p w14:paraId="09E5A637" w14:textId="77777777" w:rsidR="00EC21F7" w:rsidRDefault="00EC21F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4A263305" w14:textId="77777777" w:rsidR="00EC21F7" w:rsidRPr="00E57833" w:rsidRDefault="00EC21F7"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C447" id="_x0000_t202" coordsize="21600,21600" o:spt="202" path="m,l,21600r21600,l21600,xe">
                <v:stroke joinstyle="miter"/>
                <v:path gradientshapeok="t" o:connecttype="rect"/>
              </v:shapetype>
              <v:shape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" filled="f" stroked="f" strokeweight=".5pt">
                <v:textbox>
                  <w:txbxContent>
                    <w:p w14:paraId="50C23DB7" w14:textId="77777777" w:rsidR="00EC21F7" w:rsidRDefault="00EC21F7" w:rsidP="004B7EB6">
                      <w:pPr>
                        <w:spacing w:line="276" w:lineRule="auto"/>
                        <w:rPr>
                          <w:rFonts w:asciiTheme="majorHAnsi" w:hAnsiTheme="majorHAnsi" w:cs="Arial"/>
                          <w:b/>
                          <w:bCs/>
                          <w:color w:val="0D0D0D" w:themeColor="text1" w:themeTint="F2"/>
                          <w:sz w:val="36"/>
                          <w:szCs w:val="40"/>
                        </w:rPr>
                      </w:pPr>
                    </w:p>
                    <w:p w14:paraId="46C66B93" w14:textId="77777777" w:rsidR="00EC21F7" w:rsidRDefault="00EC21F7" w:rsidP="004B7EB6">
                      <w:pPr>
                        <w:spacing w:line="276" w:lineRule="auto"/>
                        <w:rPr>
                          <w:rFonts w:asciiTheme="majorHAnsi" w:hAnsiTheme="majorHAnsi" w:cs="Arial"/>
                          <w:b/>
                          <w:bCs/>
                          <w:color w:val="0D0D0D" w:themeColor="text1" w:themeTint="F2"/>
                          <w:sz w:val="36"/>
                          <w:szCs w:val="40"/>
                        </w:rPr>
                      </w:pPr>
                    </w:p>
                    <w:p w14:paraId="4519C350" w14:textId="77777777" w:rsidR="00EC21F7" w:rsidRDefault="00EC21F7" w:rsidP="004B7EB6">
                      <w:pPr>
                        <w:spacing w:line="276" w:lineRule="auto"/>
                        <w:rPr>
                          <w:rFonts w:asciiTheme="majorHAnsi" w:hAnsiTheme="majorHAnsi" w:cs="Arial"/>
                          <w:b/>
                          <w:bCs/>
                          <w:color w:val="0D0D0D" w:themeColor="text1" w:themeTint="F2"/>
                          <w:sz w:val="36"/>
                          <w:szCs w:val="40"/>
                        </w:rPr>
                      </w:pPr>
                    </w:p>
                    <w:p w14:paraId="0866B6E6" w14:textId="77777777" w:rsidR="00EC21F7" w:rsidRDefault="00EC21F7" w:rsidP="004B7EB6">
                      <w:pPr>
                        <w:spacing w:line="276" w:lineRule="auto"/>
                        <w:rPr>
                          <w:rFonts w:asciiTheme="majorHAnsi" w:hAnsiTheme="majorHAnsi" w:cs="Arial"/>
                          <w:b/>
                          <w:bCs/>
                          <w:color w:val="0D0D0D" w:themeColor="text1" w:themeTint="F2"/>
                          <w:sz w:val="36"/>
                          <w:szCs w:val="40"/>
                        </w:rPr>
                      </w:pPr>
                    </w:p>
                    <w:p w14:paraId="67833912" w14:textId="66038916" w:rsidR="00EC21F7" w:rsidRPr="004B7EB6" w:rsidRDefault="00EC21F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8B0DE9">
                        <w:rPr>
                          <w:rFonts w:asciiTheme="majorHAnsi" w:hAnsiTheme="majorHAnsi" w:cs="Arial"/>
                          <w:b/>
                          <w:bCs/>
                          <w:color w:val="0D0D0D" w:themeColor="text1" w:themeTint="F2"/>
                          <w:sz w:val="36"/>
                          <w:szCs w:val="40"/>
                        </w:rPr>
                        <w:t>455</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30314520" w14:textId="77777777" w:rsidR="00EC21F7" w:rsidRPr="004B7EB6" w:rsidRDefault="00EC21F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832</w:t>
                      </w:r>
                    </w:p>
                    <w:p w14:paraId="6D35B171" w14:textId="4E4F9FA9" w:rsidR="00EC21F7" w:rsidRPr="004B7EB6" w:rsidRDefault="00EC21F7"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sidRPr="008B0DE9">
                        <w:rPr>
                          <w:rFonts w:asciiTheme="majorHAnsi" w:hAnsiTheme="majorHAnsi" w:cs="Arial"/>
                          <w:color w:val="0D0D0D" w:themeColor="text1" w:themeTint="F2"/>
                          <w:szCs w:val="22"/>
                        </w:rPr>
                        <w:t>(</w:t>
                      </w:r>
                      <w:r w:rsidR="00626DFD" w:rsidRPr="008B0DE9">
                        <w:rPr>
                          <w:rFonts w:asciiTheme="majorHAnsi" w:hAnsiTheme="majorHAnsi" w:cs="Arial"/>
                          <w:color w:val="0D0D0D" w:themeColor="text1" w:themeTint="F2"/>
                          <w:szCs w:val="22"/>
                        </w:rPr>
                        <w:t>PUBLICATION</w:t>
                      </w:r>
                      <w:r w:rsidRPr="008B0DE9">
                        <w:rPr>
                          <w:rFonts w:asciiTheme="majorHAnsi" w:hAnsiTheme="majorHAnsi" w:cs="Arial"/>
                          <w:color w:val="0D0D0D" w:themeColor="text1" w:themeTint="F2"/>
                          <w:szCs w:val="22"/>
                        </w:rPr>
                        <w:t>)</w:t>
                      </w:r>
                    </w:p>
                    <w:p w14:paraId="3FE52D91" w14:textId="77777777" w:rsidR="00EC21F7" w:rsidRPr="004B7EB6" w:rsidRDefault="00EC21F7" w:rsidP="004B7EB6">
                      <w:pPr>
                        <w:spacing w:line="276" w:lineRule="auto"/>
                        <w:rPr>
                          <w:rFonts w:asciiTheme="majorHAnsi" w:hAnsiTheme="majorHAnsi" w:cs="Arial"/>
                          <w:color w:val="0D0D0D" w:themeColor="text1" w:themeTint="F2"/>
                          <w:szCs w:val="22"/>
                        </w:rPr>
                      </w:pPr>
                    </w:p>
                    <w:p w14:paraId="5611F4B5" w14:textId="77777777" w:rsidR="00EC21F7" w:rsidRDefault="00EC21F7" w:rsidP="00191F07">
                      <w:pPr>
                        <w:pStyle w:val="Body"/>
                        <w:suppressAutoHyphens/>
                        <w:rPr>
                          <w:rFonts w:ascii="Cambria" w:eastAsia="Cambria" w:hAnsi="Cambria" w:cs="Cambria"/>
                        </w:rPr>
                      </w:pPr>
                      <w:r>
                        <w:rPr>
                          <w:rFonts w:ascii="Cambria" w:eastAsia="Cambria" w:hAnsi="Cambria" w:cs="Cambria"/>
                        </w:rPr>
                        <w:t>GREGORY THOMPSON</w:t>
                      </w:r>
                    </w:p>
                    <w:p w14:paraId="09E5A637" w14:textId="77777777" w:rsidR="00EC21F7" w:rsidRDefault="00EC21F7"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14:paraId="4A263305" w14:textId="77777777" w:rsidR="00EC21F7" w:rsidRPr="00E57833" w:rsidRDefault="00EC21F7" w:rsidP="004B7EB6">
                      <w:pPr>
                        <w:spacing w:line="276" w:lineRule="auto"/>
                        <w:rPr>
                          <w:rFonts w:asciiTheme="majorHAnsi" w:hAnsiTheme="majorHAnsi"/>
                          <w:color w:val="0D0D0D" w:themeColor="text1" w:themeTint="F2"/>
                        </w:rPr>
                      </w:pPr>
                    </w:p>
                  </w:txbxContent>
                </v:textbox>
              </v:shape>
            </w:pict>
          </mc:Fallback>
        </mc:AlternateContent>
      </w:r>
    </w:p>
    <w:p w14:paraId="4971E08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0BED78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45F635C"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A7389E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D7F2A3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282F65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304AB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ECDF5" w14:textId="77777777" w:rsidR="00040C3A" w:rsidRPr="003C32BC" w:rsidRDefault="00C700CA"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D3AB63A" wp14:editId="706D8371">
                <wp:simplePos x="0" y="0"/>
                <wp:positionH relativeFrom="column">
                  <wp:posOffset>-370205</wp:posOffset>
                </wp:positionH>
                <wp:positionV relativeFrom="paragraph">
                  <wp:posOffset>43180</wp:posOffset>
                </wp:positionV>
                <wp:extent cx="1334135" cy="83502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5816E3" w14:textId="4328AD1D" w:rsidR="00EC21F7" w:rsidRPr="005F55DC" w:rsidRDefault="00EC21F7"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w:t>
                            </w:r>
                            <w:r>
                              <w:rPr>
                                <w:rFonts w:asciiTheme="minorHAnsi" w:hAnsiTheme="minorHAnsi"/>
                                <w:color w:val="FFFFFF" w:themeColor="background1"/>
                                <w:sz w:val="22"/>
                                <w:lang w:val="es-CO"/>
                              </w:rPr>
                              <w:t>/V/II</w:t>
                            </w:r>
                          </w:p>
                          <w:p w14:paraId="5072DF3A" w14:textId="1D95180F" w:rsidR="00EC21F7" w:rsidRPr="00171CD9" w:rsidRDefault="00EC21F7" w:rsidP="002C1641">
                            <w:pPr>
                              <w:jc w:val="right"/>
                              <w:rPr>
                                <w:rFonts w:asciiTheme="minorHAnsi" w:hAnsiTheme="minorHAnsi"/>
                                <w:color w:val="FFFFFF" w:themeColor="background1"/>
                                <w:sz w:val="22"/>
                                <w:lang w:val="es-US"/>
                              </w:rPr>
                            </w:pPr>
                            <w:r w:rsidRPr="00171CD9">
                              <w:rPr>
                                <w:rFonts w:asciiTheme="minorHAnsi" w:hAnsiTheme="minorHAnsi"/>
                                <w:color w:val="FFFFFF" w:themeColor="background1"/>
                                <w:sz w:val="22"/>
                                <w:lang w:val="es-US"/>
                              </w:rPr>
                              <w:t xml:space="preserve">Doc. </w:t>
                            </w:r>
                            <w:r w:rsidR="008B0DE9" w:rsidRPr="00171CD9">
                              <w:rPr>
                                <w:rFonts w:asciiTheme="minorHAnsi" w:hAnsiTheme="minorHAnsi"/>
                                <w:color w:val="FFFFFF" w:themeColor="background1"/>
                                <w:sz w:val="22"/>
                                <w:lang w:val="es-US"/>
                              </w:rPr>
                              <w:t>469</w:t>
                            </w:r>
                          </w:p>
                          <w:p w14:paraId="61EA88F6" w14:textId="785DA60C" w:rsidR="00EC21F7" w:rsidRPr="004B7EB6" w:rsidRDefault="00171CD9"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144493">
                              <w:rPr>
                                <w:rFonts w:asciiTheme="minorHAnsi" w:hAnsiTheme="minorHAnsi"/>
                                <w:color w:val="FFFFFF" w:themeColor="background1"/>
                                <w:sz w:val="22"/>
                              </w:rPr>
                              <w:t xml:space="preserve"> </w:t>
                            </w:r>
                            <w:r w:rsidR="00626DFD">
                              <w:rPr>
                                <w:rFonts w:asciiTheme="minorHAnsi" w:hAnsiTheme="minorHAnsi"/>
                                <w:color w:val="FFFFFF" w:themeColor="background1"/>
                                <w:sz w:val="22"/>
                              </w:rPr>
                              <w:t>Dec</w:t>
                            </w:r>
                            <w:r w:rsidR="00EC21F7">
                              <w:rPr>
                                <w:rFonts w:asciiTheme="minorHAnsi" w:hAnsiTheme="minorHAnsi"/>
                                <w:color w:val="FFFFFF" w:themeColor="background1"/>
                                <w:sz w:val="22"/>
                              </w:rPr>
                              <w:t>ember 2021</w:t>
                            </w:r>
                          </w:p>
                          <w:p w14:paraId="7D953DD9" w14:textId="77777777" w:rsidR="00EC21F7" w:rsidRPr="004B7EB6" w:rsidRDefault="00EC21F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AB63A" id="_x0000_t202" coordsize="21600,21600" o:spt="202" path="m,l,21600r21600,l21600,xe">
                <v:stroke joinstyle="miter"/>
                <v:path gradientshapeok="t" o:connecttype="rect"/>
              </v:shapetype>
              <v:shape id="Text Box 8" o:spid="_x0000_s1028" type="#_x0000_t202" style="position:absolute;left:0;text-align:left;margin-left:-29.15pt;margin-top:3.4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" filled="f" stroked="f" strokeweight=".5pt">
                <v:textbox>
                  <w:txbxContent>
                    <w:p w14:paraId="6A5816E3" w14:textId="4328AD1D" w:rsidR="00EC21F7" w:rsidRPr="005F55DC" w:rsidRDefault="00EC21F7" w:rsidP="002C1641">
                      <w:pPr>
                        <w:jc w:val="right"/>
                        <w:rPr>
                          <w:rFonts w:asciiTheme="minorHAnsi" w:hAnsiTheme="minorHAnsi"/>
                          <w:color w:val="FFFFFF" w:themeColor="background1"/>
                          <w:sz w:val="22"/>
                          <w:lang w:val="es-CO"/>
                        </w:rPr>
                      </w:pPr>
                      <w:r w:rsidRPr="005F55DC">
                        <w:rPr>
                          <w:rFonts w:asciiTheme="minorHAnsi" w:hAnsiTheme="minorHAnsi"/>
                          <w:color w:val="FFFFFF" w:themeColor="background1"/>
                          <w:sz w:val="22"/>
                          <w:lang w:val="es-CO"/>
                        </w:rPr>
                        <w:t>OEA/Ser.L</w:t>
                      </w:r>
                      <w:r>
                        <w:rPr>
                          <w:rFonts w:asciiTheme="minorHAnsi" w:hAnsiTheme="minorHAnsi"/>
                          <w:color w:val="FFFFFF" w:themeColor="background1"/>
                          <w:sz w:val="22"/>
                          <w:lang w:val="es-CO"/>
                        </w:rPr>
                        <w:t>/V/II</w:t>
                      </w:r>
                    </w:p>
                    <w:p w14:paraId="5072DF3A" w14:textId="1D95180F" w:rsidR="00EC21F7" w:rsidRPr="00171CD9" w:rsidRDefault="00EC21F7" w:rsidP="002C1641">
                      <w:pPr>
                        <w:jc w:val="right"/>
                        <w:rPr>
                          <w:rFonts w:asciiTheme="minorHAnsi" w:hAnsiTheme="minorHAnsi"/>
                          <w:color w:val="FFFFFF" w:themeColor="background1"/>
                          <w:sz w:val="22"/>
                          <w:lang w:val="es-US"/>
                        </w:rPr>
                      </w:pPr>
                      <w:r w:rsidRPr="00171CD9">
                        <w:rPr>
                          <w:rFonts w:asciiTheme="minorHAnsi" w:hAnsiTheme="minorHAnsi"/>
                          <w:color w:val="FFFFFF" w:themeColor="background1"/>
                          <w:sz w:val="22"/>
                          <w:lang w:val="es-US"/>
                        </w:rPr>
                        <w:t xml:space="preserve">Doc. </w:t>
                      </w:r>
                      <w:r w:rsidR="008B0DE9" w:rsidRPr="00171CD9">
                        <w:rPr>
                          <w:rFonts w:asciiTheme="minorHAnsi" w:hAnsiTheme="minorHAnsi"/>
                          <w:color w:val="FFFFFF" w:themeColor="background1"/>
                          <w:sz w:val="22"/>
                          <w:lang w:val="es-US"/>
                        </w:rPr>
                        <w:t>469</w:t>
                      </w:r>
                    </w:p>
                    <w:p w14:paraId="61EA88F6" w14:textId="785DA60C" w:rsidR="00EC21F7" w:rsidRPr="004B7EB6" w:rsidRDefault="00171CD9" w:rsidP="002C1641">
                      <w:pPr>
                        <w:jc w:val="right"/>
                        <w:rPr>
                          <w:rFonts w:asciiTheme="minorHAnsi" w:hAnsiTheme="minorHAnsi"/>
                          <w:color w:val="FFFFFF" w:themeColor="background1"/>
                          <w:sz w:val="22"/>
                        </w:rPr>
                      </w:pPr>
                      <w:r>
                        <w:rPr>
                          <w:rFonts w:asciiTheme="minorHAnsi" w:hAnsiTheme="minorHAnsi"/>
                          <w:color w:val="FFFFFF" w:themeColor="background1"/>
                          <w:sz w:val="22"/>
                        </w:rPr>
                        <w:t>31</w:t>
                      </w:r>
                      <w:r w:rsidR="00144493">
                        <w:rPr>
                          <w:rFonts w:asciiTheme="minorHAnsi" w:hAnsiTheme="minorHAnsi"/>
                          <w:color w:val="FFFFFF" w:themeColor="background1"/>
                          <w:sz w:val="22"/>
                        </w:rPr>
                        <w:t xml:space="preserve"> </w:t>
                      </w:r>
                      <w:r w:rsidR="00626DFD">
                        <w:rPr>
                          <w:rFonts w:asciiTheme="minorHAnsi" w:hAnsiTheme="minorHAnsi"/>
                          <w:color w:val="FFFFFF" w:themeColor="background1"/>
                          <w:sz w:val="22"/>
                        </w:rPr>
                        <w:t>Dec</w:t>
                      </w:r>
                      <w:r w:rsidR="00EC21F7">
                        <w:rPr>
                          <w:rFonts w:asciiTheme="minorHAnsi" w:hAnsiTheme="minorHAnsi"/>
                          <w:color w:val="FFFFFF" w:themeColor="background1"/>
                          <w:sz w:val="22"/>
                        </w:rPr>
                        <w:t>ember 2021</w:t>
                      </w:r>
                    </w:p>
                    <w:p w14:paraId="7D953DD9" w14:textId="77777777" w:rsidR="00EC21F7" w:rsidRPr="004B7EB6" w:rsidRDefault="00EC21F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14:paraId="551FFF6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796E71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2D40A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A16A0A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11D4FC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C89750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705C810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7CF264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0FCADA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89E2E5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65920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A10EF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3C8A29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312CB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319D51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10E71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07F24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B630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073DA5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B2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FC10A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CEC98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715F6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08DC2A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971E18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0E5D5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49F5E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C6C1D87" w14:textId="77777777" w:rsidR="002C1641" w:rsidRPr="003C32BC" w:rsidRDefault="002D0C9A"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5884FB" wp14:editId="42F25FA2">
                <wp:simplePos x="0" y="0"/>
                <wp:positionH relativeFrom="column">
                  <wp:posOffset>1228725</wp:posOffset>
                </wp:positionH>
                <wp:positionV relativeFrom="paragraph">
                  <wp:posOffset>2540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E5BD9" w14:textId="3502747C" w:rsidR="00EC21F7" w:rsidRDefault="00EC21F7"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26DFD">
                              <w:rPr>
                                <w:rFonts w:asciiTheme="majorHAnsi" w:hAnsiTheme="majorHAnsi"/>
                                <w:color w:val="0D0D0D" w:themeColor="text1" w:themeTint="F2"/>
                                <w:sz w:val="18"/>
                                <w:szCs w:val="20"/>
                              </w:rPr>
                              <w:t>Dec</w:t>
                            </w:r>
                            <w:r>
                              <w:rPr>
                                <w:rFonts w:asciiTheme="majorHAnsi" w:hAnsiTheme="majorHAnsi"/>
                                <w:color w:val="0D0D0D" w:themeColor="text1" w:themeTint="F2"/>
                                <w:sz w:val="18"/>
                                <w:szCs w:val="20"/>
                              </w:rPr>
                              <w:t xml:space="preserve">ember </w:t>
                            </w:r>
                            <w:r w:rsidR="008B0DE9">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171CD9">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84FB" id="Text Box 7" o:spid="_x0000_s1029" type="#_x0000_t202" style="position:absolute;left:0;text-align:left;margin-left:96.75pt;margin-top:.2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" filled="f" stroked="f" strokeweight=".5pt">
                <v:textbox>
                  <w:txbxContent>
                    <w:p w14:paraId="07FE5BD9" w14:textId="3502747C" w:rsidR="00EC21F7" w:rsidRDefault="00EC21F7"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626DFD">
                        <w:rPr>
                          <w:rFonts w:asciiTheme="majorHAnsi" w:hAnsiTheme="majorHAnsi"/>
                          <w:color w:val="0D0D0D" w:themeColor="text1" w:themeTint="F2"/>
                          <w:sz w:val="18"/>
                          <w:szCs w:val="20"/>
                        </w:rPr>
                        <w:t>Dec</w:t>
                      </w:r>
                      <w:r>
                        <w:rPr>
                          <w:rFonts w:asciiTheme="majorHAnsi" w:hAnsiTheme="majorHAnsi"/>
                          <w:color w:val="0D0D0D" w:themeColor="text1" w:themeTint="F2"/>
                          <w:sz w:val="18"/>
                          <w:szCs w:val="20"/>
                        </w:rPr>
                        <w:t xml:space="preserve">ember </w:t>
                      </w:r>
                      <w:r w:rsidR="008B0DE9">
                        <w:rPr>
                          <w:rFonts w:asciiTheme="majorHAnsi" w:hAnsiTheme="majorHAnsi"/>
                          <w:color w:val="0D0D0D" w:themeColor="text1" w:themeTint="F2"/>
                          <w:sz w:val="18"/>
                          <w:szCs w:val="20"/>
                        </w:rPr>
                        <w:t>31</w:t>
                      </w:r>
                      <w:r>
                        <w:rPr>
                          <w:rFonts w:asciiTheme="majorHAnsi" w:hAnsiTheme="majorHAnsi"/>
                          <w:color w:val="0D0D0D" w:themeColor="text1" w:themeTint="F2"/>
                          <w:sz w:val="18"/>
                          <w:szCs w:val="20"/>
                        </w:rPr>
                        <w:t>, 2021</w:t>
                      </w:r>
                      <w:r w:rsidR="00171CD9">
                        <w:rPr>
                          <w:rFonts w:asciiTheme="majorHAnsi" w:hAnsiTheme="majorHAnsi"/>
                          <w:color w:val="0D0D0D" w:themeColor="text1" w:themeTint="F2"/>
                          <w:sz w:val="18"/>
                          <w:szCs w:val="20"/>
                        </w:rPr>
                        <w:t>.</w:t>
                      </w:r>
                    </w:p>
                  </w:txbxContent>
                </v:textbox>
              </v:shape>
            </w:pict>
          </mc:Fallback>
        </mc:AlternateContent>
      </w:r>
    </w:p>
    <w:p w14:paraId="4AB57FC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F32CC4" w14:textId="77777777" w:rsidR="002C1641" w:rsidRPr="003C32BC" w:rsidRDefault="00C700CA"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674BAA82" wp14:editId="5CD9233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F9BC7" w14:textId="2E79B898" w:rsidR="00EC21F7" w:rsidRPr="003C32BC" w:rsidRDefault="00EC21F7"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B0DE9">
                              <w:rPr>
                                <w:rFonts w:asciiTheme="majorHAnsi" w:hAnsiTheme="majorHAnsi"/>
                                <w:color w:val="595959" w:themeColor="text1" w:themeTint="A6"/>
                                <w:sz w:val="18"/>
                              </w:rPr>
                              <w:t>455</w:t>
                            </w:r>
                            <w:r w:rsidRPr="00083E3C">
                              <w:rPr>
                                <w:rFonts w:asciiTheme="majorHAnsi" w:hAnsiTheme="majorHAnsi"/>
                                <w:color w:val="595959" w:themeColor="text1" w:themeTint="A6"/>
                                <w:sz w:val="18"/>
                              </w:rPr>
                              <w:t>/</w:t>
                            </w:r>
                            <w:r>
                              <w:rPr>
                                <w:rFonts w:asciiTheme="majorHAnsi" w:hAnsiTheme="majorHAnsi"/>
                                <w:color w:val="595959" w:themeColor="text1" w:themeTint="A6"/>
                                <w:sz w:val="18"/>
                              </w:rPr>
                              <w:t>21</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12.832</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8B0DE9">
                              <w:rPr>
                                <w:rFonts w:asciiTheme="majorHAnsi" w:hAnsiTheme="majorHAnsi"/>
                                <w:color w:val="595959" w:themeColor="text1" w:themeTint="A6"/>
                                <w:sz w:val="18"/>
                              </w:rPr>
                              <w:t>(</w:t>
                            </w:r>
                            <w:r w:rsidR="00626DFD" w:rsidRPr="008B0DE9">
                              <w:rPr>
                                <w:rFonts w:asciiTheme="majorHAnsi" w:hAnsiTheme="majorHAnsi"/>
                                <w:color w:val="595959" w:themeColor="text1" w:themeTint="A6"/>
                                <w:sz w:val="18"/>
                              </w:rPr>
                              <w:t>Publication</w:t>
                            </w:r>
                            <w:r w:rsidRPr="008B0DE9">
                              <w:rPr>
                                <w:rFonts w:asciiTheme="majorHAnsi" w:hAnsiTheme="majorHAnsi"/>
                                <w:color w:val="595959" w:themeColor="text1" w:themeTint="A6"/>
                                <w:sz w:val="18"/>
                              </w:rPr>
                              <w:t>).</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Gregory Thompson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sidR="00626DFD">
                              <w:rPr>
                                <w:rFonts w:asciiTheme="majorHAnsi" w:hAnsiTheme="majorHAnsi"/>
                                <w:color w:val="595959" w:themeColor="text1" w:themeTint="A6"/>
                                <w:sz w:val="18"/>
                              </w:rPr>
                              <w:t>Dec</w:t>
                            </w:r>
                            <w:r>
                              <w:rPr>
                                <w:rFonts w:asciiTheme="majorHAnsi" w:hAnsiTheme="majorHAnsi"/>
                                <w:color w:val="595959" w:themeColor="text1" w:themeTint="A6"/>
                                <w:sz w:val="18"/>
                              </w:rPr>
                              <w:t xml:space="preserve">ember </w:t>
                            </w:r>
                            <w:r w:rsidR="008B0DE9">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AA8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" filled="f" stroked="f" strokeweight=".5pt">
                <v:textbox>
                  <w:txbxContent>
                    <w:p w14:paraId="24FF9BC7" w14:textId="2E79B898" w:rsidR="00EC21F7" w:rsidRPr="003C32BC" w:rsidRDefault="00EC21F7"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8B0DE9">
                        <w:rPr>
                          <w:rFonts w:asciiTheme="majorHAnsi" w:hAnsiTheme="majorHAnsi"/>
                          <w:color w:val="595959" w:themeColor="text1" w:themeTint="A6"/>
                          <w:sz w:val="18"/>
                        </w:rPr>
                        <w:t>455</w:t>
                      </w:r>
                      <w:r w:rsidRPr="00083E3C">
                        <w:rPr>
                          <w:rFonts w:asciiTheme="majorHAnsi" w:hAnsiTheme="majorHAnsi"/>
                          <w:color w:val="595959" w:themeColor="text1" w:themeTint="A6"/>
                          <w:sz w:val="18"/>
                        </w:rPr>
                        <w:t>/</w:t>
                      </w:r>
                      <w:r>
                        <w:rPr>
                          <w:rFonts w:asciiTheme="majorHAnsi" w:hAnsiTheme="majorHAnsi"/>
                          <w:color w:val="595959" w:themeColor="text1" w:themeTint="A6"/>
                          <w:sz w:val="18"/>
                        </w:rPr>
                        <w:t>21</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12.832</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8B0DE9">
                        <w:rPr>
                          <w:rFonts w:asciiTheme="majorHAnsi" w:hAnsiTheme="majorHAnsi"/>
                          <w:color w:val="595959" w:themeColor="text1" w:themeTint="A6"/>
                          <w:sz w:val="18"/>
                        </w:rPr>
                        <w:t>(</w:t>
                      </w:r>
                      <w:r w:rsidR="00626DFD" w:rsidRPr="008B0DE9">
                        <w:rPr>
                          <w:rFonts w:asciiTheme="majorHAnsi" w:hAnsiTheme="majorHAnsi"/>
                          <w:color w:val="595959" w:themeColor="text1" w:themeTint="A6"/>
                          <w:sz w:val="18"/>
                        </w:rPr>
                        <w:t>Publication</w:t>
                      </w:r>
                      <w:r w:rsidRPr="008B0DE9">
                        <w:rPr>
                          <w:rFonts w:asciiTheme="majorHAnsi" w:hAnsiTheme="majorHAnsi"/>
                          <w:color w:val="595959" w:themeColor="text1" w:themeTint="A6"/>
                          <w:sz w:val="18"/>
                        </w:rPr>
                        <w:t>).</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Gregory Thompson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 xml:space="preserve"> </w:t>
                      </w:r>
                      <w:r w:rsidR="00626DFD">
                        <w:rPr>
                          <w:rFonts w:asciiTheme="majorHAnsi" w:hAnsiTheme="majorHAnsi"/>
                          <w:color w:val="595959" w:themeColor="text1" w:themeTint="A6"/>
                          <w:sz w:val="18"/>
                        </w:rPr>
                        <w:t>Dec</w:t>
                      </w:r>
                      <w:r>
                        <w:rPr>
                          <w:rFonts w:asciiTheme="majorHAnsi" w:hAnsiTheme="majorHAnsi"/>
                          <w:color w:val="595959" w:themeColor="text1" w:themeTint="A6"/>
                          <w:sz w:val="18"/>
                        </w:rPr>
                        <w:t xml:space="preserve">ember </w:t>
                      </w:r>
                      <w:r w:rsidR="008B0DE9">
                        <w:rPr>
                          <w:rFonts w:asciiTheme="majorHAnsi" w:hAnsiTheme="majorHAnsi"/>
                          <w:color w:val="595959" w:themeColor="text1" w:themeTint="A6"/>
                          <w:sz w:val="18"/>
                        </w:rPr>
                        <w:t>31</w:t>
                      </w:r>
                      <w:r>
                        <w:rPr>
                          <w:rFonts w:asciiTheme="majorHAnsi" w:hAnsiTheme="majorHAnsi"/>
                          <w:color w:val="595959" w:themeColor="text1" w:themeTint="A6"/>
                          <w:sz w:val="18"/>
                        </w:rPr>
                        <w:t>, 2021</w:t>
                      </w:r>
                      <w:r w:rsidRPr="007607C4">
                        <w:rPr>
                          <w:rFonts w:asciiTheme="majorHAnsi" w:hAnsiTheme="majorHAnsi"/>
                          <w:color w:val="595959" w:themeColor="text1" w:themeTint="A6"/>
                          <w:sz w:val="18"/>
                        </w:rPr>
                        <w:t>.</w:t>
                      </w:r>
                    </w:p>
                  </w:txbxContent>
                </v:textbox>
              </v:shape>
            </w:pict>
          </mc:Fallback>
        </mc:AlternateContent>
      </w:r>
    </w:p>
    <w:p w14:paraId="1F09154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81EF8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CDEFDF" w14:textId="77777777" w:rsidR="003C32BC" w:rsidRPr="003C32BC" w:rsidRDefault="003C32BC" w:rsidP="003C32BC">
      <w:pPr>
        <w:tabs>
          <w:tab w:val="center" w:pos="5400"/>
        </w:tabs>
        <w:suppressAutoHyphens/>
        <w:jc w:val="center"/>
        <w:rPr>
          <w:rFonts w:asciiTheme="majorHAnsi" w:hAnsiTheme="majorHAnsi"/>
          <w:sz w:val="18"/>
          <w:szCs w:val="22"/>
        </w:rPr>
      </w:pPr>
    </w:p>
    <w:p w14:paraId="687806D7" w14:textId="77777777" w:rsidR="003C32BC" w:rsidRPr="003C32BC" w:rsidRDefault="00C700CA"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12863E6" wp14:editId="558D3882">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EFAF7" w14:textId="77777777" w:rsidR="00EC21F7" w:rsidRPr="004B7EB6" w:rsidRDefault="00EC21F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863E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" filled="f" stroked="f" strokeweight=".5pt">
                <v:textbox>
                  <w:txbxContent>
                    <w:p w14:paraId="360EFAF7" w14:textId="77777777" w:rsidR="00EC21F7" w:rsidRPr="004B7EB6" w:rsidRDefault="00EC21F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5BDB7C8" wp14:editId="628B7FB3">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7E017" w14:textId="79D23941" w:rsidR="00EC21F7" w:rsidRDefault="00171CD9">
                            <w:r>
                              <w:rPr>
                                <w:noProof/>
                              </w:rPr>
                              <w:drawing>
                                <wp:inline distT="0" distB="0" distL="0" distR="0" wp14:anchorId="10EB76F1" wp14:editId="5DB99E80">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DB7C8"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" fillcolor="white [3201]" stroked="f" strokeweight=".5pt">
                <v:textbox>
                  <w:txbxContent>
                    <w:p w14:paraId="6717E017" w14:textId="79D23941" w:rsidR="00EC21F7" w:rsidRDefault="00171CD9">
                      <w:r>
                        <w:rPr>
                          <w:noProof/>
                        </w:rPr>
                        <w:drawing>
                          <wp:inline distT="0" distB="0" distL="0" distR="0" wp14:anchorId="10EB76F1" wp14:editId="5DB99E80">
                            <wp:extent cx="1519555" cy="387985"/>
                            <wp:effectExtent l="0" t="0" r="444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FAB5539" w14:textId="77777777" w:rsidR="007607C4" w:rsidRDefault="007607C4" w:rsidP="003C32BC">
      <w:pPr>
        <w:tabs>
          <w:tab w:val="center" w:pos="5400"/>
        </w:tabs>
        <w:suppressAutoHyphens/>
        <w:jc w:val="center"/>
        <w:rPr>
          <w:rFonts w:asciiTheme="majorHAnsi" w:hAnsiTheme="majorHAnsi"/>
          <w:sz w:val="18"/>
          <w:szCs w:val="22"/>
        </w:rPr>
        <w:sectPr w:rsidR="007607C4">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14:paraId="272AE4D5" w14:textId="55AB7A21" w:rsidR="007607C4" w:rsidRPr="00AA3BF1" w:rsidRDefault="00FC3EB4" w:rsidP="00AA3BF1">
      <w:pPr>
        <w:tabs>
          <w:tab w:val="center" w:pos="5400"/>
        </w:tabs>
        <w:suppressAutoHyphens/>
        <w:spacing w:line="276" w:lineRule="auto"/>
        <w:jc w:val="center"/>
        <w:rPr>
          <w:rFonts w:asciiTheme="majorHAnsi" w:hAnsiTheme="majorHAnsi"/>
          <w:b/>
          <w:sz w:val="18"/>
          <w:szCs w:val="18"/>
        </w:rPr>
      </w:pPr>
      <w:r w:rsidRPr="004E6C9C">
        <w:rPr>
          <w:rFonts w:asciiTheme="majorHAnsi" w:hAnsiTheme="majorHAnsi"/>
          <w:b/>
          <w:sz w:val="18"/>
          <w:szCs w:val="18"/>
        </w:rPr>
        <w:lastRenderedPageBreak/>
        <w:t>INDEX</w:t>
      </w:r>
    </w:p>
    <w:p w14:paraId="339984EA" w14:textId="77777777" w:rsidR="007607C4" w:rsidRPr="00AA3BF1" w:rsidRDefault="007607C4" w:rsidP="00145EDC">
      <w:pPr>
        <w:tabs>
          <w:tab w:val="center" w:pos="5400"/>
        </w:tabs>
        <w:suppressAutoHyphens/>
        <w:spacing w:line="276" w:lineRule="auto"/>
        <w:rPr>
          <w:rFonts w:asciiTheme="majorHAnsi" w:hAnsiTheme="majorHAnsi"/>
          <w:sz w:val="20"/>
          <w:szCs w:val="20"/>
        </w:rPr>
      </w:pPr>
    </w:p>
    <w:p w14:paraId="540E96E9" w14:textId="196EA748" w:rsidR="00AA3BF1" w:rsidRPr="00171CD9" w:rsidRDefault="00350A62">
      <w:pPr>
        <w:pStyle w:val="TOC1"/>
        <w:rPr>
          <w:rFonts w:eastAsiaTheme="minorEastAsia" w:cstheme="minorBidi"/>
          <w:bdr w:val="none" w:sz="0" w:space="0" w:color="auto"/>
          <w:lang w:val="en-US" w:eastAsia="zh-CN"/>
        </w:rPr>
      </w:pPr>
      <w:r w:rsidRPr="00AA3BF1">
        <w:fldChar w:fldCharType="begin"/>
      </w:r>
      <w:r w:rsidR="00E200F9" w:rsidRPr="00AA3BF1">
        <w:rPr>
          <w:lang w:val="en-US"/>
        </w:rPr>
        <w:instrText xml:space="preserve"> TOC \o "1-3" </w:instrText>
      </w:r>
      <w:r w:rsidRPr="00AA3BF1">
        <w:fldChar w:fldCharType="separate"/>
      </w:r>
      <w:r w:rsidR="00AA3BF1" w:rsidRPr="00171CD9">
        <w:rPr>
          <w:lang w:val="en-US"/>
        </w:rPr>
        <w:t>I.</w:t>
      </w:r>
      <w:r w:rsidR="00AA3BF1" w:rsidRPr="00171CD9">
        <w:rPr>
          <w:rFonts w:eastAsiaTheme="minorEastAsia" w:cstheme="minorBidi"/>
          <w:bdr w:val="none" w:sz="0" w:space="0" w:color="auto"/>
          <w:lang w:val="en-US" w:eastAsia="zh-CN"/>
        </w:rPr>
        <w:tab/>
      </w:r>
      <w:r w:rsidR="00AA3BF1" w:rsidRPr="00171CD9">
        <w:rPr>
          <w:lang w:val="en-US"/>
        </w:rPr>
        <w:t>INTRODUCTION</w:t>
      </w:r>
      <w:r w:rsidR="00AA3BF1" w:rsidRPr="00171CD9">
        <w:rPr>
          <w:lang w:val="en-US"/>
        </w:rPr>
        <w:tab/>
      </w:r>
      <w:r w:rsidR="00AA3BF1" w:rsidRPr="00AA3BF1">
        <w:fldChar w:fldCharType="begin"/>
      </w:r>
      <w:r w:rsidR="00AA3BF1" w:rsidRPr="00171CD9">
        <w:rPr>
          <w:lang w:val="en-US"/>
        </w:rPr>
        <w:instrText xml:space="preserve"> PAGEREF _Toc90300509 \h </w:instrText>
      </w:r>
      <w:r w:rsidR="00AA3BF1" w:rsidRPr="00AA3BF1">
        <w:fldChar w:fldCharType="separate"/>
      </w:r>
      <w:r w:rsidR="00AA3BF1" w:rsidRPr="00171CD9">
        <w:rPr>
          <w:lang w:val="en-US"/>
        </w:rPr>
        <w:t>2</w:t>
      </w:r>
      <w:r w:rsidR="00AA3BF1" w:rsidRPr="00AA3BF1">
        <w:fldChar w:fldCharType="end"/>
      </w:r>
    </w:p>
    <w:p w14:paraId="4EC0507F" w14:textId="28617B6B" w:rsidR="00AA3BF1" w:rsidRPr="00171CD9" w:rsidRDefault="00AA3BF1">
      <w:pPr>
        <w:pStyle w:val="TOC1"/>
        <w:rPr>
          <w:rFonts w:eastAsiaTheme="minorEastAsia" w:cstheme="minorBidi"/>
          <w:bdr w:val="none" w:sz="0" w:space="0" w:color="auto"/>
          <w:lang w:val="en-US" w:eastAsia="zh-CN"/>
        </w:rPr>
      </w:pPr>
      <w:r w:rsidRPr="00171CD9">
        <w:rPr>
          <w:lang w:val="en-US"/>
        </w:rPr>
        <w:t>II.</w:t>
      </w:r>
      <w:r w:rsidRPr="00171CD9">
        <w:rPr>
          <w:rFonts w:eastAsiaTheme="minorEastAsia" w:cstheme="minorBidi"/>
          <w:bdr w:val="none" w:sz="0" w:space="0" w:color="auto"/>
          <w:lang w:val="en-US" w:eastAsia="zh-CN"/>
        </w:rPr>
        <w:tab/>
      </w:r>
      <w:r w:rsidRPr="00171CD9">
        <w:rPr>
          <w:lang w:val="en-US"/>
        </w:rPr>
        <w:t>POSITIONS OF THE PARTIES</w:t>
      </w:r>
      <w:r w:rsidRPr="00171CD9">
        <w:rPr>
          <w:lang w:val="en-US"/>
        </w:rPr>
        <w:tab/>
      </w:r>
      <w:r w:rsidRPr="00AA3BF1">
        <w:fldChar w:fldCharType="begin"/>
      </w:r>
      <w:r w:rsidRPr="00171CD9">
        <w:rPr>
          <w:lang w:val="en-US"/>
        </w:rPr>
        <w:instrText xml:space="preserve"> PAGEREF _Toc90300510 \h </w:instrText>
      </w:r>
      <w:r w:rsidRPr="00AA3BF1">
        <w:fldChar w:fldCharType="separate"/>
      </w:r>
      <w:r w:rsidRPr="00171CD9">
        <w:rPr>
          <w:lang w:val="en-US"/>
        </w:rPr>
        <w:t>2</w:t>
      </w:r>
      <w:r w:rsidRPr="00AA3BF1">
        <w:fldChar w:fldCharType="end"/>
      </w:r>
    </w:p>
    <w:p w14:paraId="42DCE889" w14:textId="447F9072"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A.</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Petitioners</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_Toc90300511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2</w:t>
      </w:r>
      <w:r w:rsidRPr="00AA3BF1">
        <w:rPr>
          <w:rFonts w:asciiTheme="majorHAnsi" w:hAnsiTheme="majorHAnsi"/>
          <w:noProof/>
          <w:sz w:val="20"/>
          <w:szCs w:val="20"/>
        </w:rPr>
        <w:fldChar w:fldCharType="end"/>
      </w:r>
    </w:p>
    <w:p w14:paraId="2FD1A5CA" w14:textId="60F34B5D"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B.</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State</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_Toc90300512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3</w:t>
      </w:r>
      <w:r w:rsidRPr="00AA3BF1">
        <w:rPr>
          <w:rFonts w:asciiTheme="majorHAnsi" w:hAnsiTheme="majorHAnsi"/>
          <w:noProof/>
          <w:sz w:val="20"/>
          <w:szCs w:val="20"/>
        </w:rPr>
        <w:fldChar w:fldCharType="end"/>
      </w:r>
    </w:p>
    <w:p w14:paraId="18D1FDF1" w14:textId="271549C3" w:rsidR="00AA3BF1" w:rsidRPr="00171CD9" w:rsidRDefault="00AA3BF1">
      <w:pPr>
        <w:pStyle w:val="TOC1"/>
        <w:rPr>
          <w:rFonts w:eastAsiaTheme="minorEastAsia" w:cstheme="minorBidi"/>
          <w:bdr w:val="none" w:sz="0" w:space="0" w:color="auto"/>
          <w:lang w:val="en-US" w:eastAsia="zh-CN"/>
        </w:rPr>
      </w:pPr>
      <w:r w:rsidRPr="00171CD9">
        <w:rPr>
          <w:lang w:val="en-US"/>
        </w:rPr>
        <w:t>III.</w:t>
      </w:r>
      <w:r w:rsidRPr="00171CD9">
        <w:rPr>
          <w:rFonts w:eastAsiaTheme="minorEastAsia" w:cstheme="minorBidi"/>
          <w:bdr w:val="none" w:sz="0" w:space="0" w:color="auto"/>
          <w:lang w:val="en-US" w:eastAsia="zh-CN"/>
        </w:rPr>
        <w:tab/>
      </w:r>
      <w:r w:rsidRPr="00171CD9">
        <w:rPr>
          <w:lang w:val="en-US"/>
        </w:rPr>
        <w:t>FINDINGS OF FACT</w:t>
      </w:r>
      <w:r w:rsidRPr="00171CD9">
        <w:rPr>
          <w:lang w:val="en-US"/>
        </w:rPr>
        <w:tab/>
      </w:r>
      <w:r w:rsidRPr="00AA3BF1">
        <w:fldChar w:fldCharType="begin"/>
      </w:r>
      <w:r w:rsidRPr="00171CD9">
        <w:rPr>
          <w:lang w:val="en-US"/>
        </w:rPr>
        <w:instrText xml:space="preserve"> PAGEREF _Toc90300513 \h </w:instrText>
      </w:r>
      <w:r w:rsidRPr="00AA3BF1">
        <w:fldChar w:fldCharType="separate"/>
      </w:r>
      <w:r w:rsidRPr="00171CD9">
        <w:rPr>
          <w:lang w:val="en-US"/>
        </w:rPr>
        <w:t>3</w:t>
      </w:r>
      <w:r w:rsidRPr="00AA3BF1">
        <w:fldChar w:fldCharType="end"/>
      </w:r>
    </w:p>
    <w:p w14:paraId="4B07CBEF" w14:textId="50C78931"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A.</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Factual background</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_Toc90300514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3</w:t>
      </w:r>
      <w:r w:rsidRPr="00AA3BF1">
        <w:rPr>
          <w:rFonts w:asciiTheme="majorHAnsi" w:hAnsiTheme="majorHAnsi"/>
          <w:noProof/>
          <w:sz w:val="20"/>
          <w:szCs w:val="20"/>
        </w:rPr>
        <w:fldChar w:fldCharType="end"/>
      </w:r>
    </w:p>
    <w:p w14:paraId="0527714F" w14:textId="1829EBA3"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B.</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Trial, death sentence and direct appeal</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_Toc90300515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4</w:t>
      </w:r>
      <w:r w:rsidRPr="00AA3BF1">
        <w:rPr>
          <w:rFonts w:asciiTheme="majorHAnsi" w:hAnsiTheme="majorHAnsi"/>
          <w:noProof/>
          <w:sz w:val="20"/>
          <w:szCs w:val="20"/>
        </w:rPr>
        <w:fldChar w:fldCharType="end"/>
      </w:r>
    </w:p>
    <w:p w14:paraId="5532A33D" w14:textId="490202BC"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C.</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Petition for post-conviction relief</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_Toc90300516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5</w:t>
      </w:r>
      <w:r w:rsidRPr="00AA3BF1">
        <w:rPr>
          <w:rFonts w:asciiTheme="majorHAnsi" w:hAnsiTheme="majorHAnsi"/>
          <w:noProof/>
          <w:sz w:val="20"/>
          <w:szCs w:val="20"/>
        </w:rPr>
        <w:fldChar w:fldCharType="end"/>
      </w:r>
    </w:p>
    <w:p w14:paraId="12AD3633" w14:textId="44456CC4"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D.</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Federal habeas corpus and incompetency petitions</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_Toc90300517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8</w:t>
      </w:r>
      <w:r w:rsidRPr="00AA3BF1">
        <w:rPr>
          <w:rFonts w:asciiTheme="majorHAnsi" w:hAnsiTheme="majorHAnsi"/>
          <w:noProof/>
          <w:sz w:val="20"/>
          <w:szCs w:val="20"/>
        </w:rPr>
        <w:fldChar w:fldCharType="end"/>
      </w:r>
    </w:p>
    <w:p w14:paraId="1A05109B" w14:textId="75403EED" w:rsidR="00AA3BF1" w:rsidRPr="00171CD9" w:rsidRDefault="00AA3BF1">
      <w:pPr>
        <w:pStyle w:val="TOC1"/>
        <w:rPr>
          <w:rFonts w:eastAsiaTheme="minorEastAsia" w:cstheme="minorBidi"/>
          <w:bdr w:val="none" w:sz="0" w:space="0" w:color="auto"/>
          <w:lang w:val="en-US" w:eastAsia="zh-CN"/>
        </w:rPr>
      </w:pPr>
      <w:r w:rsidRPr="00171CD9">
        <w:rPr>
          <w:lang w:val="en-US"/>
        </w:rPr>
        <w:t>IV.</w:t>
      </w:r>
      <w:r w:rsidRPr="00171CD9">
        <w:rPr>
          <w:rFonts w:eastAsiaTheme="minorEastAsia" w:cstheme="minorBidi"/>
          <w:bdr w:val="none" w:sz="0" w:space="0" w:color="auto"/>
          <w:lang w:val="en-US" w:eastAsia="zh-CN"/>
        </w:rPr>
        <w:tab/>
      </w:r>
      <w:r w:rsidRPr="00171CD9">
        <w:rPr>
          <w:lang w:val="en-US"/>
        </w:rPr>
        <w:t>ANALYSIS OF LAW</w:t>
      </w:r>
      <w:r w:rsidRPr="00171CD9">
        <w:rPr>
          <w:lang w:val="en-US"/>
        </w:rPr>
        <w:tab/>
      </w:r>
      <w:r w:rsidRPr="00AA3BF1">
        <w:fldChar w:fldCharType="begin"/>
      </w:r>
      <w:r w:rsidRPr="00171CD9">
        <w:rPr>
          <w:lang w:val="en-US"/>
        </w:rPr>
        <w:instrText xml:space="preserve"> PAGEREF _Toc90300518 \h </w:instrText>
      </w:r>
      <w:r w:rsidRPr="00AA3BF1">
        <w:fldChar w:fldCharType="separate"/>
      </w:r>
      <w:r w:rsidRPr="00171CD9">
        <w:rPr>
          <w:lang w:val="en-US"/>
        </w:rPr>
        <w:t>11</w:t>
      </w:r>
      <w:r w:rsidRPr="00AA3BF1">
        <w:fldChar w:fldCharType="end"/>
      </w:r>
    </w:p>
    <w:p w14:paraId="4F5AC820" w14:textId="64086A40"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A.</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Preliminary considerations</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_Toc90300519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11</w:t>
      </w:r>
      <w:r w:rsidRPr="00AA3BF1">
        <w:rPr>
          <w:rFonts w:asciiTheme="majorHAnsi" w:hAnsiTheme="majorHAnsi"/>
          <w:noProof/>
          <w:sz w:val="20"/>
          <w:szCs w:val="20"/>
        </w:rPr>
        <w:fldChar w:fldCharType="end"/>
      </w:r>
    </w:p>
    <w:p w14:paraId="68BC47D8" w14:textId="1B08EE38"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B.</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Right to a fair trial and to due process of law</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_Toc90300520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12</w:t>
      </w:r>
      <w:r w:rsidRPr="00AA3BF1">
        <w:rPr>
          <w:rFonts w:asciiTheme="majorHAnsi" w:hAnsiTheme="majorHAnsi"/>
          <w:noProof/>
          <w:sz w:val="20"/>
          <w:szCs w:val="20"/>
        </w:rPr>
        <w:fldChar w:fldCharType="end"/>
      </w:r>
    </w:p>
    <w:p w14:paraId="1A1D099B" w14:textId="04E98222"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1.</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General considerations on ineffective assistance of court-appointed counsel</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_Toc90300521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12</w:t>
      </w:r>
      <w:r w:rsidRPr="00AA3BF1">
        <w:rPr>
          <w:rFonts w:asciiTheme="majorHAnsi" w:hAnsiTheme="majorHAnsi"/>
          <w:noProof/>
          <w:sz w:val="20"/>
          <w:szCs w:val="20"/>
        </w:rPr>
        <w:fldChar w:fldCharType="end"/>
      </w:r>
    </w:p>
    <w:p w14:paraId="67063481" w14:textId="392E0614"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2.</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Analysis of the case</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_Toc90300522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13</w:t>
      </w:r>
      <w:r w:rsidRPr="00AA3BF1">
        <w:rPr>
          <w:rFonts w:asciiTheme="majorHAnsi" w:hAnsiTheme="majorHAnsi"/>
          <w:noProof/>
          <w:sz w:val="20"/>
          <w:szCs w:val="20"/>
        </w:rPr>
        <w:fldChar w:fldCharType="end"/>
      </w:r>
    </w:p>
    <w:p w14:paraId="741937B7" w14:textId="14A6DBC5"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3.</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Prosecutorial misconduct</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_Toc90300523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14</w:t>
      </w:r>
      <w:r w:rsidRPr="00AA3BF1">
        <w:rPr>
          <w:rFonts w:asciiTheme="majorHAnsi" w:hAnsiTheme="majorHAnsi"/>
          <w:noProof/>
          <w:sz w:val="20"/>
          <w:szCs w:val="20"/>
        </w:rPr>
        <w:fldChar w:fldCharType="end"/>
      </w:r>
    </w:p>
    <w:p w14:paraId="067B552E" w14:textId="1C50F1FD"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C.</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Right of protection against cruel, infamous or unusual punishment</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_Toc90300524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15</w:t>
      </w:r>
      <w:r w:rsidRPr="00AA3BF1">
        <w:rPr>
          <w:rFonts w:asciiTheme="majorHAnsi" w:hAnsiTheme="majorHAnsi"/>
          <w:noProof/>
          <w:sz w:val="20"/>
          <w:szCs w:val="20"/>
        </w:rPr>
        <w:fldChar w:fldCharType="end"/>
      </w:r>
    </w:p>
    <w:p w14:paraId="447F7631" w14:textId="355611EA" w:rsidR="00AA3BF1" w:rsidRPr="00171CD9" w:rsidRDefault="00AA3BF1">
      <w:pPr>
        <w:pStyle w:val="TOC3"/>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1.</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General considerations on the right of every person with mental disabilities not to be subjected to the death penalty</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_Toc90300525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15</w:t>
      </w:r>
      <w:r w:rsidRPr="00AA3BF1">
        <w:rPr>
          <w:rFonts w:asciiTheme="majorHAnsi" w:hAnsiTheme="majorHAnsi"/>
          <w:noProof/>
          <w:sz w:val="20"/>
          <w:szCs w:val="20"/>
        </w:rPr>
        <w:fldChar w:fldCharType="end"/>
      </w:r>
    </w:p>
    <w:p w14:paraId="68E5FD48" w14:textId="38CEC5B2" w:rsidR="00AA3BF1" w:rsidRPr="00171CD9" w:rsidRDefault="00AA3BF1">
      <w:pPr>
        <w:pStyle w:val="TOC3"/>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2.</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Analysis of the case</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_Toc90300526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16</w:t>
      </w:r>
      <w:r w:rsidRPr="00AA3BF1">
        <w:rPr>
          <w:rFonts w:asciiTheme="majorHAnsi" w:hAnsiTheme="majorHAnsi"/>
          <w:noProof/>
          <w:sz w:val="20"/>
          <w:szCs w:val="20"/>
        </w:rPr>
        <w:fldChar w:fldCharType="end"/>
      </w:r>
    </w:p>
    <w:p w14:paraId="5A3297EF" w14:textId="7B6DCD5F" w:rsidR="00AA3BF1" w:rsidRPr="00171CD9" w:rsidRDefault="00AA3BF1">
      <w:pPr>
        <w:pStyle w:val="TOC2"/>
        <w:rPr>
          <w:rFonts w:asciiTheme="majorHAnsi" w:eastAsiaTheme="minorEastAsia" w:hAnsiTheme="majorHAnsi" w:cstheme="minorBidi"/>
          <w:noProof/>
          <w:sz w:val="20"/>
          <w:szCs w:val="20"/>
          <w:bdr w:val="none" w:sz="0" w:space="0" w:color="auto"/>
          <w:lang w:eastAsia="zh-CN"/>
        </w:rPr>
      </w:pPr>
      <w:r w:rsidRPr="00AA3BF1">
        <w:rPr>
          <w:rFonts w:asciiTheme="majorHAnsi" w:hAnsiTheme="majorHAnsi"/>
          <w:noProof/>
          <w:sz w:val="20"/>
          <w:szCs w:val="20"/>
        </w:rPr>
        <w:t>D.</w:t>
      </w:r>
      <w:r w:rsidRPr="00171CD9">
        <w:rPr>
          <w:rFonts w:asciiTheme="majorHAnsi" w:eastAsiaTheme="minorEastAsia" w:hAnsiTheme="majorHAnsi" w:cstheme="minorBidi"/>
          <w:noProof/>
          <w:sz w:val="20"/>
          <w:szCs w:val="20"/>
          <w:bdr w:val="none" w:sz="0" w:space="0" w:color="auto"/>
          <w:lang w:eastAsia="zh-CN"/>
        </w:rPr>
        <w:tab/>
      </w:r>
      <w:r w:rsidRPr="00AA3BF1">
        <w:rPr>
          <w:rFonts w:asciiTheme="majorHAnsi" w:hAnsiTheme="majorHAnsi"/>
          <w:noProof/>
          <w:sz w:val="20"/>
          <w:szCs w:val="20"/>
        </w:rPr>
        <w:t>The deprivation of liberty on death row and the right of protection against cruel, infamous or unusual punishment</w:t>
      </w:r>
      <w:r w:rsidRPr="00AA3BF1">
        <w:rPr>
          <w:rFonts w:asciiTheme="majorHAnsi" w:hAnsiTheme="majorHAnsi"/>
          <w:noProof/>
          <w:sz w:val="20"/>
          <w:szCs w:val="20"/>
        </w:rPr>
        <w:tab/>
      </w:r>
      <w:r w:rsidRPr="00AA3BF1">
        <w:rPr>
          <w:rFonts w:asciiTheme="majorHAnsi" w:hAnsiTheme="majorHAnsi"/>
          <w:noProof/>
          <w:sz w:val="20"/>
          <w:szCs w:val="20"/>
        </w:rPr>
        <w:fldChar w:fldCharType="begin"/>
      </w:r>
      <w:r w:rsidRPr="00AA3BF1">
        <w:rPr>
          <w:rFonts w:asciiTheme="majorHAnsi" w:hAnsiTheme="majorHAnsi"/>
          <w:noProof/>
          <w:sz w:val="20"/>
          <w:szCs w:val="20"/>
        </w:rPr>
        <w:instrText xml:space="preserve"> PAGEREF _Toc90300527 \h </w:instrText>
      </w:r>
      <w:r w:rsidRPr="00AA3BF1">
        <w:rPr>
          <w:rFonts w:asciiTheme="majorHAnsi" w:hAnsiTheme="majorHAnsi"/>
          <w:noProof/>
          <w:sz w:val="20"/>
          <w:szCs w:val="20"/>
        </w:rPr>
      </w:r>
      <w:r w:rsidRPr="00AA3BF1">
        <w:rPr>
          <w:rFonts w:asciiTheme="majorHAnsi" w:hAnsiTheme="majorHAnsi"/>
          <w:noProof/>
          <w:sz w:val="20"/>
          <w:szCs w:val="20"/>
        </w:rPr>
        <w:fldChar w:fldCharType="separate"/>
      </w:r>
      <w:r w:rsidRPr="00AA3BF1">
        <w:rPr>
          <w:rFonts w:asciiTheme="majorHAnsi" w:hAnsiTheme="majorHAnsi"/>
          <w:noProof/>
          <w:sz w:val="20"/>
          <w:szCs w:val="20"/>
        </w:rPr>
        <w:t>18</w:t>
      </w:r>
      <w:r w:rsidRPr="00AA3BF1">
        <w:rPr>
          <w:rFonts w:asciiTheme="majorHAnsi" w:hAnsiTheme="majorHAnsi"/>
          <w:noProof/>
          <w:sz w:val="20"/>
          <w:szCs w:val="20"/>
        </w:rPr>
        <w:fldChar w:fldCharType="end"/>
      </w:r>
    </w:p>
    <w:p w14:paraId="61FB916D" w14:textId="52353AC5" w:rsidR="00AA3BF1" w:rsidRPr="00171CD9" w:rsidRDefault="00AA3BF1">
      <w:pPr>
        <w:pStyle w:val="TOC1"/>
        <w:rPr>
          <w:rFonts w:eastAsiaTheme="minorEastAsia" w:cstheme="minorBidi"/>
          <w:bdr w:val="none" w:sz="0" w:space="0" w:color="auto"/>
          <w:lang w:val="en-US" w:eastAsia="zh-CN"/>
        </w:rPr>
      </w:pPr>
      <w:r w:rsidRPr="00171CD9">
        <w:rPr>
          <w:lang w:val="en-US"/>
        </w:rPr>
        <w:t>V.</w:t>
      </w:r>
      <w:r w:rsidRPr="00171CD9">
        <w:rPr>
          <w:rFonts w:eastAsiaTheme="minorEastAsia" w:cstheme="minorBidi"/>
          <w:bdr w:val="none" w:sz="0" w:space="0" w:color="auto"/>
          <w:lang w:val="en-US" w:eastAsia="zh-CN"/>
        </w:rPr>
        <w:tab/>
      </w:r>
      <w:r w:rsidRPr="00171CD9">
        <w:rPr>
          <w:lang w:val="en-US"/>
        </w:rPr>
        <w:t>REPORT No. 242/19 AND INFORMATION ABOUT COMPLIANCE</w:t>
      </w:r>
      <w:r w:rsidRPr="00171CD9">
        <w:rPr>
          <w:lang w:val="en-US"/>
        </w:rPr>
        <w:tab/>
      </w:r>
      <w:r w:rsidRPr="00AA3BF1">
        <w:fldChar w:fldCharType="begin"/>
      </w:r>
      <w:r w:rsidRPr="00171CD9">
        <w:rPr>
          <w:lang w:val="en-US"/>
        </w:rPr>
        <w:instrText xml:space="preserve"> PAGEREF _Toc90300528 \h </w:instrText>
      </w:r>
      <w:r w:rsidRPr="00AA3BF1">
        <w:fldChar w:fldCharType="separate"/>
      </w:r>
      <w:r w:rsidRPr="00171CD9">
        <w:rPr>
          <w:lang w:val="en-US"/>
        </w:rPr>
        <w:t>20</w:t>
      </w:r>
      <w:r w:rsidRPr="00AA3BF1">
        <w:fldChar w:fldCharType="end"/>
      </w:r>
    </w:p>
    <w:p w14:paraId="0B06E821" w14:textId="0572A2F4" w:rsidR="00AA3BF1" w:rsidRPr="00171CD9" w:rsidRDefault="00AA3BF1">
      <w:pPr>
        <w:pStyle w:val="TOC1"/>
        <w:rPr>
          <w:rFonts w:eastAsiaTheme="minorEastAsia" w:cstheme="minorBidi"/>
          <w:bdr w:val="none" w:sz="0" w:space="0" w:color="auto"/>
          <w:lang w:val="en-US" w:eastAsia="zh-CN"/>
        </w:rPr>
      </w:pPr>
      <w:r w:rsidRPr="00171CD9">
        <w:rPr>
          <w:lang w:val="en-US"/>
        </w:rPr>
        <w:t>VI.</w:t>
      </w:r>
      <w:r w:rsidRPr="00171CD9">
        <w:rPr>
          <w:rFonts w:eastAsiaTheme="minorEastAsia" w:cstheme="minorBidi"/>
          <w:bdr w:val="none" w:sz="0" w:space="0" w:color="auto"/>
          <w:lang w:val="en-US" w:eastAsia="zh-CN"/>
        </w:rPr>
        <w:tab/>
      </w:r>
      <w:r w:rsidRPr="00171CD9">
        <w:rPr>
          <w:lang w:val="en-US"/>
        </w:rPr>
        <w:t>ACTIONS SUBSEQUENT TO REPORT No. 334/21</w:t>
      </w:r>
      <w:r w:rsidRPr="00171CD9">
        <w:rPr>
          <w:lang w:val="en-US"/>
        </w:rPr>
        <w:tab/>
      </w:r>
      <w:r w:rsidRPr="0027688C">
        <w:fldChar w:fldCharType="begin"/>
      </w:r>
      <w:r w:rsidRPr="00171CD9">
        <w:rPr>
          <w:lang w:val="en-US"/>
        </w:rPr>
        <w:instrText xml:space="preserve"> PAGEREF _Toc90300529 \h </w:instrText>
      </w:r>
      <w:r w:rsidRPr="0027688C">
        <w:fldChar w:fldCharType="separate"/>
      </w:r>
      <w:r w:rsidRPr="00171CD9">
        <w:rPr>
          <w:lang w:val="en-US"/>
        </w:rPr>
        <w:t>20</w:t>
      </w:r>
      <w:r w:rsidRPr="0027688C">
        <w:fldChar w:fldCharType="end"/>
      </w:r>
    </w:p>
    <w:p w14:paraId="2303F230" w14:textId="11B33469" w:rsidR="00AA3BF1" w:rsidRPr="00171CD9" w:rsidRDefault="00AA3BF1">
      <w:pPr>
        <w:pStyle w:val="TOC1"/>
        <w:rPr>
          <w:rFonts w:eastAsiaTheme="minorEastAsia" w:cstheme="minorBidi"/>
          <w:bdr w:val="none" w:sz="0" w:space="0" w:color="auto"/>
          <w:lang w:val="en-US" w:eastAsia="zh-CN"/>
        </w:rPr>
      </w:pPr>
      <w:r w:rsidRPr="00171CD9">
        <w:rPr>
          <w:lang w:val="en-US"/>
        </w:rPr>
        <w:t>VII.</w:t>
      </w:r>
      <w:r w:rsidRPr="00171CD9">
        <w:rPr>
          <w:rFonts w:eastAsiaTheme="minorEastAsia" w:cstheme="minorBidi"/>
          <w:bdr w:val="none" w:sz="0" w:space="0" w:color="auto"/>
          <w:lang w:val="en-US" w:eastAsia="zh-CN"/>
        </w:rPr>
        <w:tab/>
      </w:r>
      <w:r w:rsidRPr="00171CD9">
        <w:rPr>
          <w:lang w:val="en-US"/>
        </w:rPr>
        <w:t>FINAL CONCLUSIONS AND RECOMMENDATIONS</w:t>
      </w:r>
      <w:r w:rsidRPr="00171CD9">
        <w:rPr>
          <w:lang w:val="en-US"/>
        </w:rPr>
        <w:tab/>
      </w:r>
      <w:r w:rsidRPr="0027688C">
        <w:fldChar w:fldCharType="begin"/>
      </w:r>
      <w:r w:rsidRPr="00171CD9">
        <w:rPr>
          <w:lang w:val="en-US"/>
        </w:rPr>
        <w:instrText xml:space="preserve"> PAGEREF _Toc90300530 \h </w:instrText>
      </w:r>
      <w:r w:rsidRPr="0027688C">
        <w:fldChar w:fldCharType="separate"/>
      </w:r>
      <w:r w:rsidRPr="00171CD9">
        <w:rPr>
          <w:lang w:val="en-US"/>
        </w:rPr>
        <w:t>20</w:t>
      </w:r>
      <w:r w:rsidRPr="0027688C">
        <w:fldChar w:fldCharType="end"/>
      </w:r>
    </w:p>
    <w:p w14:paraId="696ED7C1" w14:textId="1FE95696" w:rsidR="00AA3BF1" w:rsidRPr="00AA3BF1" w:rsidRDefault="00AA3BF1">
      <w:pPr>
        <w:pStyle w:val="TOC1"/>
        <w:rPr>
          <w:rFonts w:eastAsiaTheme="minorEastAsia" w:cstheme="minorBidi"/>
          <w:bdr w:val="none" w:sz="0" w:space="0" w:color="auto"/>
          <w:lang w:val="es-US" w:eastAsia="zh-CN"/>
        </w:rPr>
      </w:pPr>
      <w:r w:rsidRPr="0027688C">
        <w:t>VIII.</w:t>
      </w:r>
      <w:r w:rsidRPr="0027688C">
        <w:rPr>
          <w:rFonts w:eastAsiaTheme="minorEastAsia" w:cstheme="minorBidi"/>
          <w:bdr w:val="none" w:sz="0" w:space="0" w:color="auto"/>
          <w:lang w:val="es-US" w:eastAsia="zh-CN"/>
        </w:rPr>
        <w:tab/>
      </w:r>
      <w:r w:rsidRPr="0027688C">
        <w:t>PUBLICATION</w:t>
      </w:r>
      <w:r w:rsidRPr="0027688C">
        <w:tab/>
      </w:r>
      <w:r w:rsidRPr="0027688C">
        <w:fldChar w:fldCharType="begin"/>
      </w:r>
      <w:r w:rsidRPr="0027688C">
        <w:instrText xml:space="preserve"> PAGEREF _Toc90300531 \h </w:instrText>
      </w:r>
      <w:r w:rsidRPr="0027688C">
        <w:fldChar w:fldCharType="separate"/>
      </w:r>
      <w:r w:rsidRPr="0027688C">
        <w:t>21</w:t>
      </w:r>
      <w:r w:rsidRPr="0027688C">
        <w:fldChar w:fldCharType="end"/>
      </w:r>
    </w:p>
    <w:p w14:paraId="10796989" w14:textId="5C57E96B" w:rsidR="007607C4" w:rsidRPr="009B3849" w:rsidRDefault="00350A62" w:rsidP="00AE6157">
      <w:pPr>
        <w:tabs>
          <w:tab w:val="left" w:pos="1080"/>
          <w:tab w:val="center" w:pos="5400"/>
        </w:tabs>
        <w:suppressAutoHyphens/>
        <w:spacing w:line="276" w:lineRule="auto"/>
        <w:rPr>
          <w:rFonts w:asciiTheme="majorHAnsi" w:hAnsiTheme="majorHAnsi"/>
          <w:sz w:val="20"/>
          <w:szCs w:val="20"/>
        </w:rPr>
      </w:pPr>
      <w:r w:rsidRPr="00AA3BF1">
        <w:rPr>
          <w:rFonts w:asciiTheme="majorHAnsi" w:hAnsiTheme="majorHAnsi"/>
          <w:noProof/>
          <w:sz w:val="20"/>
          <w:szCs w:val="20"/>
          <w:lang w:val="es-ES_tradnl"/>
        </w:rPr>
        <w:fldChar w:fldCharType="end"/>
      </w:r>
    </w:p>
    <w:p w14:paraId="1CD2614C" w14:textId="77777777" w:rsidR="007607C4" w:rsidRPr="009B3849" w:rsidRDefault="000572DC" w:rsidP="000572DC">
      <w:pPr>
        <w:tabs>
          <w:tab w:val="left" w:pos="7986"/>
        </w:tabs>
        <w:suppressAutoHyphens/>
        <w:spacing w:line="276" w:lineRule="auto"/>
        <w:rPr>
          <w:rFonts w:asciiTheme="majorHAnsi" w:hAnsiTheme="majorHAnsi"/>
          <w:sz w:val="20"/>
          <w:szCs w:val="20"/>
        </w:rPr>
      </w:pPr>
      <w:r w:rsidRPr="009B3849">
        <w:rPr>
          <w:rFonts w:asciiTheme="majorHAnsi" w:hAnsiTheme="majorHAnsi"/>
          <w:sz w:val="20"/>
          <w:szCs w:val="20"/>
        </w:rPr>
        <w:tab/>
      </w:r>
    </w:p>
    <w:p w14:paraId="4DEB60BF" w14:textId="77777777" w:rsidR="007607C4" w:rsidRPr="00134B21" w:rsidRDefault="007607C4" w:rsidP="00145EDC">
      <w:pPr>
        <w:tabs>
          <w:tab w:val="center" w:pos="5400"/>
        </w:tabs>
        <w:suppressAutoHyphens/>
        <w:spacing w:line="276" w:lineRule="auto"/>
        <w:rPr>
          <w:rFonts w:asciiTheme="majorHAnsi" w:hAnsiTheme="majorHAnsi"/>
          <w:sz w:val="20"/>
          <w:szCs w:val="18"/>
        </w:rPr>
      </w:pPr>
    </w:p>
    <w:p w14:paraId="6A36FC04" w14:textId="3DC6EB75" w:rsidR="007607C4" w:rsidRPr="00FC3EB4" w:rsidRDefault="007607C4" w:rsidP="009B3849">
      <w:pPr>
        <w:tabs>
          <w:tab w:val="center" w:pos="5400"/>
        </w:tabs>
        <w:suppressAutoHyphens/>
        <w:spacing w:line="276" w:lineRule="auto"/>
        <w:rPr>
          <w:rFonts w:asciiTheme="majorHAnsi" w:hAnsiTheme="majorHAnsi"/>
          <w:sz w:val="20"/>
          <w:szCs w:val="20"/>
        </w:rPr>
      </w:pPr>
    </w:p>
    <w:p w14:paraId="5A6F208F" w14:textId="77777777" w:rsidR="007607C4" w:rsidRPr="00452DAB" w:rsidRDefault="00A84A45" w:rsidP="00452DAB">
      <w:pPr>
        <w:rPr>
          <w:rFonts w:asciiTheme="majorHAnsi" w:hAnsiTheme="majorHAnsi"/>
          <w:b/>
          <w:sz w:val="18"/>
          <w:szCs w:val="20"/>
        </w:rPr>
      </w:pPr>
      <w:r>
        <w:rPr>
          <w:rFonts w:asciiTheme="majorHAnsi" w:hAnsiTheme="majorHAnsi"/>
          <w:b/>
          <w:sz w:val="18"/>
          <w:szCs w:val="20"/>
        </w:rPr>
        <w:br w:type="page"/>
      </w:r>
    </w:p>
    <w:p w14:paraId="7440F87F" w14:textId="77777777" w:rsidR="001C4006" w:rsidRPr="000630E1" w:rsidRDefault="00830E88" w:rsidP="00AE6157">
      <w:pPr>
        <w:pStyle w:val="Heading1"/>
        <w:tabs>
          <w:tab w:val="left" w:pos="360"/>
        </w:tabs>
        <w:spacing w:before="0"/>
        <w:ind w:hanging="720"/>
        <w:rPr>
          <w:color w:val="auto"/>
          <w:sz w:val="20"/>
          <w:szCs w:val="20"/>
        </w:rPr>
      </w:pPr>
      <w:bookmarkStart w:id="0" w:name="_Toc90300509"/>
      <w:r w:rsidRPr="000630E1">
        <w:rPr>
          <w:color w:val="auto"/>
          <w:sz w:val="20"/>
          <w:szCs w:val="20"/>
        </w:rPr>
        <w:lastRenderedPageBreak/>
        <w:t>INTRODUCTION</w:t>
      </w:r>
      <w:bookmarkEnd w:id="0"/>
      <w:r w:rsidR="001C4006" w:rsidRPr="000630E1">
        <w:rPr>
          <w:color w:val="auto"/>
          <w:sz w:val="20"/>
          <w:szCs w:val="20"/>
        </w:rPr>
        <w:t xml:space="preserve"> </w:t>
      </w:r>
    </w:p>
    <w:p w14:paraId="7B8A0536" w14:textId="77777777" w:rsidR="001C4006" w:rsidRPr="000630E1" w:rsidRDefault="001C4006" w:rsidP="00BB5A59">
      <w:pPr>
        <w:suppressAutoHyphens/>
        <w:ind w:left="1440" w:hanging="720"/>
        <w:rPr>
          <w:rFonts w:asciiTheme="majorHAnsi" w:hAnsiTheme="majorHAnsi"/>
          <w:b/>
          <w:sz w:val="20"/>
          <w:szCs w:val="20"/>
        </w:rPr>
      </w:pPr>
    </w:p>
    <w:p w14:paraId="78F6EA2A" w14:textId="77777777" w:rsidR="00806E54" w:rsidRPr="00B64AA8" w:rsidRDefault="003538F7"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6F1EB8">
        <w:rPr>
          <w:rFonts w:asciiTheme="majorHAnsi" w:eastAsia="Times New Roman" w:hAnsiTheme="majorHAnsi"/>
          <w:sz w:val="20"/>
          <w:szCs w:val="20"/>
          <w:lang w:val="en-GB"/>
        </w:rPr>
        <w:t xml:space="preserve">On </w:t>
      </w:r>
      <w:r w:rsidR="005B7213">
        <w:rPr>
          <w:rFonts w:asciiTheme="majorHAnsi" w:eastAsia="Times New Roman" w:hAnsiTheme="majorHAnsi"/>
          <w:sz w:val="20"/>
          <w:szCs w:val="20"/>
          <w:lang w:val="en-GB"/>
        </w:rPr>
        <w:t>March 9, 2004</w:t>
      </w:r>
      <w:r w:rsidRPr="006F1EB8">
        <w:rPr>
          <w:rFonts w:asciiTheme="majorHAnsi" w:eastAsia="Times New Roman" w:hAnsiTheme="majorHAnsi"/>
          <w:sz w:val="20"/>
          <w:szCs w:val="20"/>
          <w:lang w:val="en-GB"/>
        </w:rPr>
        <w:t>, the Inter-American Commission on Human Rights (hereinafter the “Commission”) received a petition</w:t>
      </w:r>
      <w:r w:rsidR="00BA19D1">
        <w:rPr>
          <w:rStyle w:val="FootnoteReference"/>
          <w:rFonts w:asciiTheme="majorHAnsi" w:hAnsiTheme="majorHAnsi"/>
          <w:color w:val="000000" w:themeColor="text1"/>
          <w:sz w:val="20"/>
          <w:szCs w:val="20"/>
        </w:rPr>
        <w:footnoteReference w:id="2"/>
      </w:r>
      <w:r w:rsidR="00BA19D1" w:rsidRPr="00530412">
        <w:rPr>
          <w:rFonts w:asciiTheme="majorHAnsi" w:eastAsia="Times New Roman" w:hAnsiTheme="majorHAnsi"/>
          <w:sz w:val="20"/>
          <w:szCs w:val="20"/>
          <w:lang w:val="en-GB"/>
        </w:rPr>
        <w:t xml:space="preserve"> </w:t>
      </w:r>
      <w:r w:rsidRPr="006F1EB8">
        <w:rPr>
          <w:rFonts w:asciiTheme="majorHAnsi" w:eastAsia="Times New Roman" w:hAnsiTheme="majorHAnsi"/>
          <w:sz w:val="20"/>
          <w:szCs w:val="20"/>
          <w:lang w:val="en-GB"/>
        </w:rPr>
        <w:t xml:space="preserve"> from </w:t>
      </w:r>
      <w:r w:rsidR="005B7213" w:rsidRPr="005B7213">
        <w:rPr>
          <w:rFonts w:asciiTheme="majorHAnsi" w:hAnsiTheme="majorHAnsi"/>
          <w:sz w:val="20"/>
          <w:szCs w:val="20"/>
        </w:rPr>
        <w:t xml:space="preserve">Michael J. Passino and Marjorie Bristol of the </w:t>
      </w:r>
      <w:r w:rsidR="005B7213" w:rsidRPr="005B7213">
        <w:rPr>
          <w:rFonts w:asciiTheme="majorHAnsi" w:hAnsiTheme="majorHAnsi"/>
          <w:i/>
          <w:sz w:val="20"/>
          <w:szCs w:val="20"/>
        </w:rPr>
        <w:t>Tennessee Justice Center</w:t>
      </w:r>
      <w:r w:rsidR="005B7213" w:rsidRPr="005B7213">
        <w:rPr>
          <w:rFonts w:asciiTheme="majorHAnsi" w:hAnsiTheme="majorHAnsi"/>
          <w:sz w:val="20"/>
          <w:szCs w:val="20"/>
        </w:rPr>
        <w:t xml:space="preserve"> (hereinafter, “the petitioners”) </w:t>
      </w:r>
      <w:r w:rsidRPr="006F1EB8">
        <w:rPr>
          <w:rFonts w:asciiTheme="majorHAnsi" w:eastAsia="Times New Roman" w:hAnsiTheme="majorHAnsi"/>
          <w:sz w:val="20"/>
          <w:szCs w:val="20"/>
          <w:lang w:val="en-GB"/>
        </w:rPr>
        <w:t xml:space="preserve">against the Government of the United States of America (hereinafter the “State” or “United States”).  The petition was presented on behalf of </w:t>
      </w:r>
      <w:r w:rsidR="005B7213" w:rsidRPr="005B7213">
        <w:rPr>
          <w:rFonts w:asciiTheme="majorHAnsi" w:hAnsiTheme="majorHAnsi"/>
          <w:sz w:val="20"/>
          <w:szCs w:val="20"/>
        </w:rPr>
        <w:t>Gregory Thompson (hereinafter, “Mr. Thompson”)</w:t>
      </w:r>
      <w:r w:rsidRPr="006F1EB8">
        <w:rPr>
          <w:rFonts w:asciiTheme="majorHAnsi" w:eastAsia="Times New Roman" w:hAnsiTheme="majorHAnsi"/>
          <w:sz w:val="20"/>
          <w:szCs w:val="20"/>
          <w:lang w:val="en-GB"/>
        </w:rPr>
        <w:t xml:space="preserve">, who </w:t>
      </w:r>
      <w:r w:rsidRPr="00530412">
        <w:rPr>
          <w:rFonts w:asciiTheme="majorHAnsi" w:eastAsia="Times New Roman" w:hAnsiTheme="majorHAnsi"/>
          <w:sz w:val="20"/>
          <w:szCs w:val="20"/>
          <w:lang w:val="en-GB"/>
        </w:rPr>
        <w:t xml:space="preserve">was </w:t>
      </w:r>
      <w:r w:rsidRPr="006F1EB8">
        <w:rPr>
          <w:rFonts w:asciiTheme="majorHAnsi" w:eastAsia="Times New Roman" w:hAnsiTheme="majorHAnsi"/>
          <w:sz w:val="20"/>
          <w:szCs w:val="20"/>
          <w:lang w:val="en-GB"/>
        </w:rPr>
        <w:t>sentenced</w:t>
      </w:r>
      <w:r w:rsidR="00530412" w:rsidRPr="00530412">
        <w:rPr>
          <w:rFonts w:asciiTheme="majorHAnsi" w:eastAsia="Times New Roman" w:hAnsiTheme="majorHAnsi"/>
          <w:sz w:val="20"/>
          <w:szCs w:val="20"/>
          <w:lang w:val="en-GB"/>
        </w:rPr>
        <w:t xml:space="preserve"> to death </w:t>
      </w:r>
      <w:r w:rsidR="001C307C">
        <w:rPr>
          <w:rFonts w:asciiTheme="majorHAnsi" w:eastAsia="Times New Roman" w:hAnsiTheme="majorHAnsi"/>
          <w:sz w:val="20"/>
          <w:szCs w:val="20"/>
          <w:lang w:val="en-GB"/>
        </w:rPr>
        <w:t>on August 22,</w:t>
      </w:r>
      <w:r w:rsidR="00684CC9">
        <w:rPr>
          <w:rFonts w:asciiTheme="majorHAnsi" w:eastAsia="Times New Roman" w:hAnsiTheme="majorHAnsi"/>
          <w:sz w:val="20"/>
          <w:szCs w:val="20"/>
          <w:lang w:val="en-GB"/>
        </w:rPr>
        <w:t xml:space="preserve"> 1985</w:t>
      </w:r>
      <w:r w:rsidR="00EF3F74">
        <w:rPr>
          <w:rFonts w:asciiTheme="majorHAnsi" w:eastAsia="Times New Roman" w:hAnsiTheme="majorHAnsi"/>
          <w:sz w:val="20"/>
          <w:szCs w:val="20"/>
          <w:lang w:val="en-GB"/>
        </w:rPr>
        <w:t>,</w:t>
      </w:r>
      <w:r w:rsidR="00684CC9">
        <w:rPr>
          <w:rFonts w:asciiTheme="majorHAnsi" w:eastAsia="Times New Roman" w:hAnsiTheme="majorHAnsi"/>
          <w:sz w:val="20"/>
          <w:szCs w:val="20"/>
          <w:lang w:val="en-GB"/>
        </w:rPr>
        <w:t xml:space="preserve"> </w:t>
      </w:r>
      <w:r w:rsidR="00530412" w:rsidRPr="00530412">
        <w:rPr>
          <w:rFonts w:asciiTheme="majorHAnsi" w:eastAsia="Times New Roman" w:hAnsiTheme="majorHAnsi"/>
          <w:sz w:val="20"/>
          <w:szCs w:val="20"/>
          <w:lang w:val="en-GB"/>
        </w:rPr>
        <w:t>and</w:t>
      </w:r>
      <w:r w:rsidR="001C307C">
        <w:rPr>
          <w:rFonts w:asciiTheme="majorHAnsi" w:eastAsia="Times New Roman" w:hAnsiTheme="majorHAnsi"/>
          <w:sz w:val="20"/>
          <w:szCs w:val="20"/>
          <w:lang w:val="en-GB"/>
        </w:rPr>
        <w:t xml:space="preserve"> </w:t>
      </w:r>
      <w:r w:rsidRPr="006F1EB8">
        <w:rPr>
          <w:rFonts w:asciiTheme="majorHAnsi" w:eastAsia="Times New Roman" w:hAnsiTheme="majorHAnsi"/>
          <w:sz w:val="20"/>
          <w:szCs w:val="20"/>
          <w:lang w:val="en-GB"/>
        </w:rPr>
        <w:t>subseque</w:t>
      </w:r>
      <w:r w:rsidR="00530412" w:rsidRPr="00530412">
        <w:rPr>
          <w:rFonts w:asciiTheme="majorHAnsi" w:eastAsia="Times New Roman" w:hAnsiTheme="majorHAnsi"/>
          <w:sz w:val="20"/>
          <w:szCs w:val="20"/>
          <w:lang w:val="en-GB"/>
        </w:rPr>
        <w:t xml:space="preserve">ntly </w:t>
      </w:r>
      <w:r w:rsidR="00AD0816">
        <w:rPr>
          <w:rFonts w:asciiTheme="majorHAnsi" w:eastAsia="Times New Roman" w:hAnsiTheme="majorHAnsi"/>
          <w:sz w:val="20"/>
          <w:szCs w:val="20"/>
          <w:lang w:val="en-GB"/>
        </w:rPr>
        <w:t>died of natural causes in Tennessee State prison</w:t>
      </w:r>
      <w:r w:rsidR="00530412" w:rsidRPr="00530412">
        <w:rPr>
          <w:rFonts w:asciiTheme="majorHAnsi" w:eastAsia="Times New Roman" w:hAnsiTheme="majorHAnsi"/>
          <w:sz w:val="20"/>
          <w:szCs w:val="20"/>
          <w:lang w:val="en-GB"/>
        </w:rPr>
        <w:t xml:space="preserve"> on </w:t>
      </w:r>
      <w:r w:rsidR="00AD0816">
        <w:rPr>
          <w:rFonts w:asciiTheme="majorHAnsi" w:eastAsia="Times New Roman" w:hAnsiTheme="majorHAnsi"/>
          <w:sz w:val="20"/>
          <w:szCs w:val="20"/>
          <w:lang w:val="en-GB"/>
        </w:rPr>
        <w:t>November 27, 2014</w:t>
      </w:r>
      <w:r w:rsidRPr="006F1EB8">
        <w:rPr>
          <w:rFonts w:asciiTheme="majorHAnsi" w:eastAsia="Times New Roman" w:hAnsiTheme="majorHAnsi"/>
          <w:sz w:val="20"/>
          <w:szCs w:val="20"/>
          <w:lang w:val="en-GB"/>
        </w:rPr>
        <w:t>.</w:t>
      </w:r>
    </w:p>
    <w:p w14:paraId="33824FB6" w14:textId="77777777" w:rsidR="00C87D62" w:rsidRPr="00487254" w:rsidRDefault="00C87D62" w:rsidP="00C87D62">
      <w:pPr>
        <w:tabs>
          <w:tab w:val="left" w:pos="2931"/>
        </w:tabs>
        <w:rPr>
          <w:sz w:val="20"/>
          <w:szCs w:val="20"/>
        </w:rPr>
      </w:pPr>
    </w:p>
    <w:p w14:paraId="2938B5BC" w14:textId="77777777" w:rsidR="001C4006" w:rsidRPr="00597FBE" w:rsidRDefault="00EA425E"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rPr>
      </w:pPr>
      <w:r w:rsidRPr="00EA425E">
        <w:rPr>
          <w:rFonts w:asciiTheme="majorHAnsi" w:hAnsiTheme="majorHAnsi"/>
          <w:color w:val="000000" w:themeColor="text1"/>
          <w:sz w:val="20"/>
          <w:szCs w:val="20"/>
        </w:rPr>
        <w:t xml:space="preserve">The Commission approved </w:t>
      </w:r>
      <w:r w:rsidRPr="00203307">
        <w:rPr>
          <w:rFonts w:asciiTheme="majorHAnsi" w:hAnsiTheme="majorHAnsi"/>
          <w:color w:val="000000" w:themeColor="text1"/>
          <w:sz w:val="20"/>
          <w:szCs w:val="20"/>
        </w:rPr>
        <w:t xml:space="preserve">its admissibility report </w:t>
      </w:r>
      <w:r w:rsidR="00203307">
        <w:rPr>
          <w:rFonts w:ascii="Cambria" w:eastAsia="Cambria" w:hAnsi="Cambria" w:cs="Cambria"/>
          <w:sz w:val="20"/>
          <w:szCs w:val="20"/>
        </w:rPr>
        <w:t xml:space="preserve">No. </w:t>
      </w:r>
      <w:r w:rsidR="00B64AA8">
        <w:rPr>
          <w:rFonts w:ascii="Cambria" w:eastAsia="Cambria" w:hAnsi="Cambria" w:cs="Cambria"/>
          <w:sz w:val="20"/>
          <w:szCs w:val="20"/>
        </w:rPr>
        <w:t>132/11</w:t>
      </w:r>
      <w:r w:rsidRPr="00203307">
        <w:rPr>
          <w:rFonts w:ascii="Cambria" w:eastAsia="Cambria" w:hAnsi="Cambria" w:cs="Cambria"/>
          <w:sz w:val="20"/>
          <w:szCs w:val="20"/>
        </w:rPr>
        <w:t xml:space="preserve"> on </w:t>
      </w:r>
      <w:r w:rsidR="00B64AA8">
        <w:rPr>
          <w:rFonts w:ascii="Cambria" w:eastAsia="Cambria" w:hAnsi="Cambria" w:cs="Cambria"/>
          <w:sz w:val="20"/>
          <w:szCs w:val="20"/>
        </w:rPr>
        <w:t>October 19, 2011</w:t>
      </w:r>
      <w:r w:rsidR="00EF3F74">
        <w:rPr>
          <w:rFonts w:ascii="Cambria" w:eastAsia="Cambria" w:hAnsi="Cambria" w:cs="Cambria"/>
          <w:sz w:val="20"/>
          <w:szCs w:val="20"/>
        </w:rPr>
        <w:t>,</w:t>
      </w:r>
      <w:r w:rsidR="005028FE" w:rsidRPr="00203307">
        <w:rPr>
          <w:rStyle w:val="FootnoteReference"/>
          <w:rFonts w:ascii="Cambria" w:eastAsia="Cambria" w:hAnsi="Cambria"/>
          <w:sz w:val="20"/>
          <w:szCs w:val="20"/>
        </w:rPr>
        <w:footnoteReference w:id="3"/>
      </w:r>
      <w:r w:rsidR="007E5C9F">
        <w:rPr>
          <w:rFonts w:ascii="Cambria" w:eastAsia="Cambria" w:hAnsi="Cambria" w:cs="Cambria"/>
          <w:sz w:val="20"/>
          <w:szCs w:val="20"/>
        </w:rPr>
        <w:t xml:space="preserve"> and </w:t>
      </w:r>
      <w:r w:rsidR="00B42E30">
        <w:rPr>
          <w:rFonts w:ascii="Cambria" w:eastAsia="Cambria" w:hAnsi="Cambria" w:cs="Cambria"/>
          <w:sz w:val="20"/>
          <w:szCs w:val="20"/>
        </w:rPr>
        <w:t>by note of November 10, 2011</w:t>
      </w:r>
      <w:r w:rsidR="00505B8A">
        <w:rPr>
          <w:rFonts w:ascii="Cambria" w:eastAsia="Cambria" w:hAnsi="Cambria" w:cs="Cambria"/>
          <w:sz w:val="20"/>
          <w:szCs w:val="20"/>
        </w:rPr>
        <w:t>,</w:t>
      </w:r>
      <w:r w:rsidR="00B42E30">
        <w:rPr>
          <w:rFonts w:ascii="Cambria" w:eastAsia="Cambria" w:hAnsi="Cambria" w:cs="Cambria"/>
          <w:sz w:val="20"/>
          <w:szCs w:val="20"/>
        </w:rPr>
        <w:t xml:space="preserve"> </w:t>
      </w:r>
      <w:r w:rsidR="001C4006" w:rsidRPr="00083E3C">
        <w:rPr>
          <w:rFonts w:asciiTheme="majorHAnsi" w:hAnsiTheme="majorHAnsi"/>
          <w:color w:val="000000" w:themeColor="text1"/>
          <w:sz w:val="20"/>
          <w:szCs w:val="20"/>
        </w:rPr>
        <w:t>notified</w:t>
      </w:r>
      <w:r w:rsidR="003371DA">
        <w:rPr>
          <w:rFonts w:asciiTheme="majorHAnsi" w:hAnsiTheme="majorHAnsi"/>
          <w:color w:val="000000" w:themeColor="text1"/>
          <w:sz w:val="20"/>
          <w:szCs w:val="20"/>
        </w:rPr>
        <w:t xml:space="preserve"> </w:t>
      </w:r>
      <w:r w:rsidR="001C4006" w:rsidRPr="00083E3C">
        <w:rPr>
          <w:rFonts w:asciiTheme="majorHAnsi" w:hAnsiTheme="majorHAnsi"/>
          <w:color w:val="000000" w:themeColor="text1"/>
          <w:sz w:val="20"/>
          <w:szCs w:val="20"/>
        </w:rPr>
        <w:t>th</w:t>
      </w:r>
      <w:r w:rsidR="00DA7151" w:rsidRPr="00083E3C">
        <w:rPr>
          <w:rFonts w:asciiTheme="majorHAnsi" w:hAnsiTheme="majorHAnsi"/>
          <w:color w:val="000000" w:themeColor="text1"/>
          <w:sz w:val="20"/>
          <w:szCs w:val="20"/>
        </w:rPr>
        <w:t>e</w:t>
      </w:r>
      <w:r w:rsidR="001C4006" w:rsidRPr="00083E3C">
        <w:rPr>
          <w:rFonts w:asciiTheme="majorHAnsi" w:hAnsiTheme="majorHAnsi"/>
          <w:color w:val="000000" w:themeColor="text1"/>
          <w:sz w:val="20"/>
          <w:szCs w:val="20"/>
        </w:rPr>
        <w:t xml:space="preserve"> report to the parties</w:t>
      </w:r>
      <w:r w:rsidR="007E5C9F">
        <w:rPr>
          <w:rFonts w:asciiTheme="majorHAnsi" w:hAnsiTheme="majorHAnsi"/>
          <w:color w:val="000000" w:themeColor="text1"/>
          <w:sz w:val="20"/>
          <w:szCs w:val="20"/>
        </w:rPr>
        <w:t>, placing</w:t>
      </w:r>
      <w:r w:rsidR="001C4006" w:rsidRPr="00083E3C">
        <w:rPr>
          <w:rFonts w:asciiTheme="majorHAnsi" w:hAnsiTheme="majorHAnsi"/>
          <w:color w:val="000000" w:themeColor="text1"/>
          <w:sz w:val="20"/>
          <w:szCs w:val="20"/>
        </w:rPr>
        <w:t xml:space="preserve"> itself at the</w:t>
      </w:r>
      <w:r w:rsidR="007E5C9F">
        <w:rPr>
          <w:rFonts w:asciiTheme="majorHAnsi" w:hAnsiTheme="majorHAnsi"/>
          <w:color w:val="000000" w:themeColor="text1"/>
          <w:sz w:val="20"/>
          <w:szCs w:val="20"/>
        </w:rPr>
        <w:t>ir</w:t>
      </w:r>
      <w:r w:rsidR="001C4006" w:rsidRPr="00083E3C">
        <w:rPr>
          <w:rFonts w:asciiTheme="majorHAnsi" w:hAnsiTheme="majorHAnsi"/>
          <w:color w:val="000000" w:themeColor="text1"/>
          <w:sz w:val="20"/>
          <w:szCs w:val="20"/>
        </w:rPr>
        <w:t xml:space="preserve"> disposition to reach a friendly settlement. The parties </w:t>
      </w:r>
      <w:r w:rsidR="00092817" w:rsidRPr="00597FBE">
        <w:rPr>
          <w:rFonts w:asciiTheme="majorHAnsi" w:hAnsiTheme="majorHAnsi"/>
          <w:color w:val="000000" w:themeColor="text1"/>
          <w:sz w:val="20"/>
          <w:szCs w:val="20"/>
        </w:rPr>
        <w:t xml:space="preserve">were allocated </w:t>
      </w:r>
      <w:r w:rsidR="001C4006" w:rsidRPr="00597FBE">
        <w:rPr>
          <w:rFonts w:asciiTheme="majorHAnsi" w:hAnsiTheme="majorHAnsi"/>
          <w:color w:val="000000" w:themeColor="text1"/>
          <w:sz w:val="20"/>
          <w:szCs w:val="20"/>
        </w:rPr>
        <w:t>the time periods provided for in the IACHR’s Rules of Procedure to present additional observations on the merits</w:t>
      </w:r>
      <w:r w:rsidR="00092817" w:rsidRPr="00597FBE">
        <w:rPr>
          <w:rFonts w:asciiTheme="majorHAnsi" w:hAnsiTheme="majorHAnsi"/>
          <w:color w:val="000000" w:themeColor="text1"/>
          <w:sz w:val="20"/>
          <w:szCs w:val="20"/>
        </w:rPr>
        <w:t xml:space="preserve"> of the case</w:t>
      </w:r>
      <w:r w:rsidR="001C4006" w:rsidRPr="00597FBE">
        <w:rPr>
          <w:rFonts w:asciiTheme="majorHAnsi" w:hAnsiTheme="majorHAnsi"/>
          <w:color w:val="000000" w:themeColor="text1"/>
          <w:sz w:val="20"/>
          <w:szCs w:val="20"/>
        </w:rPr>
        <w:t xml:space="preserve">. All </w:t>
      </w:r>
      <w:r w:rsidR="00092817" w:rsidRPr="00597FBE">
        <w:rPr>
          <w:rFonts w:asciiTheme="majorHAnsi" w:hAnsiTheme="majorHAnsi"/>
          <w:color w:val="000000" w:themeColor="text1"/>
          <w:sz w:val="20"/>
          <w:szCs w:val="20"/>
        </w:rPr>
        <w:t xml:space="preserve">of </w:t>
      </w:r>
      <w:r w:rsidR="001C4006" w:rsidRPr="00597FBE">
        <w:rPr>
          <w:rFonts w:asciiTheme="majorHAnsi" w:hAnsiTheme="majorHAnsi"/>
          <w:color w:val="000000" w:themeColor="text1"/>
          <w:sz w:val="20"/>
          <w:szCs w:val="20"/>
        </w:rPr>
        <w:t xml:space="preserve">the information received by the </w:t>
      </w:r>
      <w:r w:rsidR="00DA7151" w:rsidRPr="00597FBE">
        <w:rPr>
          <w:rFonts w:asciiTheme="majorHAnsi" w:hAnsiTheme="majorHAnsi"/>
          <w:color w:val="000000" w:themeColor="text1"/>
          <w:sz w:val="20"/>
          <w:szCs w:val="20"/>
        </w:rPr>
        <w:t>IACHR</w:t>
      </w:r>
      <w:r w:rsidR="001C4006" w:rsidRPr="00597FBE">
        <w:rPr>
          <w:rFonts w:asciiTheme="majorHAnsi" w:hAnsiTheme="majorHAnsi"/>
          <w:color w:val="000000" w:themeColor="text1"/>
          <w:sz w:val="20"/>
          <w:szCs w:val="20"/>
        </w:rPr>
        <w:t xml:space="preserve"> was duly transmitted to the parties. </w:t>
      </w:r>
    </w:p>
    <w:p w14:paraId="7FA0C51C" w14:textId="77777777" w:rsidR="001C4006" w:rsidRPr="00597FBE"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color w:val="000000" w:themeColor="text1"/>
          <w:sz w:val="20"/>
          <w:szCs w:val="20"/>
        </w:rPr>
      </w:pPr>
    </w:p>
    <w:p w14:paraId="55B6BEE1" w14:textId="77777777" w:rsidR="001C4006" w:rsidRPr="00597FBE" w:rsidRDefault="001C4006" w:rsidP="00AE6157">
      <w:pPr>
        <w:pStyle w:val="Heading1"/>
        <w:tabs>
          <w:tab w:val="left" w:pos="360"/>
        </w:tabs>
        <w:spacing w:before="0"/>
        <w:ind w:hanging="720"/>
        <w:rPr>
          <w:color w:val="auto"/>
          <w:sz w:val="20"/>
          <w:szCs w:val="20"/>
        </w:rPr>
      </w:pPr>
      <w:bookmarkStart w:id="1" w:name="_Toc90300510"/>
      <w:r w:rsidRPr="00597FBE">
        <w:rPr>
          <w:color w:val="auto"/>
          <w:sz w:val="20"/>
          <w:szCs w:val="20"/>
        </w:rPr>
        <w:t>POSITIONS OF THE PARTIES</w:t>
      </w:r>
      <w:bookmarkEnd w:id="1"/>
    </w:p>
    <w:p w14:paraId="5EC59361" w14:textId="77777777" w:rsidR="001C4006" w:rsidRPr="00597FBE" w:rsidRDefault="001C4006" w:rsidP="00BB5A59">
      <w:pPr>
        <w:suppressAutoHyphens/>
        <w:ind w:left="1440" w:hanging="720"/>
        <w:rPr>
          <w:rFonts w:asciiTheme="majorHAnsi" w:hAnsiTheme="majorHAnsi"/>
          <w:sz w:val="20"/>
          <w:szCs w:val="20"/>
        </w:rPr>
      </w:pPr>
    </w:p>
    <w:p w14:paraId="5CB3E1AE" w14:textId="77777777" w:rsidR="005C164F" w:rsidRPr="00597FBE" w:rsidRDefault="005C164F" w:rsidP="00AE6157">
      <w:pPr>
        <w:pStyle w:val="Heading2"/>
        <w:numPr>
          <w:ilvl w:val="0"/>
          <w:numId w:val="58"/>
        </w:numPr>
        <w:tabs>
          <w:tab w:val="left" w:pos="360"/>
        </w:tabs>
        <w:spacing w:before="0"/>
        <w:ind w:hanging="720"/>
        <w:rPr>
          <w:color w:val="auto"/>
          <w:sz w:val="20"/>
          <w:szCs w:val="20"/>
        </w:rPr>
      </w:pPr>
      <w:bookmarkStart w:id="2" w:name="_Toc90300511"/>
      <w:r w:rsidRPr="00597FBE">
        <w:rPr>
          <w:color w:val="auto"/>
          <w:sz w:val="20"/>
          <w:szCs w:val="20"/>
        </w:rPr>
        <w:t>P</w:t>
      </w:r>
      <w:r w:rsidR="00262ECA" w:rsidRPr="00597FBE">
        <w:rPr>
          <w:color w:val="auto"/>
          <w:sz w:val="20"/>
          <w:szCs w:val="20"/>
        </w:rPr>
        <w:t>etitioners</w:t>
      </w:r>
      <w:bookmarkEnd w:id="2"/>
    </w:p>
    <w:p w14:paraId="7BE5AA32" w14:textId="77777777" w:rsidR="005C164F" w:rsidRPr="00597FBE" w:rsidRDefault="005C164F" w:rsidP="00BB5A59">
      <w:pPr>
        <w:suppressAutoHyphens/>
        <w:ind w:left="1440" w:hanging="720"/>
        <w:rPr>
          <w:rFonts w:asciiTheme="majorHAnsi" w:hAnsiTheme="majorHAnsi"/>
          <w:sz w:val="20"/>
          <w:szCs w:val="20"/>
        </w:rPr>
      </w:pPr>
    </w:p>
    <w:p w14:paraId="34BF4623" w14:textId="77777777" w:rsidR="00CF39D1" w:rsidRPr="00597FBE" w:rsidRDefault="00CF39D1"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597FBE">
        <w:rPr>
          <w:rFonts w:asciiTheme="majorHAnsi" w:hAnsiTheme="majorHAnsi" w:cs="Arial"/>
          <w:sz w:val="20"/>
          <w:szCs w:val="20"/>
        </w:rPr>
        <w:t xml:space="preserve">According to the petition, Mr. Thompson, an African-American man diagnosed with several psychotic disorders and who suffered from active delusions even while on medication, was convicted for murder and sentenced to death. </w:t>
      </w:r>
      <w:r w:rsidR="00664E64" w:rsidRPr="00597FBE">
        <w:rPr>
          <w:rFonts w:asciiTheme="majorHAnsi" w:hAnsiTheme="majorHAnsi" w:cs="Arial"/>
          <w:sz w:val="20"/>
          <w:szCs w:val="20"/>
        </w:rPr>
        <w:t>Petitioners allege that, in Mr. Thompson’s mind, he and his co-defendant, a teenage white female, were on the run from the Ku Klux Klan the day of the murder.</w:t>
      </w:r>
    </w:p>
    <w:p w14:paraId="28F27DDD" w14:textId="77777777" w:rsidR="00CF39D1" w:rsidRPr="00597FBE" w:rsidRDefault="00CF39D1" w:rsidP="00CF39D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eastAsia="Times New Roman" w:hAnsiTheme="majorHAnsi"/>
          <w:sz w:val="20"/>
          <w:szCs w:val="20"/>
        </w:rPr>
      </w:pPr>
    </w:p>
    <w:p w14:paraId="79D35642" w14:textId="77777777" w:rsidR="002D09CE" w:rsidRPr="002D09CE" w:rsidRDefault="001E416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eastAsia="Times New Roman" w:hAnsiTheme="majorHAnsi"/>
          <w:sz w:val="20"/>
          <w:szCs w:val="20"/>
        </w:rPr>
      </w:pPr>
      <w:r w:rsidRPr="00597FBE">
        <w:rPr>
          <w:rFonts w:asciiTheme="majorHAnsi" w:hAnsiTheme="majorHAnsi" w:cs="Arial"/>
          <w:sz w:val="20"/>
          <w:szCs w:val="20"/>
        </w:rPr>
        <w:t xml:space="preserve">The petitioners’ main claim is the </w:t>
      </w:r>
      <w:r w:rsidR="00560C1A" w:rsidRPr="00597FBE">
        <w:rPr>
          <w:rFonts w:asciiTheme="majorHAnsi" w:hAnsiTheme="majorHAnsi" w:cs="Arial"/>
          <w:sz w:val="20"/>
          <w:szCs w:val="20"/>
        </w:rPr>
        <w:t xml:space="preserve">initial disregard by state attorneys and inconsistent judicial treatment </w:t>
      </w:r>
      <w:r w:rsidR="00E05A56" w:rsidRPr="00597FBE">
        <w:rPr>
          <w:rFonts w:asciiTheme="majorHAnsi" w:hAnsiTheme="majorHAnsi" w:cs="Arial"/>
          <w:sz w:val="20"/>
          <w:szCs w:val="20"/>
        </w:rPr>
        <w:t xml:space="preserve">of the </w:t>
      </w:r>
      <w:r w:rsidRPr="00597FBE">
        <w:rPr>
          <w:rFonts w:asciiTheme="majorHAnsi" w:hAnsiTheme="majorHAnsi" w:cs="Arial"/>
          <w:sz w:val="20"/>
          <w:szCs w:val="20"/>
        </w:rPr>
        <w:t>alleged mental incapacity of Mr. Thompson, who they claim had been diagnosed with bipolar affective disorder, schizo-affective disorder, and schizophrenia. They point out that this severe mental illness has been documented by p</w:t>
      </w:r>
      <w:r w:rsidR="002B28EE" w:rsidRPr="00597FBE">
        <w:rPr>
          <w:rFonts w:asciiTheme="majorHAnsi" w:hAnsiTheme="majorHAnsi" w:cs="Arial"/>
          <w:sz w:val="20"/>
          <w:szCs w:val="20"/>
        </w:rPr>
        <w:t>rofessionals of the state over</w:t>
      </w:r>
      <w:r w:rsidRPr="00597FBE">
        <w:rPr>
          <w:rFonts w:asciiTheme="majorHAnsi" w:hAnsiTheme="majorHAnsi" w:cs="Arial"/>
          <w:sz w:val="20"/>
          <w:szCs w:val="20"/>
        </w:rPr>
        <w:t xml:space="preserve"> nearly</w:t>
      </w:r>
      <w:r w:rsidR="002B28EE" w:rsidRPr="00597FBE">
        <w:rPr>
          <w:rFonts w:asciiTheme="majorHAnsi" w:hAnsiTheme="majorHAnsi" w:cs="Arial"/>
          <w:sz w:val="20"/>
          <w:szCs w:val="20"/>
        </w:rPr>
        <w:t xml:space="preserve"> a</w:t>
      </w:r>
      <w:r w:rsidRPr="00597FBE">
        <w:rPr>
          <w:rFonts w:asciiTheme="majorHAnsi" w:hAnsiTheme="majorHAnsi" w:cs="Arial"/>
          <w:sz w:val="20"/>
          <w:szCs w:val="20"/>
        </w:rPr>
        <w:t xml:space="preserve"> twenty year period. </w:t>
      </w:r>
      <w:r w:rsidR="002D09CE" w:rsidRPr="00597FBE">
        <w:rPr>
          <w:rFonts w:asciiTheme="majorHAnsi" w:hAnsiTheme="majorHAnsi"/>
          <w:sz w:val="20"/>
          <w:szCs w:val="20"/>
        </w:rPr>
        <w:t>The petitioners</w:t>
      </w:r>
      <w:r w:rsidR="002B28EE" w:rsidRPr="00597FBE">
        <w:rPr>
          <w:rFonts w:asciiTheme="majorHAnsi" w:hAnsiTheme="majorHAnsi"/>
          <w:sz w:val="20"/>
          <w:szCs w:val="20"/>
        </w:rPr>
        <w:t xml:space="preserve"> contend that the state of Tennessee violated Mr. Thompsons</w:t>
      </w:r>
      <w:r w:rsidR="002B28EE" w:rsidRPr="002D09CE">
        <w:rPr>
          <w:rFonts w:asciiTheme="majorHAnsi" w:hAnsiTheme="majorHAnsi"/>
          <w:sz w:val="20"/>
          <w:szCs w:val="20"/>
        </w:rPr>
        <w:t xml:space="preserve"> due process rights by withholding information from the courts and the defense about the existence and severity of his mental illness and that the alleged victim’s trial counsel did not provide effective </w:t>
      </w:r>
      <w:r w:rsidR="004566A4">
        <w:rPr>
          <w:rFonts w:asciiTheme="majorHAnsi" w:hAnsiTheme="majorHAnsi"/>
          <w:sz w:val="20"/>
          <w:szCs w:val="20"/>
        </w:rPr>
        <w:t>representatio</w:t>
      </w:r>
      <w:r w:rsidR="002B28EE" w:rsidRPr="002D09CE">
        <w:rPr>
          <w:rFonts w:asciiTheme="majorHAnsi" w:hAnsiTheme="majorHAnsi"/>
          <w:sz w:val="20"/>
          <w:szCs w:val="20"/>
        </w:rPr>
        <w:t>n</w:t>
      </w:r>
      <w:r w:rsidR="004566A4">
        <w:rPr>
          <w:rFonts w:asciiTheme="majorHAnsi" w:hAnsiTheme="majorHAnsi"/>
          <w:sz w:val="20"/>
          <w:szCs w:val="20"/>
        </w:rPr>
        <w:t>.</w:t>
      </w:r>
      <w:r w:rsidR="002B28EE" w:rsidRPr="002D09CE">
        <w:rPr>
          <w:rFonts w:asciiTheme="majorHAnsi" w:hAnsiTheme="majorHAnsi"/>
          <w:sz w:val="20"/>
          <w:szCs w:val="20"/>
        </w:rPr>
        <w:t xml:space="preserve"> </w:t>
      </w:r>
      <w:r w:rsidR="002D09CE">
        <w:rPr>
          <w:rFonts w:asciiTheme="majorHAnsi" w:hAnsiTheme="majorHAnsi" w:cs="Arial"/>
          <w:sz w:val="20"/>
          <w:szCs w:val="20"/>
        </w:rPr>
        <w:t>Further,</w:t>
      </w:r>
      <w:r w:rsidR="002D09CE" w:rsidRPr="002D09CE">
        <w:rPr>
          <w:rFonts w:asciiTheme="majorHAnsi" w:hAnsiTheme="majorHAnsi" w:cs="Arial"/>
          <w:sz w:val="20"/>
          <w:szCs w:val="20"/>
        </w:rPr>
        <w:t xml:space="preserve"> that executing someone who is mentally incompetent is inconsistent with due process and with the prohibition against cruel, infamous, and unusual punishment.</w:t>
      </w:r>
    </w:p>
    <w:p w14:paraId="3BA10D0D" w14:textId="77777777" w:rsidR="002D09CE" w:rsidRPr="002D09CE" w:rsidRDefault="002D09CE" w:rsidP="002D09C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2C7E74EE" w14:textId="77777777" w:rsidR="00AB2836" w:rsidRDefault="00AB2836"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Pr>
          <w:rFonts w:asciiTheme="majorHAnsi" w:hAnsiTheme="majorHAnsi" w:cs="Arial"/>
          <w:sz w:val="20"/>
          <w:szCs w:val="20"/>
        </w:rPr>
        <w:t>Specifically, the petitioners argue</w:t>
      </w:r>
      <w:r w:rsidR="001E416C" w:rsidRPr="00AB2836">
        <w:rPr>
          <w:rFonts w:asciiTheme="majorHAnsi" w:hAnsiTheme="majorHAnsi" w:cs="Arial"/>
          <w:sz w:val="20"/>
          <w:szCs w:val="20"/>
        </w:rPr>
        <w:t xml:space="preserve"> that the prosecutor misled the jury during the court proceeding by failing to disclose available evidence concerning Mr. Thompson’s </w:t>
      </w:r>
      <w:r w:rsidR="00BF299E">
        <w:rPr>
          <w:rFonts w:asciiTheme="majorHAnsi" w:hAnsiTheme="majorHAnsi" w:cs="Arial"/>
          <w:sz w:val="20"/>
          <w:szCs w:val="20"/>
        </w:rPr>
        <w:t xml:space="preserve">mental </w:t>
      </w:r>
      <w:r w:rsidR="001E416C" w:rsidRPr="00AB2836">
        <w:rPr>
          <w:rFonts w:asciiTheme="majorHAnsi" w:hAnsiTheme="majorHAnsi" w:cs="Arial"/>
          <w:sz w:val="20"/>
          <w:szCs w:val="20"/>
        </w:rPr>
        <w:t xml:space="preserve">incapacity. </w:t>
      </w:r>
      <w:r>
        <w:rPr>
          <w:rFonts w:asciiTheme="majorHAnsi" w:hAnsiTheme="majorHAnsi" w:cs="Arial"/>
          <w:sz w:val="20"/>
          <w:szCs w:val="20"/>
        </w:rPr>
        <w:t>It is</w:t>
      </w:r>
      <w:r w:rsidR="001E416C" w:rsidRPr="00AB2836">
        <w:rPr>
          <w:rFonts w:asciiTheme="majorHAnsi" w:hAnsiTheme="majorHAnsi" w:cs="Arial"/>
          <w:sz w:val="20"/>
          <w:szCs w:val="20"/>
        </w:rPr>
        <w:t xml:space="preserve"> maintain</w:t>
      </w:r>
      <w:r>
        <w:rPr>
          <w:rFonts w:asciiTheme="majorHAnsi" w:hAnsiTheme="majorHAnsi" w:cs="Arial"/>
          <w:sz w:val="20"/>
          <w:szCs w:val="20"/>
        </w:rPr>
        <w:t>ed</w:t>
      </w:r>
      <w:r w:rsidR="001E416C" w:rsidRPr="00AB2836">
        <w:rPr>
          <w:rFonts w:asciiTheme="majorHAnsi" w:hAnsiTheme="majorHAnsi" w:cs="Arial"/>
          <w:sz w:val="20"/>
          <w:szCs w:val="20"/>
        </w:rPr>
        <w:t xml:space="preserve"> that the records at the State’s disposal would have described a significant history of psychosis and the need for multiple medications. The petitioners </w:t>
      </w:r>
      <w:r w:rsidRPr="00AB2836">
        <w:rPr>
          <w:rFonts w:asciiTheme="majorHAnsi" w:hAnsiTheme="majorHAnsi" w:cs="Arial"/>
          <w:sz w:val="20"/>
          <w:szCs w:val="20"/>
        </w:rPr>
        <w:t>assert</w:t>
      </w:r>
      <w:r w:rsidR="001E416C" w:rsidRPr="00AB2836">
        <w:rPr>
          <w:rFonts w:asciiTheme="majorHAnsi" w:hAnsiTheme="majorHAnsi" w:cs="Arial"/>
          <w:sz w:val="20"/>
          <w:szCs w:val="20"/>
        </w:rPr>
        <w:t xml:space="preserve"> that during the state post-conviction proceedings, the prosecutors repeatedly claimed that the alleged victim was not suffering from any mental illness whatsoever and that he was competent to be executed. This, notwithstanding prison records showing that state-employed professionals had diagnosed Mr. Thompson with schizophrenia, visual and auditory hallucinations, and paranoia and that he had been treated with psychotropic medications and psychotherapy. </w:t>
      </w:r>
      <w:r w:rsidRPr="00AB2836">
        <w:rPr>
          <w:rFonts w:asciiTheme="majorHAnsi" w:hAnsiTheme="majorHAnsi" w:cs="Arial"/>
          <w:sz w:val="20"/>
          <w:szCs w:val="20"/>
        </w:rPr>
        <w:t>It is added</w:t>
      </w:r>
      <w:r w:rsidR="001E416C" w:rsidRPr="00AB2836">
        <w:rPr>
          <w:rFonts w:asciiTheme="majorHAnsi" w:hAnsiTheme="majorHAnsi" w:cs="Arial"/>
          <w:sz w:val="20"/>
          <w:szCs w:val="20"/>
        </w:rPr>
        <w:t xml:space="preserve"> that not only did the prosecutors fail to provide this information to the defense as required by law, they also presented false or misleading information to the court regarding the alleged victim’s mental health. Finally, they claim that this conduct violated Mr. Thompson’s right to a fair and compreh</w:t>
      </w:r>
      <w:r w:rsidR="0034376D" w:rsidRPr="00AB2836">
        <w:rPr>
          <w:rFonts w:asciiTheme="majorHAnsi" w:hAnsiTheme="majorHAnsi" w:cs="Arial"/>
          <w:sz w:val="20"/>
          <w:szCs w:val="20"/>
        </w:rPr>
        <w:t>ensive review of his conviction</w:t>
      </w:r>
      <w:r w:rsidR="001E416C" w:rsidRPr="00AB2836">
        <w:rPr>
          <w:rFonts w:asciiTheme="majorHAnsi" w:hAnsiTheme="majorHAnsi" w:cs="Arial"/>
          <w:sz w:val="20"/>
          <w:szCs w:val="20"/>
        </w:rPr>
        <w:t>.</w:t>
      </w:r>
    </w:p>
    <w:p w14:paraId="0A5893B3" w14:textId="77777777" w:rsidR="00AB2836" w:rsidRDefault="00AB2836" w:rsidP="00AB283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Arial"/>
          <w:sz w:val="20"/>
          <w:szCs w:val="20"/>
        </w:rPr>
      </w:pPr>
    </w:p>
    <w:p w14:paraId="0326E737" w14:textId="77777777" w:rsidR="00867A46" w:rsidRPr="00D80E32" w:rsidRDefault="001E416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sidRPr="00AB2836">
        <w:rPr>
          <w:rFonts w:asciiTheme="majorHAnsi" w:hAnsiTheme="majorHAnsi" w:cs="Arial"/>
          <w:sz w:val="20"/>
          <w:szCs w:val="20"/>
        </w:rPr>
        <w:t xml:space="preserve">In relation to the alleged </w:t>
      </w:r>
      <w:r w:rsidRPr="00D80E32">
        <w:rPr>
          <w:rFonts w:asciiTheme="majorHAnsi" w:hAnsiTheme="majorHAnsi" w:cs="Arial"/>
          <w:sz w:val="20"/>
          <w:szCs w:val="20"/>
        </w:rPr>
        <w:t>inefficacy of trial counsel, the petitioners assert that the attorneys that represented the alleged victim during the trial had never litigated a death penalty case before</w:t>
      </w:r>
      <w:r w:rsidR="004566A4">
        <w:rPr>
          <w:rFonts w:asciiTheme="majorHAnsi" w:hAnsiTheme="majorHAnsi" w:cs="Arial"/>
          <w:sz w:val="20"/>
          <w:szCs w:val="20"/>
        </w:rPr>
        <w:t>.</w:t>
      </w:r>
      <w:r w:rsidRPr="00D80E32">
        <w:rPr>
          <w:rFonts w:asciiTheme="majorHAnsi" w:hAnsiTheme="majorHAnsi" w:cs="Arial"/>
          <w:sz w:val="20"/>
          <w:szCs w:val="20"/>
        </w:rPr>
        <w:t xml:space="preserve"> They add that the attorneys lacked the necessary expertise to identify an appropriate mental health professional to evaluate Mr. Thompson. Instead of a psychiatrist, they chose an industrial psychologist who performed vocational evaluations and</w:t>
      </w:r>
      <w:r w:rsidR="006B5695">
        <w:rPr>
          <w:rFonts w:asciiTheme="majorHAnsi" w:hAnsiTheme="majorHAnsi" w:cs="Arial"/>
          <w:sz w:val="20"/>
          <w:szCs w:val="20"/>
        </w:rPr>
        <w:t xml:space="preserve"> testified at </w:t>
      </w:r>
      <w:r w:rsidRPr="00D80E32">
        <w:rPr>
          <w:rFonts w:asciiTheme="majorHAnsi" w:hAnsiTheme="majorHAnsi" w:cs="Arial"/>
          <w:sz w:val="20"/>
          <w:szCs w:val="20"/>
        </w:rPr>
        <w:t xml:space="preserve">trial that the alleged victim could perform a job in prison. The petitioners point out that industrial psychologists are not trained to determine whether a person’s mental illness affects his or her </w:t>
      </w:r>
      <w:r w:rsidRPr="00D80E32">
        <w:rPr>
          <w:rFonts w:asciiTheme="majorHAnsi" w:hAnsiTheme="majorHAnsi" w:cs="Arial"/>
          <w:sz w:val="20"/>
          <w:szCs w:val="20"/>
        </w:rPr>
        <w:lastRenderedPageBreak/>
        <w:t>ability to understand legal proceedings or the impact of that illness on the commission of the crime.</w:t>
      </w:r>
      <w:r w:rsidR="0031295E" w:rsidRPr="00D80E32">
        <w:rPr>
          <w:rFonts w:asciiTheme="majorHAnsi" w:hAnsiTheme="majorHAnsi" w:cs="Arial"/>
          <w:sz w:val="20"/>
          <w:szCs w:val="20"/>
        </w:rPr>
        <w:t xml:space="preserve"> </w:t>
      </w:r>
      <w:r w:rsidR="001F5250" w:rsidRPr="001F5250">
        <w:rPr>
          <w:rFonts w:asciiTheme="majorHAnsi" w:hAnsiTheme="majorHAnsi"/>
          <w:sz w:val="20"/>
          <w:szCs w:val="20"/>
        </w:rPr>
        <w:t xml:space="preserve">The petitioners assert that </w:t>
      </w:r>
      <w:r w:rsidR="00B50DE4">
        <w:rPr>
          <w:rFonts w:asciiTheme="majorHAnsi" w:hAnsiTheme="majorHAnsi"/>
          <w:sz w:val="20"/>
          <w:szCs w:val="20"/>
        </w:rPr>
        <w:t>s</w:t>
      </w:r>
      <w:r w:rsidR="00B50DE4" w:rsidRPr="001F5250">
        <w:rPr>
          <w:rFonts w:asciiTheme="majorHAnsi" w:hAnsiTheme="majorHAnsi"/>
          <w:sz w:val="20"/>
          <w:szCs w:val="20"/>
        </w:rPr>
        <w:t xml:space="preserve">tate </w:t>
      </w:r>
      <w:r w:rsidR="001F5250" w:rsidRPr="001F5250">
        <w:rPr>
          <w:rFonts w:asciiTheme="majorHAnsi" w:hAnsiTheme="majorHAnsi"/>
          <w:sz w:val="20"/>
          <w:szCs w:val="20"/>
        </w:rPr>
        <w:t xml:space="preserve">appointed counsel’s failure to request appropriate expert evidence on psychological health of </w:t>
      </w:r>
      <w:r w:rsidR="00511952">
        <w:rPr>
          <w:rFonts w:asciiTheme="majorHAnsi" w:hAnsiTheme="majorHAnsi"/>
          <w:sz w:val="20"/>
          <w:szCs w:val="20"/>
        </w:rPr>
        <w:t xml:space="preserve">Mr. </w:t>
      </w:r>
      <w:r w:rsidR="001F5250" w:rsidRPr="001F5250">
        <w:rPr>
          <w:rFonts w:asciiTheme="majorHAnsi" w:hAnsiTheme="majorHAnsi"/>
          <w:sz w:val="20"/>
          <w:szCs w:val="20"/>
        </w:rPr>
        <w:t>Thompson resulted in an omission of findings of actual mental health problems that were discovered by Brad Fisher (“Fisher”), Ph. D a licensed clinical psychologist and Dr. James Merikangas (“Merikangas”), a psychiatrist and neurologist.</w:t>
      </w:r>
      <w:r w:rsidR="001F5250">
        <w:rPr>
          <w:rFonts w:asciiTheme="majorHAnsi" w:hAnsiTheme="majorHAnsi"/>
          <w:sz w:val="20"/>
          <w:szCs w:val="20"/>
        </w:rPr>
        <w:t xml:space="preserve"> </w:t>
      </w:r>
      <w:r w:rsidRPr="00D80E32">
        <w:rPr>
          <w:rFonts w:asciiTheme="majorHAnsi" w:hAnsiTheme="majorHAnsi" w:cs="Arial"/>
          <w:sz w:val="20"/>
          <w:szCs w:val="20"/>
        </w:rPr>
        <w:t xml:space="preserve">The petitioners conclude that because the attorneys did not know how to identify an appropriate expert in the case, the jury was denied the opportunity to hear convincing evidence about the severity of the alleged victim’s mental illness. </w:t>
      </w:r>
    </w:p>
    <w:p w14:paraId="0680CA67" w14:textId="77777777" w:rsidR="007D6313" w:rsidRDefault="007D6313" w:rsidP="007D6313">
      <w:pPr>
        <w:pStyle w:val="ListParagraph"/>
        <w:rPr>
          <w:rFonts w:asciiTheme="majorHAnsi" w:hAnsiTheme="majorHAnsi" w:cs="Arial"/>
          <w:sz w:val="20"/>
          <w:szCs w:val="20"/>
        </w:rPr>
      </w:pPr>
    </w:p>
    <w:p w14:paraId="15E18559" w14:textId="77777777" w:rsidR="007D6313" w:rsidRDefault="007D6313"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Pr>
          <w:rFonts w:asciiTheme="majorHAnsi" w:hAnsiTheme="majorHAnsi" w:cs="Arial"/>
          <w:sz w:val="20"/>
          <w:szCs w:val="20"/>
        </w:rPr>
        <w:t xml:space="preserve">The </w:t>
      </w:r>
      <w:r w:rsidR="00B50DE4">
        <w:rPr>
          <w:rFonts w:asciiTheme="majorHAnsi" w:hAnsiTheme="majorHAnsi" w:cs="Arial"/>
          <w:sz w:val="20"/>
          <w:szCs w:val="20"/>
        </w:rPr>
        <w:t>p</w:t>
      </w:r>
      <w:r>
        <w:rPr>
          <w:rFonts w:asciiTheme="majorHAnsi" w:hAnsiTheme="majorHAnsi" w:cs="Arial"/>
          <w:sz w:val="20"/>
          <w:szCs w:val="20"/>
        </w:rPr>
        <w:t>etitioners also assert that Mr. Thompson did not receive an impartial trial by a jury of his peers when the State improperly excluded a juror based on race and made improper race-based comments during the trial which biased the trial and rendered it fundamentally unfair</w:t>
      </w:r>
      <w:r w:rsidR="00E872F8">
        <w:rPr>
          <w:rFonts w:asciiTheme="majorHAnsi" w:hAnsiTheme="majorHAnsi" w:cs="Arial"/>
          <w:sz w:val="20"/>
          <w:szCs w:val="20"/>
        </w:rPr>
        <w:t>.</w:t>
      </w:r>
      <w:r>
        <w:rPr>
          <w:rFonts w:asciiTheme="majorHAnsi" w:hAnsiTheme="majorHAnsi" w:cs="Arial"/>
          <w:sz w:val="20"/>
          <w:szCs w:val="20"/>
        </w:rPr>
        <w:t xml:space="preserve"> </w:t>
      </w:r>
    </w:p>
    <w:p w14:paraId="07C56D16" w14:textId="77777777" w:rsidR="00867A46" w:rsidRDefault="00867A46" w:rsidP="00867A46">
      <w:pPr>
        <w:pStyle w:val="ListParagraph"/>
        <w:rPr>
          <w:rFonts w:asciiTheme="majorHAnsi" w:hAnsiTheme="majorHAnsi" w:cs="Arial"/>
          <w:sz w:val="20"/>
          <w:szCs w:val="20"/>
        </w:rPr>
      </w:pPr>
    </w:p>
    <w:p w14:paraId="3BF68D57" w14:textId="77777777" w:rsidR="001E416C" w:rsidRPr="00E8557E" w:rsidRDefault="001E416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sidRPr="00E8557E">
        <w:rPr>
          <w:rFonts w:asciiTheme="majorHAnsi" w:hAnsiTheme="majorHAnsi" w:cs="Arial"/>
          <w:sz w:val="20"/>
          <w:szCs w:val="20"/>
        </w:rPr>
        <w:t>Based on the foregoing, the petitioners claim that the state of Tennessee and the United States violated the rig</w:t>
      </w:r>
      <w:r w:rsidR="00FA767C" w:rsidRPr="00E8557E">
        <w:rPr>
          <w:rFonts w:asciiTheme="majorHAnsi" w:hAnsiTheme="majorHAnsi" w:cs="Arial"/>
          <w:sz w:val="20"/>
          <w:szCs w:val="20"/>
        </w:rPr>
        <w:t>hts enshrined in Articles I,</w:t>
      </w:r>
      <w:r w:rsidRPr="00E8557E">
        <w:rPr>
          <w:rFonts w:asciiTheme="majorHAnsi" w:hAnsiTheme="majorHAnsi" w:cs="Arial"/>
          <w:sz w:val="20"/>
          <w:szCs w:val="20"/>
        </w:rPr>
        <w:t xml:space="preserve"> XVIII, and XXVI of the American Declaration to the detriment of Mr. Thompson</w:t>
      </w:r>
      <w:r w:rsidR="00E2352B" w:rsidRPr="00E8557E">
        <w:rPr>
          <w:rFonts w:asciiTheme="majorHAnsi" w:hAnsiTheme="majorHAnsi" w:cs="Arial"/>
          <w:sz w:val="20"/>
          <w:szCs w:val="20"/>
        </w:rPr>
        <w:t>.</w:t>
      </w:r>
    </w:p>
    <w:p w14:paraId="7C992878" w14:textId="77777777" w:rsidR="00815FD5" w:rsidRPr="00E8557E" w:rsidRDefault="00815FD5" w:rsidP="00815FD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Times New Roman" w:hAnsiTheme="majorHAnsi"/>
          <w:sz w:val="20"/>
          <w:szCs w:val="20"/>
        </w:rPr>
      </w:pPr>
    </w:p>
    <w:p w14:paraId="1AB26E4B" w14:textId="77777777" w:rsidR="001C4006" w:rsidRPr="00E8557E" w:rsidRDefault="001C4006" w:rsidP="00AE6157">
      <w:pPr>
        <w:pStyle w:val="Heading2"/>
        <w:numPr>
          <w:ilvl w:val="0"/>
          <w:numId w:val="58"/>
        </w:numPr>
        <w:tabs>
          <w:tab w:val="left" w:pos="360"/>
        </w:tabs>
        <w:spacing w:before="0"/>
        <w:ind w:hanging="720"/>
        <w:rPr>
          <w:color w:val="auto"/>
          <w:sz w:val="20"/>
          <w:szCs w:val="20"/>
        </w:rPr>
      </w:pPr>
      <w:bookmarkStart w:id="3" w:name="_Toc90300512"/>
      <w:r w:rsidRPr="00E8557E">
        <w:rPr>
          <w:color w:val="auto"/>
          <w:sz w:val="20"/>
          <w:szCs w:val="20"/>
        </w:rPr>
        <w:t>S</w:t>
      </w:r>
      <w:r w:rsidR="00262ECA" w:rsidRPr="00E8557E">
        <w:rPr>
          <w:color w:val="auto"/>
          <w:sz w:val="20"/>
          <w:szCs w:val="20"/>
        </w:rPr>
        <w:t>tate</w:t>
      </w:r>
      <w:bookmarkEnd w:id="3"/>
    </w:p>
    <w:p w14:paraId="4A3DFFE6" w14:textId="77777777" w:rsidR="000E2A4D" w:rsidRPr="00E8557E" w:rsidRDefault="000E2A4D" w:rsidP="000E2A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78EED6D" w14:textId="77777777" w:rsidR="004F4A24" w:rsidRPr="00E8557E" w:rsidRDefault="004F4A24"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8557E">
        <w:rPr>
          <w:rFonts w:asciiTheme="majorHAnsi" w:hAnsiTheme="majorHAnsi"/>
          <w:sz w:val="20"/>
          <w:szCs w:val="20"/>
        </w:rPr>
        <w:t>The State argues that Mr. Thompson</w:t>
      </w:r>
      <w:r w:rsidR="00BF299E" w:rsidRPr="00E8557E">
        <w:rPr>
          <w:rFonts w:asciiTheme="majorHAnsi" w:hAnsiTheme="majorHAnsi"/>
          <w:sz w:val="20"/>
          <w:szCs w:val="20"/>
        </w:rPr>
        <w:t>’s competency to be executed had</w:t>
      </w:r>
      <w:r w:rsidRPr="00E8557E">
        <w:rPr>
          <w:rFonts w:asciiTheme="majorHAnsi" w:hAnsiTheme="majorHAnsi"/>
          <w:sz w:val="20"/>
          <w:szCs w:val="20"/>
        </w:rPr>
        <w:t xml:space="preserve"> been reviewed and upheld by state and federal cour</w:t>
      </w:r>
      <w:r w:rsidR="00BF299E" w:rsidRPr="00E8557E">
        <w:rPr>
          <w:rFonts w:asciiTheme="majorHAnsi" w:hAnsiTheme="majorHAnsi"/>
          <w:sz w:val="20"/>
          <w:szCs w:val="20"/>
        </w:rPr>
        <w:t>ts and most importantly, remained</w:t>
      </w:r>
      <w:r w:rsidRPr="00E8557E">
        <w:rPr>
          <w:rFonts w:asciiTheme="majorHAnsi" w:hAnsiTheme="majorHAnsi"/>
          <w:sz w:val="20"/>
          <w:szCs w:val="20"/>
        </w:rPr>
        <w:t xml:space="preserve"> under review</w:t>
      </w:r>
      <w:r w:rsidR="00BF299E" w:rsidRPr="00E8557E">
        <w:rPr>
          <w:rFonts w:asciiTheme="majorHAnsi" w:hAnsiTheme="majorHAnsi"/>
          <w:sz w:val="20"/>
          <w:szCs w:val="20"/>
        </w:rPr>
        <w:t xml:space="preserve"> at the time of the </w:t>
      </w:r>
      <w:r w:rsidR="00DB2809">
        <w:rPr>
          <w:rFonts w:asciiTheme="majorHAnsi" w:hAnsiTheme="majorHAnsi"/>
          <w:sz w:val="20"/>
          <w:szCs w:val="20"/>
        </w:rPr>
        <w:t xml:space="preserve">filing of the </w:t>
      </w:r>
      <w:r w:rsidR="00BF299E" w:rsidRPr="00E8557E">
        <w:rPr>
          <w:rFonts w:asciiTheme="majorHAnsi" w:hAnsiTheme="majorHAnsi"/>
          <w:sz w:val="20"/>
          <w:szCs w:val="20"/>
        </w:rPr>
        <w:t>petition</w:t>
      </w:r>
      <w:r w:rsidR="00B56E61">
        <w:rPr>
          <w:rFonts w:asciiTheme="majorHAnsi" w:hAnsiTheme="majorHAnsi"/>
          <w:sz w:val="20"/>
          <w:szCs w:val="20"/>
        </w:rPr>
        <w:t>.</w:t>
      </w:r>
      <w:r w:rsidRPr="00E8557E">
        <w:rPr>
          <w:rFonts w:asciiTheme="majorHAnsi" w:hAnsiTheme="majorHAnsi"/>
          <w:sz w:val="20"/>
          <w:szCs w:val="20"/>
        </w:rPr>
        <w:t xml:space="preserve"> It also asserts that the extensive legal file at the state and federal levels shows that Mr. Tho</w:t>
      </w:r>
      <w:r w:rsidR="00BF299E" w:rsidRPr="00E8557E">
        <w:rPr>
          <w:rFonts w:asciiTheme="majorHAnsi" w:hAnsiTheme="majorHAnsi"/>
          <w:sz w:val="20"/>
          <w:szCs w:val="20"/>
        </w:rPr>
        <w:t>mpson’s right to due process had</w:t>
      </w:r>
      <w:r w:rsidRPr="00E8557E">
        <w:rPr>
          <w:rFonts w:asciiTheme="majorHAnsi" w:hAnsiTheme="majorHAnsi"/>
          <w:sz w:val="20"/>
          <w:szCs w:val="20"/>
        </w:rPr>
        <w:t xml:space="preserve"> been respected. </w:t>
      </w:r>
    </w:p>
    <w:p w14:paraId="51374464" w14:textId="77777777" w:rsidR="008C4029" w:rsidRPr="00E8557E" w:rsidRDefault="008C4029" w:rsidP="008C402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0478958" w14:textId="77777777" w:rsidR="008A0FD2" w:rsidRDefault="000B33CB"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T</w:t>
      </w:r>
      <w:r w:rsidR="00EF0460" w:rsidRPr="00E8557E">
        <w:rPr>
          <w:rFonts w:asciiTheme="majorHAnsi" w:hAnsiTheme="majorHAnsi"/>
          <w:sz w:val="20"/>
          <w:szCs w:val="20"/>
        </w:rPr>
        <w:t>he State provides that</w:t>
      </w:r>
      <w:r w:rsidR="003F6639">
        <w:rPr>
          <w:rFonts w:asciiTheme="majorHAnsi" w:hAnsiTheme="majorHAnsi"/>
          <w:sz w:val="20"/>
          <w:szCs w:val="20"/>
        </w:rPr>
        <w:t xml:space="preserve">, after a series of appeals during post-conviction, </w:t>
      </w:r>
      <w:r w:rsidR="003F6639" w:rsidRPr="00E8557E">
        <w:rPr>
          <w:rFonts w:asciiTheme="majorHAnsi" w:hAnsiTheme="majorHAnsi"/>
          <w:sz w:val="20"/>
          <w:szCs w:val="20"/>
        </w:rPr>
        <w:t xml:space="preserve">in June 2004 </w:t>
      </w:r>
      <w:r w:rsidR="003F6639">
        <w:rPr>
          <w:rFonts w:asciiTheme="majorHAnsi" w:hAnsiTheme="majorHAnsi"/>
          <w:sz w:val="20"/>
          <w:szCs w:val="20"/>
        </w:rPr>
        <w:t>the U.S. Sixth Circuit Court of Appeals found that the Tennessee Supreme Court had misapplied the law with regards to the question of whether or not Mr. Thompson was competent for execution</w:t>
      </w:r>
      <w:r w:rsidR="00561CA5" w:rsidRPr="00E8557E">
        <w:rPr>
          <w:rFonts w:asciiTheme="majorHAnsi" w:hAnsiTheme="majorHAnsi"/>
          <w:sz w:val="20"/>
          <w:szCs w:val="20"/>
        </w:rPr>
        <w:t>, and re</w:t>
      </w:r>
      <w:r w:rsidR="003F6639">
        <w:rPr>
          <w:rFonts w:asciiTheme="majorHAnsi" w:hAnsiTheme="majorHAnsi"/>
          <w:sz w:val="20"/>
          <w:szCs w:val="20"/>
        </w:rPr>
        <w:t>manded</w:t>
      </w:r>
      <w:r w:rsidR="00EF0460" w:rsidRPr="00E8557E">
        <w:rPr>
          <w:rFonts w:asciiTheme="majorHAnsi" w:hAnsiTheme="majorHAnsi"/>
          <w:sz w:val="20"/>
          <w:szCs w:val="20"/>
        </w:rPr>
        <w:t xml:space="preserve"> the case to </w:t>
      </w:r>
      <w:r w:rsidR="003F6639">
        <w:rPr>
          <w:rFonts w:asciiTheme="majorHAnsi" w:hAnsiTheme="majorHAnsi"/>
          <w:sz w:val="20"/>
          <w:szCs w:val="20"/>
        </w:rPr>
        <w:t>the federal</w:t>
      </w:r>
      <w:r w:rsidR="003F6639" w:rsidRPr="00E8557E">
        <w:rPr>
          <w:rFonts w:asciiTheme="majorHAnsi" w:hAnsiTheme="majorHAnsi"/>
          <w:sz w:val="20"/>
          <w:szCs w:val="20"/>
        </w:rPr>
        <w:t xml:space="preserve"> </w:t>
      </w:r>
      <w:r w:rsidR="00EF0460" w:rsidRPr="00E8557E">
        <w:rPr>
          <w:rFonts w:asciiTheme="majorHAnsi" w:hAnsiTheme="majorHAnsi"/>
          <w:sz w:val="20"/>
          <w:szCs w:val="20"/>
        </w:rPr>
        <w:t>court for a new</w:t>
      </w:r>
      <w:r w:rsidR="00561CA5" w:rsidRPr="00E8557E">
        <w:rPr>
          <w:rFonts w:asciiTheme="majorHAnsi" w:hAnsiTheme="majorHAnsi"/>
          <w:sz w:val="20"/>
          <w:szCs w:val="20"/>
        </w:rPr>
        <w:t xml:space="preserve"> evidentiary hearing on Mr. Thompson’s mental state at the time the crime was committed</w:t>
      </w:r>
      <w:r w:rsidR="003F6639">
        <w:rPr>
          <w:rFonts w:asciiTheme="majorHAnsi" w:hAnsiTheme="majorHAnsi"/>
          <w:sz w:val="20"/>
          <w:szCs w:val="20"/>
        </w:rPr>
        <w:t xml:space="preserve"> and to address the ineffective assistance of counsel claims</w:t>
      </w:r>
      <w:r w:rsidR="00561CA5" w:rsidRPr="00E8557E">
        <w:rPr>
          <w:rFonts w:asciiTheme="majorHAnsi" w:hAnsiTheme="majorHAnsi"/>
          <w:sz w:val="20"/>
          <w:szCs w:val="20"/>
        </w:rPr>
        <w:t xml:space="preserve">. </w:t>
      </w:r>
      <w:r>
        <w:rPr>
          <w:rFonts w:asciiTheme="majorHAnsi" w:hAnsiTheme="majorHAnsi"/>
          <w:sz w:val="20"/>
          <w:szCs w:val="20"/>
        </w:rPr>
        <w:t>On remand, the U.S. District Court for the Eastern District of Tennessee rejected all four claims on ineffective assistance of counsel and stayed the competency hearing until all appeals were completed.</w:t>
      </w:r>
    </w:p>
    <w:p w14:paraId="636CC6B7" w14:textId="77777777" w:rsidR="000B33CB" w:rsidRDefault="000B33CB" w:rsidP="00EF3F74">
      <w:pPr>
        <w:pStyle w:val="ListParagraph"/>
        <w:rPr>
          <w:rFonts w:asciiTheme="majorHAnsi" w:hAnsiTheme="majorHAnsi"/>
          <w:sz w:val="20"/>
          <w:szCs w:val="20"/>
        </w:rPr>
      </w:pPr>
    </w:p>
    <w:p w14:paraId="5F103AD6" w14:textId="77777777" w:rsidR="000B33CB" w:rsidRPr="00597FBE" w:rsidRDefault="0024028F"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In its observations on the merits t</w:t>
      </w:r>
      <w:r w:rsidR="000B33CB">
        <w:rPr>
          <w:rFonts w:asciiTheme="majorHAnsi" w:hAnsiTheme="majorHAnsi"/>
          <w:sz w:val="20"/>
          <w:szCs w:val="20"/>
        </w:rPr>
        <w:t>he United States noted</w:t>
      </w:r>
      <w:r>
        <w:rPr>
          <w:rFonts w:asciiTheme="majorHAnsi" w:hAnsiTheme="majorHAnsi"/>
          <w:sz w:val="20"/>
          <w:szCs w:val="20"/>
        </w:rPr>
        <w:t xml:space="preserve"> that Mr. Thompson was still exercising his substantial rights and that, if he did not succeed in challenging his conviction and sentencing on the ground of ineffective assistance of counsel, the federal district court would then take up the claim of mental incompetence under the standard announced by the Supreme Court in </w:t>
      </w:r>
      <w:r w:rsidRPr="00EF3F74">
        <w:rPr>
          <w:rFonts w:asciiTheme="majorHAnsi" w:hAnsiTheme="majorHAnsi"/>
          <w:i/>
          <w:sz w:val="20"/>
          <w:szCs w:val="20"/>
        </w:rPr>
        <w:t>Panetti</w:t>
      </w:r>
      <w:r>
        <w:rPr>
          <w:rFonts w:asciiTheme="majorHAnsi" w:hAnsiTheme="majorHAnsi"/>
          <w:sz w:val="20"/>
          <w:szCs w:val="20"/>
        </w:rPr>
        <w:t>. Therefore, t</w:t>
      </w:r>
      <w:r w:rsidR="000B33CB">
        <w:rPr>
          <w:rFonts w:asciiTheme="majorHAnsi" w:hAnsiTheme="majorHAnsi"/>
          <w:sz w:val="20"/>
          <w:szCs w:val="20"/>
        </w:rPr>
        <w:t xml:space="preserve">he State asked the Commission to suspend its consideration </w:t>
      </w:r>
      <w:r w:rsidR="000B33CB" w:rsidRPr="00597FBE">
        <w:rPr>
          <w:rFonts w:asciiTheme="majorHAnsi" w:hAnsiTheme="majorHAnsi"/>
          <w:sz w:val="20"/>
          <w:szCs w:val="20"/>
        </w:rPr>
        <w:t xml:space="preserve">of the merits of the case unless and until the petitioners demonstrate that Mr. Thompson has exhausted all domestic remedies. </w:t>
      </w:r>
    </w:p>
    <w:p w14:paraId="0CAE1437" w14:textId="77777777" w:rsidR="003465DE" w:rsidRPr="00597FBE" w:rsidRDefault="003465DE" w:rsidP="003465DE">
      <w:pPr>
        <w:pStyle w:val="ListParagraph"/>
        <w:rPr>
          <w:rFonts w:asciiTheme="majorHAnsi" w:hAnsiTheme="majorHAnsi"/>
          <w:sz w:val="20"/>
          <w:szCs w:val="20"/>
        </w:rPr>
      </w:pPr>
    </w:p>
    <w:p w14:paraId="0D4A27BF" w14:textId="77777777" w:rsidR="003465DE" w:rsidRPr="00597FBE" w:rsidRDefault="003465DE" w:rsidP="003465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597FBE">
        <w:rPr>
          <w:rFonts w:asciiTheme="majorHAnsi" w:hAnsiTheme="majorHAnsi"/>
          <w:sz w:val="20"/>
          <w:szCs w:val="20"/>
        </w:rPr>
        <w:t>Finally, the State also argues that the Commission lacks the authority to request precautionary measures of States that have not ratified the American Convention, essentially because the provision governing such measures is contained in the Commissions’ Rules rather than in its Statute.</w:t>
      </w:r>
    </w:p>
    <w:p w14:paraId="70E392D7" w14:textId="77777777" w:rsidR="00531FCC" w:rsidRPr="00597FBE" w:rsidRDefault="00531FCC" w:rsidP="00273645">
      <w:pPr>
        <w:jc w:val="both"/>
        <w:rPr>
          <w:rFonts w:asciiTheme="majorHAnsi" w:eastAsia="Times New Roman" w:hAnsiTheme="majorHAnsi"/>
          <w:sz w:val="20"/>
          <w:szCs w:val="20"/>
        </w:rPr>
      </w:pPr>
    </w:p>
    <w:p w14:paraId="658534BE" w14:textId="77777777" w:rsidR="001C4006" w:rsidRPr="00597FBE" w:rsidRDefault="001C4006" w:rsidP="00AE6157">
      <w:pPr>
        <w:pStyle w:val="Heading1"/>
        <w:tabs>
          <w:tab w:val="left" w:pos="360"/>
        </w:tabs>
        <w:spacing w:before="0"/>
        <w:ind w:hanging="720"/>
        <w:rPr>
          <w:color w:val="auto"/>
          <w:sz w:val="20"/>
          <w:szCs w:val="20"/>
        </w:rPr>
      </w:pPr>
      <w:bookmarkStart w:id="4" w:name="_Toc90300513"/>
      <w:r w:rsidRPr="00597FBE">
        <w:rPr>
          <w:color w:val="auto"/>
          <w:sz w:val="20"/>
          <w:szCs w:val="20"/>
        </w:rPr>
        <w:t>FINDINGS OF FACT</w:t>
      </w:r>
      <w:bookmarkEnd w:id="4"/>
    </w:p>
    <w:p w14:paraId="424559EE" w14:textId="77777777" w:rsidR="00707116" w:rsidRPr="00E8557E" w:rsidRDefault="00707116" w:rsidP="0070711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b/>
          <w:sz w:val="20"/>
          <w:szCs w:val="20"/>
        </w:rPr>
      </w:pPr>
    </w:p>
    <w:p w14:paraId="7997D16E" w14:textId="77777777" w:rsidR="00815FD5" w:rsidRPr="00E8557E" w:rsidRDefault="0004390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8557E">
        <w:rPr>
          <w:rFonts w:ascii="Cambria" w:hAnsi="Cambria"/>
          <w:sz w:val="20"/>
          <w:szCs w:val="20"/>
        </w:rPr>
        <w:t xml:space="preserve">In application of Article 43(1) of its Rules of Procedure, the IACHR will examine the arguments and evidence provided by the petitioners and the State. Likewise, the Commission will take into account publicly available information that may be relevant </w:t>
      </w:r>
      <w:r w:rsidR="00143E4B" w:rsidRPr="00E8557E">
        <w:rPr>
          <w:rFonts w:ascii="Cambria" w:hAnsi="Cambria"/>
          <w:sz w:val="20"/>
          <w:szCs w:val="20"/>
        </w:rPr>
        <w:t xml:space="preserve">to </w:t>
      </w:r>
      <w:r w:rsidRPr="00E8557E">
        <w:rPr>
          <w:rFonts w:ascii="Cambria" w:hAnsi="Cambria"/>
          <w:sz w:val="20"/>
          <w:szCs w:val="20"/>
        </w:rPr>
        <w:t>the analysis and decision of the instant case.</w:t>
      </w:r>
    </w:p>
    <w:p w14:paraId="504A5E39" w14:textId="77777777" w:rsidR="000973DC" w:rsidRDefault="000973DC" w:rsidP="000973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00D94E3" w14:textId="77777777" w:rsidR="00C1515C" w:rsidRPr="00317386" w:rsidRDefault="00C1515C" w:rsidP="003142B7">
      <w:pPr>
        <w:pStyle w:val="Heading2"/>
        <w:numPr>
          <w:ilvl w:val="0"/>
          <w:numId w:val="66"/>
        </w:numPr>
        <w:tabs>
          <w:tab w:val="left" w:pos="360"/>
        </w:tabs>
        <w:spacing w:before="0"/>
        <w:ind w:left="360"/>
        <w:jc w:val="both"/>
        <w:rPr>
          <w:color w:val="auto"/>
          <w:sz w:val="20"/>
          <w:szCs w:val="20"/>
        </w:rPr>
      </w:pPr>
      <w:bookmarkStart w:id="5" w:name="_Toc22734003"/>
      <w:bookmarkStart w:id="6" w:name="_Toc22826177"/>
      <w:bookmarkStart w:id="7" w:name="_Toc90300514"/>
      <w:r w:rsidRPr="00317386">
        <w:rPr>
          <w:color w:val="auto"/>
          <w:sz w:val="20"/>
          <w:szCs w:val="20"/>
        </w:rPr>
        <w:t>Factual background</w:t>
      </w:r>
      <w:bookmarkEnd w:id="5"/>
      <w:bookmarkEnd w:id="6"/>
      <w:bookmarkEnd w:id="7"/>
    </w:p>
    <w:p w14:paraId="34159CAF" w14:textId="77777777" w:rsidR="00C1515C" w:rsidRPr="000973DC" w:rsidRDefault="00C1515C" w:rsidP="000973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C28C5B5" w14:textId="77777777" w:rsidR="00865811" w:rsidRDefault="009A3BCE"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On </w:t>
      </w:r>
      <w:r w:rsidR="008E74B7">
        <w:rPr>
          <w:rFonts w:asciiTheme="majorHAnsi" w:hAnsiTheme="majorHAnsi"/>
          <w:sz w:val="20"/>
          <w:szCs w:val="20"/>
        </w:rPr>
        <w:t xml:space="preserve">December 29, 1984, Mr. Thompson and Joanne McNamara, a juvenile female, traveled by bus from Marietta, Georgia, to Shelbyville in Bedford County, Tennessee. On the afternoon of January 1, 1985, Brenda Lane, made several purchases at Walmart, and did not arrive home as expected. Shortly after midnight her yellow Chevrolet was reported on fire near an apartment building in Marietta, Georgia. Mr. Thompson and Ms. McNamara were arrested by Cobb County authorities in connection with this investigation on the night of January 2, 1985. A traffic ticket in Mr. Thompson’s jacket showed he had been cited for speeding, while driving </w:t>
      </w:r>
      <w:r w:rsidR="008E74B7">
        <w:rPr>
          <w:rFonts w:asciiTheme="majorHAnsi" w:hAnsiTheme="majorHAnsi"/>
          <w:sz w:val="20"/>
          <w:szCs w:val="20"/>
        </w:rPr>
        <w:lastRenderedPageBreak/>
        <w:t>Mrs. Lane’s vehicle. A Wal-Mart receipt and several items in the vehicle indicated a purchase at that store at 5:51pm, January 1, 1985. A button found in the car matched those on Mr. Thompson’s clothing.</w:t>
      </w:r>
      <w:r w:rsidR="00865811">
        <w:rPr>
          <w:rStyle w:val="FootnoteReference"/>
          <w:rFonts w:asciiTheme="majorHAnsi" w:hAnsiTheme="majorHAnsi"/>
          <w:sz w:val="20"/>
          <w:szCs w:val="20"/>
        </w:rPr>
        <w:footnoteReference w:id="4"/>
      </w:r>
      <w:r w:rsidR="008E74B7">
        <w:rPr>
          <w:rFonts w:asciiTheme="majorHAnsi" w:hAnsiTheme="majorHAnsi"/>
          <w:sz w:val="20"/>
          <w:szCs w:val="20"/>
        </w:rPr>
        <w:t xml:space="preserve"> </w:t>
      </w:r>
    </w:p>
    <w:p w14:paraId="03358C52" w14:textId="77777777" w:rsidR="00865811" w:rsidRDefault="00865811" w:rsidP="0086581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854D7EB" w14:textId="77777777" w:rsidR="008E74B7" w:rsidRPr="007A0026" w:rsidRDefault="009522E4"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A few hours later, while in custody Mr. Thompson gave a statement admitting that he had abducted a </w:t>
      </w:r>
      <w:r w:rsidRPr="007A0026">
        <w:rPr>
          <w:rFonts w:asciiTheme="majorHAnsi" w:hAnsiTheme="majorHAnsi"/>
          <w:sz w:val="20"/>
          <w:szCs w:val="20"/>
        </w:rPr>
        <w:t>woman at knifepoint from the Wal-Mart location in Shelbyville</w:t>
      </w:r>
      <w:r w:rsidR="0071228B" w:rsidRPr="007A0026">
        <w:rPr>
          <w:rFonts w:asciiTheme="majorHAnsi" w:hAnsiTheme="majorHAnsi"/>
          <w:sz w:val="20"/>
          <w:szCs w:val="20"/>
        </w:rPr>
        <w:t>,</w:t>
      </w:r>
      <w:r w:rsidRPr="007A0026">
        <w:rPr>
          <w:rFonts w:asciiTheme="majorHAnsi" w:hAnsiTheme="majorHAnsi"/>
          <w:sz w:val="20"/>
          <w:szCs w:val="20"/>
        </w:rPr>
        <w:t xml:space="preserve"> forced her to drive him and his companion</w:t>
      </w:r>
      <w:r w:rsidR="0071228B" w:rsidRPr="007A0026">
        <w:rPr>
          <w:rFonts w:asciiTheme="majorHAnsi" w:hAnsiTheme="majorHAnsi"/>
          <w:sz w:val="20"/>
          <w:szCs w:val="20"/>
        </w:rPr>
        <w:t xml:space="preserve"> t</w:t>
      </w:r>
      <w:r w:rsidRPr="007A0026">
        <w:rPr>
          <w:rFonts w:asciiTheme="majorHAnsi" w:hAnsiTheme="majorHAnsi"/>
          <w:sz w:val="20"/>
          <w:szCs w:val="20"/>
        </w:rPr>
        <w:t>o a remote location outside Manchester, Tennessee</w:t>
      </w:r>
      <w:r w:rsidR="0071228B" w:rsidRPr="007A0026">
        <w:rPr>
          <w:rFonts w:asciiTheme="majorHAnsi" w:hAnsiTheme="majorHAnsi"/>
          <w:sz w:val="20"/>
          <w:szCs w:val="20"/>
        </w:rPr>
        <w:t>, where he stabbed her  to death</w:t>
      </w:r>
      <w:r w:rsidRPr="007A0026">
        <w:rPr>
          <w:rFonts w:asciiTheme="majorHAnsi" w:hAnsiTheme="majorHAnsi"/>
          <w:sz w:val="20"/>
          <w:szCs w:val="20"/>
        </w:rPr>
        <w:t>. On January 3, 1985, a team of searchers following Mr. Thompson’s directions found Brenda Lane</w:t>
      </w:r>
      <w:r w:rsidR="0071228B" w:rsidRPr="007A0026">
        <w:rPr>
          <w:rFonts w:asciiTheme="majorHAnsi" w:hAnsiTheme="majorHAnsi"/>
          <w:sz w:val="20"/>
          <w:szCs w:val="20"/>
        </w:rPr>
        <w:t>’s body</w:t>
      </w:r>
      <w:r w:rsidRPr="007A0026">
        <w:rPr>
          <w:rFonts w:asciiTheme="majorHAnsi" w:hAnsiTheme="majorHAnsi"/>
          <w:sz w:val="20"/>
          <w:szCs w:val="20"/>
        </w:rPr>
        <w:t xml:space="preserve"> at the place indicated in his statement</w:t>
      </w:r>
      <w:r w:rsidR="00492E7D" w:rsidRPr="007A0026">
        <w:rPr>
          <w:rFonts w:asciiTheme="majorHAnsi" w:hAnsiTheme="majorHAnsi"/>
          <w:sz w:val="20"/>
          <w:szCs w:val="20"/>
        </w:rPr>
        <w:t>.</w:t>
      </w:r>
      <w:r w:rsidR="00492E7D" w:rsidRPr="007A0026">
        <w:rPr>
          <w:rStyle w:val="FootnoteReference"/>
          <w:rFonts w:asciiTheme="majorHAnsi" w:hAnsiTheme="majorHAnsi"/>
          <w:sz w:val="20"/>
          <w:szCs w:val="20"/>
        </w:rPr>
        <w:footnoteReference w:id="5"/>
      </w:r>
    </w:p>
    <w:p w14:paraId="29EC19B5" w14:textId="77777777" w:rsidR="00492E7D" w:rsidRPr="007A0026" w:rsidRDefault="00492E7D" w:rsidP="00B61B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1A2FC3C" w14:textId="77777777" w:rsidR="00865811" w:rsidRPr="007A0026" w:rsidRDefault="00865811" w:rsidP="003142B7">
      <w:pPr>
        <w:pStyle w:val="Heading2"/>
        <w:numPr>
          <w:ilvl w:val="0"/>
          <w:numId w:val="66"/>
        </w:numPr>
        <w:tabs>
          <w:tab w:val="left" w:pos="360"/>
        </w:tabs>
        <w:spacing w:before="0"/>
        <w:ind w:left="360"/>
        <w:jc w:val="both"/>
        <w:rPr>
          <w:color w:val="auto"/>
          <w:sz w:val="20"/>
          <w:szCs w:val="20"/>
        </w:rPr>
      </w:pPr>
      <w:bookmarkStart w:id="8" w:name="_Toc90300515"/>
      <w:r w:rsidRPr="007A0026">
        <w:rPr>
          <w:color w:val="auto"/>
          <w:sz w:val="20"/>
          <w:szCs w:val="20"/>
        </w:rPr>
        <w:t>Trial</w:t>
      </w:r>
      <w:r w:rsidR="00E108D7" w:rsidRPr="007A0026">
        <w:rPr>
          <w:color w:val="auto"/>
          <w:sz w:val="20"/>
          <w:szCs w:val="20"/>
        </w:rPr>
        <w:t>,</w:t>
      </w:r>
      <w:r w:rsidRPr="007A0026">
        <w:rPr>
          <w:color w:val="auto"/>
          <w:sz w:val="20"/>
          <w:szCs w:val="20"/>
        </w:rPr>
        <w:t xml:space="preserve"> death sentence</w:t>
      </w:r>
      <w:r w:rsidR="00E108D7" w:rsidRPr="007A0026">
        <w:rPr>
          <w:color w:val="auto"/>
          <w:sz w:val="20"/>
          <w:szCs w:val="20"/>
        </w:rPr>
        <w:t xml:space="preserve"> and direct appeal</w:t>
      </w:r>
      <w:bookmarkEnd w:id="8"/>
    </w:p>
    <w:p w14:paraId="44B36E93" w14:textId="77777777" w:rsidR="00865811" w:rsidRPr="007A0026" w:rsidRDefault="00865811" w:rsidP="00B61B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2A5E302" w14:textId="77777777" w:rsidR="00492E7D" w:rsidRDefault="003359B5" w:rsidP="00B61B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According to t</w:t>
      </w:r>
      <w:r w:rsidR="009A3BCE" w:rsidRPr="007A0026">
        <w:rPr>
          <w:rFonts w:asciiTheme="majorHAnsi" w:hAnsiTheme="majorHAnsi"/>
          <w:sz w:val="20"/>
          <w:szCs w:val="20"/>
        </w:rPr>
        <w:t>he Supreme Court of Tennessee</w:t>
      </w:r>
      <w:r w:rsidRPr="007A0026">
        <w:rPr>
          <w:rFonts w:asciiTheme="majorHAnsi" w:hAnsiTheme="majorHAnsi"/>
          <w:sz w:val="20"/>
          <w:szCs w:val="20"/>
        </w:rPr>
        <w:t>,</w:t>
      </w:r>
      <w:r w:rsidR="009A3BCE" w:rsidRPr="007A0026">
        <w:rPr>
          <w:rFonts w:asciiTheme="majorHAnsi" w:hAnsiTheme="majorHAnsi"/>
          <w:sz w:val="20"/>
          <w:szCs w:val="20"/>
        </w:rPr>
        <w:t xml:space="preserve"> </w:t>
      </w:r>
      <w:r w:rsidR="00492E7D" w:rsidRPr="007A0026">
        <w:rPr>
          <w:rFonts w:asciiTheme="majorHAnsi" w:hAnsiTheme="majorHAnsi"/>
          <w:sz w:val="20"/>
          <w:szCs w:val="20"/>
        </w:rPr>
        <w:t>Mr. Thompson</w:t>
      </w:r>
      <w:r w:rsidRPr="007A0026">
        <w:rPr>
          <w:rFonts w:asciiTheme="majorHAnsi" w:hAnsiTheme="majorHAnsi"/>
          <w:sz w:val="20"/>
          <w:szCs w:val="20"/>
        </w:rPr>
        <w:t>’s defense</w:t>
      </w:r>
      <w:r w:rsidR="00492E7D" w:rsidRPr="007A0026">
        <w:rPr>
          <w:rFonts w:asciiTheme="majorHAnsi" w:hAnsiTheme="majorHAnsi"/>
          <w:sz w:val="20"/>
          <w:szCs w:val="20"/>
        </w:rPr>
        <w:t xml:space="preserve"> presented no proof in the conviction phase of trial. At the sentencing hearing the </w:t>
      </w:r>
      <w:r w:rsidRPr="007A0026">
        <w:rPr>
          <w:rFonts w:asciiTheme="majorHAnsi" w:hAnsiTheme="majorHAnsi"/>
          <w:sz w:val="20"/>
          <w:szCs w:val="20"/>
        </w:rPr>
        <w:t>prosecution</w:t>
      </w:r>
      <w:r w:rsidR="00492E7D" w:rsidRPr="007A0026">
        <w:rPr>
          <w:rFonts w:asciiTheme="majorHAnsi" w:hAnsiTheme="majorHAnsi"/>
          <w:sz w:val="20"/>
          <w:szCs w:val="20"/>
        </w:rPr>
        <w:t xml:space="preserve"> relied on its proof at the conviction phase. Mr. Thompson </w:t>
      </w:r>
      <w:r w:rsidR="009A3BCE" w:rsidRPr="007A0026">
        <w:rPr>
          <w:rFonts w:asciiTheme="majorHAnsi" w:hAnsiTheme="majorHAnsi"/>
          <w:sz w:val="20"/>
          <w:szCs w:val="20"/>
        </w:rPr>
        <w:t>“</w:t>
      </w:r>
      <w:r w:rsidR="00492E7D">
        <w:rPr>
          <w:rFonts w:asciiTheme="majorHAnsi" w:hAnsiTheme="majorHAnsi"/>
          <w:sz w:val="20"/>
          <w:szCs w:val="20"/>
        </w:rPr>
        <w:t>presented several witnesses who presented an unchallenged picture of him as a non-violent, cooperative, responsible young person through his school years, until he joined the Navy, and rather ambiguous behavior during his military service.</w:t>
      </w:r>
      <w:r w:rsidR="009A3BCE">
        <w:rPr>
          <w:rFonts w:asciiTheme="majorHAnsi" w:hAnsiTheme="majorHAnsi"/>
          <w:sz w:val="20"/>
          <w:szCs w:val="20"/>
        </w:rPr>
        <w:t>”</w:t>
      </w:r>
      <w:r w:rsidR="00492E7D">
        <w:rPr>
          <w:rFonts w:asciiTheme="majorHAnsi" w:hAnsiTheme="majorHAnsi"/>
          <w:sz w:val="20"/>
          <w:szCs w:val="20"/>
        </w:rPr>
        <w:t xml:space="preserve"> Dr. George Copple, a clinical psychologist who had interviewed and tested </w:t>
      </w:r>
      <w:r>
        <w:rPr>
          <w:rFonts w:asciiTheme="majorHAnsi" w:hAnsiTheme="majorHAnsi"/>
          <w:sz w:val="20"/>
          <w:szCs w:val="20"/>
        </w:rPr>
        <w:t>Mr. Thompson</w:t>
      </w:r>
      <w:r w:rsidR="00492E7D">
        <w:rPr>
          <w:rFonts w:asciiTheme="majorHAnsi" w:hAnsiTheme="majorHAnsi"/>
          <w:sz w:val="20"/>
          <w:szCs w:val="20"/>
        </w:rPr>
        <w:t>, testified about his personality and capabilities for employment in prison. In Dr. Copple’s opinion</w:t>
      </w:r>
      <w:r>
        <w:rPr>
          <w:rFonts w:asciiTheme="majorHAnsi" w:hAnsiTheme="majorHAnsi"/>
          <w:sz w:val="20"/>
          <w:szCs w:val="20"/>
        </w:rPr>
        <w:t>,</w:t>
      </w:r>
      <w:r w:rsidR="00492E7D">
        <w:rPr>
          <w:rFonts w:asciiTheme="majorHAnsi" w:hAnsiTheme="majorHAnsi"/>
          <w:sz w:val="20"/>
          <w:szCs w:val="20"/>
        </w:rPr>
        <w:t xml:space="preserve"> “Mr. Thompson had a strong need for nurturance (to meet the needs of other </w:t>
      </w:r>
      <w:r w:rsidR="009A3BCE">
        <w:rPr>
          <w:rFonts w:asciiTheme="majorHAnsi" w:hAnsiTheme="majorHAnsi"/>
          <w:sz w:val="20"/>
          <w:szCs w:val="20"/>
        </w:rPr>
        <w:t>persons</w:t>
      </w:r>
      <w:r w:rsidR="00492E7D">
        <w:rPr>
          <w:rFonts w:asciiTheme="majorHAnsi" w:hAnsiTheme="majorHAnsi"/>
          <w:sz w:val="20"/>
          <w:szCs w:val="20"/>
        </w:rPr>
        <w:t>)</w:t>
      </w:r>
      <w:r w:rsidR="009A3BCE">
        <w:rPr>
          <w:rFonts w:asciiTheme="majorHAnsi" w:hAnsiTheme="majorHAnsi"/>
          <w:sz w:val="20"/>
          <w:szCs w:val="20"/>
        </w:rPr>
        <w:t>. This protective attitude toward Mc.Namara, plus a feeling that his options were limited had played a part in the killing. To this expert Defendant seemed remorseful, was not a ‘con artist’ or malingerer, and did not have an adult anti-social personality.”</w:t>
      </w:r>
      <w:r w:rsidR="009A3BCE">
        <w:rPr>
          <w:rStyle w:val="FootnoteReference"/>
          <w:rFonts w:asciiTheme="majorHAnsi" w:hAnsiTheme="majorHAnsi"/>
          <w:sz w:val="20"/>
          <w:szCs w:val="20"/>
        </w:rPr>
        <w:footnoteReference w:id="6"/>
      </w:r>
    </w:p>
    <w:p w14:paraId="210282E5" w14:textId="77777777" w:rsidR="009A3BCE" w:rsidRDefault="009A3BCE" w:rsidP="00B61BD0">
      <w:pPr>
        <w:pStyle w:val="ListParagraph"/>
        <w:rPr>
          <w:rFonts w:asciiTheme="majorHAnsi" w:hAnsiTheme="majorHAnsi"/>
          <w:sz w:val="20"/>
          <w:szCs w:val="20"/>
        </w:rPr>
      </w:pPr>
    </w:p>
    <w:p w14:paraId="78644362" w14:textId="77777777" w:rsidR="009A3BCE" w:rsidRPr="00AD671A" w:rsidRDefault="009A3BCE" w:rsidP="00B61B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In rebuttal of Dr. Copple’s testimony, the </w:t>
      </w:r>
      <w:r w:rsidR="003359B5">
        <w:rPr>
          <w:rFonts w:asciiTheme="majorHAnsi" w:hAnsiTheme="majorHAnsi"/>
          <w:sz w:val="20"/>
          <w:szCs w:val="20"/>
        </w:rPr>
        <w:t>prosecution</w:t>
      </w:r>
      <w:r>
        <w:rPr>
          <w:rFonts w:asciiTheme="majorHAnsi" w:hAnsiTheme="majorHAnsi"/>
          <w:sz w:val="20"/>
          <w:szCs w:val="20"/>
        </w:rPr>
        <w:t xml:space="preserve"> presented the deposition of Dr. Robert Glenn Watson, a clinical psychologist at the Middle Tennessee Mental Health Institute</w:t>
      </w:r>
      <w:r w:rsidR="0071228B">
        <w:rPr>
          <w:rFonts w:asciiTheme="majorHAnsi" w:hAnsiTheme="majorHAnsi"/>
          <w:sz w:val="20"/>
          <w:szCs w:val="20"/>
        </w:rPr>
        <w:t xml:space="preserve"> (MTMHI)</w:t>
      </w:r>
      <w:r>
        <w:rPr>
          <w:rFonts w:asciiTheme="majorHAnsi" w:hAnsiTheme="majorHAnsi"/>
          <w:sz w:val="20"/>
          <w:szCs w:val="20"/>
        </w:rPr>
        <w:t xml:space="preserve">, who had participated in a staff evaluation of Mr. Thompson shortly after his arrest. In his opinion, Mr. Thompson exhibited an adult anti-social behavior, was not remorseful and showed little or no emotion about the crime; further that during the period of </w:t>
      </w:r>
      <w:r w:rsidRPr="00AD671A">
        <w:rPr>
          <w:rFonts w:asciiTheme="majorHAnsi" w:hAnsiTheme="majorHAnsi"/>
          <w:sz w:val="20"/>
          <w:szCs w:val="20"/>
        </w:rPr>
        <w:t>evaluation, Mr. Thompson appeared to ‘malinger’ schizophrenia, claimed to hear voices, and falsely claimed he was unable to read and write although he had attended college level courses in Hawaii and been a B student in high school.</w:t>
      </w:r>
      <w:r w:rsidRPr="00AD671A">
        <w:rPr>
          <w:rStyle w:val="FootnoteReference"/>
          <w:rFonts w:asciiTheme="majorHAnsi" w:hAnsiTheme="majorHAnsi"/>
          <w:sz w:val="20"/>
          <w:szCs w:val="20"/>
        </w:rPr>
        <w:footnoteReference w:id="7"/>
      </w:r>
      <w:r w:rsidRPr="00AD671A">
        <w:rPr>
          <w:rFonts w:asciiTheme="majorHAnsi" w:hAnsiTheme="majorHAnsi"/>
          <w:sz w:val="20"/>
          <w:szCs w:val="20"/>
        </w:rPr>
        <w:t xml:space="preserve"> </w:t>
      </w:r>
    </w:p>
    <w:p w14:paraId="397A0FA5" w14:textId="77777777" w:rsidR="008E74B7" w:rsidRPr="00AD671A" w:rsidRDefault="008E74B7" w:rsidP="00B61B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AB70F53" w14:textId="77777777" w:rsidR="009A3BCE" w:rsidRPr="00663527" w:rsidRDefault="002C49BA" w:rsidP="00B61B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AD671A">
        <w:rPr>
          <w:rFonts w:asciiTheme="majorHAnsi" w:hAnsiTheme="majorHAnsi"/>
          <w:sz w:val="20"/>
          <w:szCs w:val="20"/>
        </w:rPr>
        <w:t>O</w:t>
      </w:r>
      <w:r w:rsidR="000973DC" w:rsidRPr="00AD671A">
        <w:rPr>
          <w:rFonts w:asciiTheme="majorHAnsi" w:hAnsiTheme="majorHAnsi"/>
          <w:sz w:val="20"/>
          <w:szCs w:val="20"/>
        </w:rPr>
        <w:t>n</w:t>
      </w:r>
      <w:r w:rsidRPr="00AD671A">
        <w:rPr>
          <w:rFonts w:asciiTheme="majorHAnsi" w:hAnsiTheme="majorHAnsi"/>
          <w:sz w:val="20"/>
          <w:szCs w:val="20"/>
        </w:rPr>
        <w:t xml:space="preserve"> </w:t>
      </w:r>
      <w:bookmarkStart w:id="9" w:name="_Hlk26284521"/>
      <w:r w:rsidRPr="00AD671A">
        <w:rPr>
          <w:rFonts w:asciiTheme="majorHAnsi" w:hAnsiTheme="majorHAnsi"/>
          <w:sz w:val="20"/>
          <w:szCs w:val="20"/>
        </w:rPr>
        <w:t>August 22,</w:t>
      </w:r>
      <w:r w:rsidR="000973DC" w:rsidRPr="00AD671A">
        <w:rPr>
          <w:rFonts w:asciiTheme="majorHAnsi" w:hAnsiTheme="majorHAnsi"/>
          <w:sz w:val="20"/>
          <w:szCs w:val="20"/>
        </w:rPr>
        <w:t xml:space="preserve"> 1985, a Coffee County Circuit Court jury in Tennessee </w:t>
      </w:r>
      <w:r w:rsidRPr="00AD671A">
        <w:rPr>
          <w:rFonts w:asciiTheme="majorHAnsi" w:hAnsiTheme="majorHAnsi"/>
          <w:sz w:val="20"/>
          <w:szCs w:val="20"/>
        </w:rPr>
        <w:t xml:space="preserve">sentenced </w:t>
      </w:r>
      <w:r w:rsidR="009E6ACE" w:rsidRPr="00AD671A">
        <w:rPr>
          <w:rFonts w:asciiTheme="majorHAnsi" w:hAnsiTheme="majorHAnsi"/>
          <w:sz w:val="20"/>
          <w:szCs w:val="20"/>
        </w:rPr>
        <w:t xml:space="preserve">Mr. </w:t>
      </w:r>
      <w:r w:rsidRPr="00AD671A">
        <w:rPr>
          <w:rFonts w:asciiTheme="majorHAnsi" w:hAnsiTheme="majorHAnsi"/>
          <w:sz w:val="20"/>
          <w:szCs w:val="20"/>
        </w:rPr>
        <w:t xml:space="preserve">Thompson to death after </w:t>
      </w:r>
      <w:r w:rsidR="00B41915">
        <w:rPr>
          <w:rFonts w:asciiTheme="majorHAnsi" w:hAnsiTheme="majorHAnsi"/>
          <w:sz w:val="20"/>
          <w:szCs w:val="20"/>
        </w:rPr>
        <w:t>finding</w:t>
      </w:r>
      <w:r w:rsidR="000973DC" w:rsidRPr="00AD671A">
        <w:rPr>
          <w:rFonts w:asciiTheme="majorHAnsi" w:hAnsiTheme="majorHAnsi"/>
          <w:sz w:val="20"/>
          <w:szCs w:val="20"/>
        </w:rPr>
        <w:t xml:space="preserve"> </w:t>
      </w:r>
      <w:r w:rsidRPr="00AD671A">
        <w:rPr>
          <w:rFonts w:asciiTheme="majorHAnsi" w:hAnsiTheme="majorHAnsi"/>
          <w:sz w:val="20"/>
          <w:szCs w:val="20"/>
        </w:rPr>
        <w:t>him</w:t>
      </w:r>
      <w:r w:rsidR="000973DC" w:rsidRPr="00AD671A">
        <w:rPr>
          <w:rFonts w:asciiTheme="majorHAnsi" w:hAnsiTheme="majorHAnsi"/>
          <w:sz w:val="20"/>
          <w:szCs w:val="20"/>
        </w:rPr>
        <w:t xml:space="preserve"> guilty</w:t>
      </w:r>
      <w:r w:rsidR="000973DC" w:rsidRPr="00663527">
        <w:rPr>
          <w:rFonts w:asciiTheme="majorHAnsi" w:hAnsiTheme="majorHAnsi"/>
          <w:sz w:val="20"/>
          <w:szCs w:val="20"/>
        </w:rPr>
        <w:t xml:space="preserve"> of fir</w:t>
      </w:r>
      <w:r w:rsidR="001170BA" w:rsidRPr="00663527">
        <w:rPr>
          <w:rFonts w:asciiTheme="majorHAnsi" w:hAnsiTheme="majorHAnsi"/>
          <w:sz w:val="20"/>
          <w:szCs w:val="20"/>
        </w:rPr>
        <w:t xml:space="preserve">st-degree murder </w:t>
      </w:r>
      <w:bookmarkEnd w:id="9"/>
      <w:r w:rsidR="001170BA" w:rsidRPr="00663527">
        <w:rPr>
          <w:rFonts w:asciiTheme="majorHAnsi" w:hAnsiTheme="majorHAnsi"/>
          <w:sz w:val="20"/>
          <w:szCs w:val="20"/>
        </w:rPr>
        <w:t>of Brenda Lane</w:t>
      </w:r>
      <w:r w:rsidR="000973DC" w:rsidRPr="00663527">
        <w:rPr>
          <w:rFonts w:asciiTheme="majorHAnsi" w:hAnsiTheme="majorHAnsi"/>
          <w:sz w:val="20"/>
          <w:szCs w:val="20"/>
        </w:rPr>
        <w:t xml:space="preserve">. </w:t>
      </w:r>
      <w:r w:rsidR="009A3BCE" w:rsidRPr="00663527">
        <w:rPr>
          <w:rFonts w:asciiTheme="majorHAnsi" w:hAnsiTheme="majorHAnsi"/>
          <w:sz w:val="20"/>
          <w:szCs w:val="20"/>
        </w:rPr>
        <w:t xml:space="preserve">In imposing the death penalty, the jury found three aggravating circumstances; that the murder was especially heinous, atrocious or cruel in that it involved torture or depravity of mind; the defendant committed the murder for the purpose of avoiding or preventing his lawful arrest and prosecution; and the murder was committed while the defendant was engaged in committing robbery or kidnapping. </w:t>
      </w:r>
    </w:p>
    <w:p w14:paraId="7BD3A995" w14:textId="77777777" w:rsidR="00C429A6" w:rsidRDefault="00C429A6" w:rsidP="00B61BD0">
      <w:pPr>
        <w:pStyle w:val="ListParagraph"/>
        <w:rPr>
          <w:rFonts w:asciiTheme="majorHAnsi" w:hAnsiTheme="majorHAnsi"/>
          <w:sz w:val="20"/>
          <w:szCs w:val="20"/>
        </w:rPr>
      </w:pPr>
    </w:p>
    <w:p w14:paraId="021DAF72" w14:textId="77777777" w:rsidR="008F233C" w:rsidRDefault="00663527" w:rsidP="006635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On direct appeal</w:t>
      </w:r>
      <w:r w:rsidR="008F233C">
        <w:rPr>
          <w:rFonts w:asciiTheme="majorHAnsi" w:hAnsiTheme="majorHAnsi"/>
          <w:sz w:val="20"/>
          <w:szCs w:val="20"/>
        </w:rPr>
        <w:t>, issues on the effective assistance of counsel, the composition and selection of the jury, the admissibility of evidence, and the constitutionality of the statute and jury instructions under which Mr. Thompson was sentenced</w:t>
      </w:r>
      <w:r w:rsidR="00636E90">
        <w:rPr>
          <w:rFonts w:asciiTheme="majorHAnsi" w:hAnsiTheme="majorHAnsi"/>
          <w:sz w:val="20"/>
          <w:szCs w:val="20"/>
        </w:rPr>
        <w:t>,</w:t>
      </w:r>
      <w:r w:rsidR="008F233C">
        <w:rPr>
          <w:rFonts w:asciiTheme="majorHAnsi" w:hAnsiTheme="majorHAnsi"/>
          <w:sz w:val="20"/>
          <w:szCs w:val="20"/>
        </w:rPr>
        <w:t xml:space="preserve"> were presented.</w:t>
      </w:r>
      <w:r w:rsidR="00636E90">
        <w:rPr>
          <w:rFonts w:asciiTheme="majorHAnsi" w:hAnsiTheme="majorHAnsi"/>
          <w:sz w:val="20"/>
          <w:szCs w:val="20"/>
        </w:rPr>
        <w:t xml:space="preserve"> </w:t>
      </w:r>
      <w:r w:rsidR="00227D01">
        <w:rPr>
          <w:rFonts w:asciiTheme="majorHAnsi" w:hAnsiTheme="majorHAnsi"/>
          <w:sz w:val="20"/>
          <w:szCs w:val="20"/>
        </w:rPr>
        <w:t xml:space="preserve">Mr. Thompson claimed his attorneys were disqualified by a conflict of interest; as both trial court appointed counsel quickly moved to withdraw. Mr. John W. Rollins withdrew as he was the Coffee County Attorney, and Mr. H. Thomas Parsons withdrew as he was representing the Coffee County Sheriff in an unrelated civil matter in federal district court. </w:t>
      </w:r>
      <w:r w:rsidR="00351AC1">
        <w:rPr>
          <w:rFonts w:asciiTheme="majorHAnsi" w:hAnsiTheme="majorHAnsi"/>
          <w:sz w:val="20"/>
          <w:szCs w:val="20"/>
        </w:rPr>
        <w:t>Mr. Doyle Richardon was substituted as Co-counsel and moved to have Mr. Parsons re-appointed asserting the conflict had been resolved by settlement of the civil suit. The court reasoned the conflict claimed was only potential and quite remote; and it was resolved before trial. Further, that no prejudice was apparent from counsel’s lack of experience in capital cases or from Mr. Rollins non-participation or from inadequate compensation.</w:t>
      </w:r>
      <w:r w:rsidR="00351AC1">
        <w:rPr>
          <w:rStyle w:val="FootnoteReference"/>
          <w:rFonts w:asciiTheme="majorHAnsi" w:hAnsiTheme="majorHAnsi"/>
          <w:sz w:val="20"/>
          <w:szCs w:val="20"/>
        </w:rPr>
        <w:footnoteReference w:id="8"/>
      </w:r>
      <w:r w:rsidR="00351AC1">
        <w:rPr>
          <w:rFonts w:asciiTheme="majorHAnsi" w:hAnsiTheme="majorHAnsi"/>
          <w:sz w:val="20"/>
          <w:szCs w:val="20"/>
        </w:rPr>
        <w:t xml:space="preserve"> </w:t>
      </w:r>
    </w:p>
    <w:p w14:paraId="47E054B2" w14:textId="77777777" w:rsidR="00351AC1" w:rsidRDefault="00351AC1" w:rsidP="00B61BD0">
      <w:pPr>
        <w:pStyle w:val="ListParagraph"/>
        <w:rPr>
          <w:rFonts w:asciiTheme="majorHAnsi" w:hAnsiTheme="majorHAnsi"/>
          <w:sz w:val="20"/>
          <w:szCs w:val="20"/>
        </w:rPr>
      </w:pPr>
    </w:p>
    <w:p w14:paraId="041E17EC" w14:textId="77777777" w:rsidR="00351AC1" w:rsidRDefault="00351AC1" w:rsidP="006635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The motion to quash the indictment on grounds that the jury was not impaneled, and its foreman appointed</w:t>
      </w:r>
      <w:r w:rsidR="00160370">
        <w:rPr>
          <w:rFonts w:asciiTheme="majorHAnsi" w:hAnsiTheme="majorHAnsi"/>
          <w:sz w:val="20"/>
          <w:szCs w:val="20"/>
        </w:rPr>
        <w:t xml:space="preserve"> according to the Tennessee Criminal code</w:t>
      </w:r>
      <w:r>
        <w:rPr>
          <w:rFonts w:asciiTheme="majorHAnsi" w:hAnsiTheme="majorHAnsi"/>
          <w:sz w:val="20"/>
          <w:szCs w:val="20"/>
        </w:rPr>
        <w:t xml:space="preserve">, was denied as in the absence of corruption, fraud, bias, </w:t>
      </w:r>
      <w:r>
        <w:rPr>
          <w:rFonts w:asciiTheme="majorHAnsi" w:hAnsiTheme="majorHAnsi"/>
          <w:sz w:val="20"/>
          <w:szCs w:val="20"/>
        </w:rPr>
        <w:lastRenderedPageBreak/>
        <w:t>disqualification, or other illegality infecting the grand jury, an irregularity in its selection did not invalidate its acts.</w:t>
      </w:r>
      <w:r w:rsidR="00712815">
        <w:rPr>
          <w:rFonts w:asciiTheme="majorHAnsi" w:hAnsiTheme="majorHAnsi"/>
          <w:sz w:val="20"/>
          <w:szCs w:val="20"/>
        </w:rPr>
        <w:t xml:space="preserve"> </w:t>
      </w:r>
      <w:r w:rsidR="00466AB1">
        <w:rPr>
          <w:rFonts w:asciiTheme="majorHAnsi" w:hAnsiTheme="majorHAnsi"/>
          <w:sz w:val="20"/>
          <w:szCs w:val="20"/>
        </w:rPr>
        <w:t>The court explained that the statute relied on “is plainly a directive to order the administrative duties of the judges within their judicial districts” and “is for the benefit of the public at large not a particular accused.”</w:t>
      </w:r>
      <w:r w:rsidR="00466AB1">
        <w:rPr>
          <w:rStyle w:val="FootnoteReference"/>
          <w:rFonts w:asciiTheme="majorHAnsi" w:hAnsiTheme="majorHAnsi"/>
          <w:sz w:val="20"/>
          <w:szCs w:val="20"/>
        </w:rPr>
        <w:footnoteReference w:id="9"/>
      </w:r>
      <w:r w:rsidR="00466AB1">
        <w:rPr>
          <w:rFonts w:asciiTheme="majorHAnsi" w:hAnsiTheme="majorHAnsi"/>
          <w:sz w:val="20"/>
          <w:szCs w:val="20"/>
        </w:rPr>
        <w:t xml:space="preserve"> </w:t>
      </w:r>
      <w:r w:rsidR="00712815">
        <w:rPr>
          <w:rFonts w:asciiTheme="majorHAnsi" w:hAnsiTheme="majorHAnsi"/>
          <w:sz w:val="20"/>
          <w:szCs w:val="20"/>
        </w:rPr>
        <w:t xml:space="preserve">The court did not find the representation either unfair or unreasonable, and that the use of a voter registration list was not a “political test”, and there was no data to show it was an inadequate or discriminatory source of names of potential jurors. </w:t>
      </w:r>
      <w:r w:rsidR="004856A5">
        <w:rPr>
          <w:rFonts w:asciiTheme="majorHAnsi" w:hAnsiTheme="majorHAnsi"/>
          <w:sz w:val="20"/>
          <w:szCs w:val="20"/>
        </w:rPr>
        <w:t xml:space="preserve">The court found that any error in not excusing jurors was harmless because the jurors were not forced upon the defendant, and </w:t>
      </w:r>
      <w:r w:rsidR="007C7B14">
        <w:rPr>
          <w:rFonts w:asciiTheme="majorHAnsi" w:hAnsiTheme="majorHAnsi"/>
          <w:sz w:val="20"/>
          <w:szCs w:val="20"/>
        </w:rPr>
        <w:t xml:space="preserve">that </w:t>
      </w:r>
      <w:r w:rsidR="004856A5">
        <w:rPr>
          <w:rFonts w:asciiTheme="majorHAnsi" w:hAnsiTheme="majorHAnsi"/>
          <w:sz w:val="20"/>
          <w:szCs w:val="20"/>
        </w:rPr>
        <w:t xml:space="preserve">Mr. Thompson showed no denial of equal protection in the State’s peremptory challenge of the single black person called for examination in the </w:t>
      </w:r>
      <w:r w:rsidR="004856A5" w:rsidRPr="007C7B14">
        <w:rPr>
          <w:rFonts w:asciiTheme="majorHAnsi" w:hAnsiTheme="majorHAnsi"/>
          <w:i/>
          <w:sz w:val="20"/>
          <w:szCs w:val="20"/>
        </w:rPr>
        <w:t>voir dire</w:t>
      </w:r>
      <w:r w:rsidR="007C7B14">
        <w:rPr>
          <w:rFonts w:asciiTheme="majorHAnsi" w:hAnsiTheme="majorHAnsi"/>
          <w:sz w:val="20"/>
          <w:szCs w:val="20"/>
        </w:rPr>
        <w:t>. M</w:t>
      </w:r>
      <w:r w:rsidR="004856A5">
        <w:rPr>
          <w:rFonts w:asciiTheme="majorHAnsi" w:hAnsiTheme="majorHAnsi"/>
          <w:sz w:val="20"/>
          <w:szCs w:val="20"/>
        </w:rPr>
        <w:t>oreover</w:t>
      </w:r>
      <w:r w:rsidR="007C7B14">
        <w:rPr>
          <w:rFonts w:asciiTheme="majorHAnsi" w:hAnsiTheme="majorHAnsi"/>
          <w:sz w:val="20"/>
          <w:szCs w:val="20"/>
        </w:rPr>
        <w:t>, the court found that</w:t>
      </w:r>
      <w:r w:rsidR="004856A5">
        <w:rPr>
          <w:rFonts w:asciiTheme="majorHAnsi" w:hAnsiTheme="majorHAnsi"/>
          <w:sz w:val="20"/>
          <w:szCs w:val="20"/>
        </w:rPr>
        <w:t xml:space="preserve"> the only evidence of discrimination was the challenge of the only black person seated which the court did not decide on as it deemed the State provided a satisfactory explanation.</w:t>
      </w:r>
      <w:r w:rsidR="000764F2">
        <w:rPr>
          <w:rStyle w:val="FootnoteReference"/>
          <w:rFonts w:asciiTheme="majorHAnsi" w:hAnsiTheme="majorHAnsi"/>
          <w:sz w:val="20"/>
          <w:szCs w:val="20"/>
        </w:rPr>
        <w:footnoteReference w:id="10"/>
      </w:r>
    </w:p>
    <w:p w14:paraId="11886864" w14:textId="77777777" w:rsidR="00193862" w:rsidRDefault="00193862" w:rsidP="00B61BD0">
      <w:pPr>
        <w:pStyle w:val="ListParagraph"/>
        <w:rPr>
          <w:rFonts w:asciiTheme="majorHAnsi" w:hAnsiTheme="majorHAnsi"/>
          <w:sz w:val="20"/>
          <w:szCs w:val="20"/>
        </w:rPr>
      </w:pPr>
    </w:p>
    <w:p w14:paraId="39198BE3" w14:textId="77777777" w:rsidR="00193862" w:rsidRDefault="00193862" w:rsidP="006635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The court reasoned the record was sufficient to establish that the murder was committed to prevent the lawful apprehension of the defendant and his companion. </w:t>
      </w:r>
      <w:r w:rsidR="00D82296">
        <w:rPr>
          <w:rFonts w:asciiTheme="majorHAnsi" w:hAnsiTheme="majorHAnsi"/>
          <w:sz w:val="20"/>
          <w:szCs w:val="20"/>
        </w:rPr>
        <w:t>Similarly</w:t>
      </w:r>
      <w:r w:rsidR="00E240F2">
        <w:rPr>
          <w:rFonts w:asciiTheme="majorHAnsi" w:hAnsiTheme="majorHAnsi"/>
          <w:sz w:val="20"/>
          <w:szCs w:val="20"/>
        </w:rPr>
        <w:t>,</w:t>
      </w:r>
      <w:r w:rsidR="00D82296">
        <w:rPr>
          <w:rFonts w:asciiTheme="majorHAnsi" w:hAnsiTheme="majorHAnsi"/>
          <w:sz w:val="20"/>
          <w:szCs w:val="20"/>
        </w:rPr>
        <w:t xml:space="preserve"> that the proof established an especially cruel murder involving torture or depravity of mind, considering the distance the victim was driven, was stabbed multiple times, and the statement that the defendant drove over the victim presumably to ensure her death, indicated a “callous disregard for life”, contradicting evidence that he felt remorse.</w:t>
      </w:r>
      <w:r w:rsidR="00D82296">
        <w:rPr>
          <w:rStyle w:val="FootnoteReference"/>
          <w:rFonts w:asciiTheme="majorHAnsi" w:hAnsiTheme="majorHAnsi"/>
          <w:sz w:val="20"/>
          <w:szCs w:val="20"/>
        </w:rPr>
        <w:footnoteReference w:id="11"/>
      </w:r>
    </w:p>
    <w:p w14:paraId="241848DA" w14:textId="77777777" w:rsidR="000764F2" w:rsidRDefault="000764F2" w:rsidP="00B61BD0">
      <w:pPr>
        <w:pStyle w:val="ListParagraph"/>
        <w:rPr>
          <w:rFonts w:asciiTheme="majorHAnsi" w:hAnsiTheme="majorHAnsi"/>
          <w:sz w:val="20"/>
          <w:szCs w:val="20"/>
        </w:rPr>
      </w:pPr>
    </w:p>
    <w:p w14:paraId="52AF8E50" w14:textId="77777777" w:rsidR="00663527" w:rsidRPr="007A0026" w:rsidRDefault="000764F2" w:rsidP="00B61B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The court provided in brief that the Tennessee capital sentencing procedure is not unconstitutional and the State is properly permitted final argument; and jury qualified on capital sentencing issues is not incompetent to determine the guilt or innocence of the accused. The court found that the sentence of death was not imposed in an arbitrary fashion; that the evidence supports the jury’s findings of three statutory aggravating circumstances; and that the evidence supports the jury’s finding of the absence of any mitigating circumstances sufficiently substantial to outweigh the aggravating circumstances found.</w:t>
      </w:r>
      <w:r w:rsidR="00487328">
        <w:rPr>
          <w:rStyle w:val="FootnoteReference"/>
          <w:rFonts w:asciiTheme="majorHAnsi" w:hAnsiTheme="majorHAnsi"/>
          <w:sz w:val="20"/>
          <w:szCs w:val="20"/>
        </w:rPr>
        <w:footnoteReference w:id="12"/>
      </w:r>
      <w:r>
        <w:rPr>
          <w:rFonts w:asciiTheme="majorHAnsi" w:hAnsiTheme="majorHAnsi"/>
          <w:sz w:val="20"/>
          <w:szCs w:val="20"/>
        </w:rPr>
        <w:t xml:space="preserve"> </w:t>
      </w:r>
      <w:r w:rsidR="008F233C" w:rsidRPr="00F1534F">
        <w:rPr>
          <w:rFonts w:asciiTheme="majorHAnsi" w:hAnsiTheme="majorHAnsi"/>
          <w:sz w:val="20"/>
          <w:szCs w:val="20"/>
        </w:rPr>
        <w:t>T</w:t>
      </w:r>
      <w:r w:rsidR="00663527" w:rsidRPr="00F1534F">
        <w:rPr>
          <w:rFonts w:asciiTheme="majorHAnsi" w:hAnsiTheme="majorHAnsi"/>
          <w:sz w:val="20"/>
          <w:szCs w:val="20"/>
        </w:rPr>
        <w:t xml:space="preserve">he Supreme Court of </w:t>
      </w:r>
      <w:r w:rsidR="00663527" w:rsidRPr="007A0026">
        <w:rPr>
          <w:rFonts w:asciiTheme="majorHAnsi" w:hAnsiTheme="majorHAnsi"/>
          <w:sz w:val="20"/>
          <w:szCs w:val="20"/>
        </w:rPr>
        <w:t xml:space="preserve">Tennessee affirmed Mr. Thompson’s conviction and sentence. </w:t>
      </w:r>
    </w:p>
    <w:p w14:paraId="33F378F7" w14:textId="77777777" w:rsidR="00663527" w:rsidRPr="007A0026" w:rsidRDefault="00663527" w:rsidP="00B61BD0">
      <w:pPr>
        <w:pStyle w:val="ListParagraph"/>
        <w:rPr>
          <w:rFonts w:asciiTheme="majorHAnsi" w:hAnsiTheme="majorHAnsi"/>
          <w:sz w:val="20"/>
          <w:szCs w:val="20"/>
        </w:rPr>
      </w:pPr>
    </w:p>
    <w:p w14:paraId="1E7476C5" w14:textId="77777777" w:rsidR="00663527" w:rsidRPr="007A0026" w:rsidRDefault="00663527" w:rsidP="006635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The </w:t>
      </w:r>
      <w:bookmarkStart w:id="10" w:name="_Hlk26284723"/>
      <w:r w:rsidRPr="007A0026">
        <w:rPr>
          <w:rFonts w:asciiTheme="majorHAnsi" w:hAnsiTheme="majorHAnsi"/>
          <w:sz w:val="20"/>
          <w:szCs w:val="20"/>
        </w:rPr>
        <w:t>United States Supreme Court denied Mr. Thompson’s petition for a writ of certiorari</w:t>
      </w:r>
      <w:bookmarkEnd w:id="10"/>
      <w:r w:rsidR="00E240F2" w:rsidRPr="007A0026">
        <w:rPr>
          <w:rFonts w:asciiTheme="majorHAnsi" w:hAnsiTheme="majorHAnsi"/>
          <w:sz w:val="20"/>
          <w:szCs w:val="20"/>
        </w:rPr>
        <w:t xml:space="preserve"> in 1990</w:t>
      </w:r>
      <w:r w:rsidRPr="007A0026">
        <w:rPr>
          <w:rFonts w:asciiTheme="majorHAnsi" w:hAnsiTheme="majorHAnsi"/>
          <w:sz w:val="20"/>
          <w:szCs w:val="20"/>
        </w:rPr>
        <w:t>.</w:t>
      </w:r>
      <w:r w:rsidRPr="007A0026">
        <w:rPr>
          <w:rStyle w:val="FootnoteReference"/>
          <w:rFonts w:asciiTheme="majorHAnsi" w:hAnsiTheme="majorHAnsi"/>
          <w:sz w:val="20"/>
          <w:szCs w:val="20"/>
        </w:rPr>
        <w:footnoteReference w:id="13"/>
      </w:r>
    </w:p>
    <w:p w14:paraId="74FD31A4" w14:textId="77777777" w:rsidR="008D6290" w:rsidRPr="007A0026" w:rsidRDefault="008D6290" w:rsidP="00460C9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06644C2" w14:textId="77777777" w:rsidR="008D6290" w:rsidRPr="007A0026" w:rsidRDefault="00E04BFD" w:rsidP="003142B7">
      <w:pPr>
        <w:pStyle w:val="Heading2"/>
        <w:numPr>
          <w:ilvl w:val="0"/>
          <w:numId w:val="66"/>
        </w:numPr>
        <w:tabs>
          <w:tab w:val="left" w:pos="360"/>
        </w:tabs>
        <w:spacing w:before="0"/>
        <w:ind w:left="360"/>
        <w:jc w:val="both"/>
        <w:rPr>
          <w:color w:val="auto"/>
          <w:sz w:val="20"/>
          <w:szCs w:val="20"/>
        </w:rPr>
      </w:pPr>
      <w:bookmarkStart w:id="11" w:name="_Toc90300516"/>
      <w:r w:rsidRPr="007A0026">
        <w:rPr>
          <w:color w:val="auto"/>
          <w:sz w:val="20"/>
          <w:szCs w:val="20"/>
        </w:rPr>
        <w:t>P</w:t>
      </w:r>
      <w:r w:rsidR="00E108D7" w:rsidRPr="007A0026">
        <w:rPr>
          <w:color w:val="auto"/>
          <w:sz w:val="20"/>
          <w:szCs w:val="20"/>
        </w:rPr>
        <w:t>etition for p</w:t>
      </w:r>
      <w:r w:rsidRPr="007A0026">
        <w:rPr>
          <w:color w:val="auto"/>
          <w:sz w:val="20"/>
          <w:szCs w:val="20"/>
        </w:rPr>
        <w:t>ost-conviction</w:t>
      </w:r>
      <w:r w:rsidR="008D6290" w:rsidRPr="007A0026">
        <w:rPr>
          <w:color w:val="auto"/>
          <w:sz w:val="20"/>
          <w:szCs w:val="20"/>
        </w:rPr>
        <w:t xml:space="preserve"> </w:t>
      </w:r>
      <w:r w:rsidR="00E108D7" w:rsidRPr="007A0026">
        <w:rPr>
          <w:color w:val="auto"/>
          <w:sz w:val="20"/>
          <w:szCs w:val="20"/>
        </w:rPr>
        <w:t>relief</w:t>
      </w:r>
      <w:bookmarkEnd w:id="11"/>
    </w:p>
    <w:p w14:paraId="5E689AC5" w14:textId="77777777" w:rsidR="008D6290" w:rsidRPr="007A0026" w:rsidRDefault="008D6290" w:rsidP="00460C9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E065EAA" w14:textId="77777777" w:rsidR="00C86DE6"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On </w:t>
      </w:r>
      <w:bookmarkStart w:id="12" w:name="_Hlk26284922"/>
      <w:r w:rsidRPr="007A0026">
        <w:rPr>
          <w:rFonts w:asciiTheme="majorHAnsi" w:hAnsiTheme="majorHAnsi"/>
          <w:sz w:val="20"/>
          <w:szCs w:val="20"/>
        </w:rPr>
        <w:t xml:space="preserve">October 16, 1990, </w:t>
      </w:r>
      <w:r w:rsidR="00542791" w:rsidRPr="007A0026">
        <w:rPr>
          <w:rFonts w:asciiTheme="majorHAnsi" w:hAnsiTheme="majorHAnsi"/>
          <w:sz w:val="20"/>
          <w:szCs w:val="20"/>
        </w:rPr>
        <w:t>defense counsel</w:t>
      </w:r>
      <w:r w:rsidRPr="007A0026">
        <w:rPr>
          <w:rFonts w:asciiTheme="majorHAnsi" w:hAnsiTheme="majorHAnsi"/>
          <w:sz w:val="20"/>
          <w:szCs w:val="20"/>
        </w:rPr>
        <w:t xml:space="preserve"> filed </w:t>
      </w:r>
      <w:r w:rsidR="00542791" w:rsidRPr="007A0026">
        <w:rPr>
          <w:rFonts w:asciiTheme="majorHAnsi" w:hAnsiTheme="majorHAnsi"/>
          <w:sz w:val="20"/>
          <w:szCs w:val="20"/>
        </w:rPr>
        <w:t>Mr. Thompson’s</w:t>
      </w:r>
      <w:r w:rsidRPr="007A0026">
        <w:rPr>
          <w:rFonts w:asciiTheme="majorHAnsi" w:hAnsiTheme="majorHAnsi"/>
          <w:sz w:val="20"/>
          <w:szCs w:val="20"/>
        </w:rPr>
        <w:t xml:space="preserve"> original petition for post-conviction relief in the Coffee County Criminal Court</w:t>
      </w:r>
      <w:bookmarkEnd w:id="12"/>
      <w:r w:rsidRPr="007A0026">
        <w:rPr>
          <w:rFonts w:asciiTheme="majorHAnsi" w:hAnsiTheme="majorHAnsi"/>
          <w:sz w:val="20"/>
          <w:szCs w:val="20"/>
        </w:rPr>
        <w:t xml:space="preserve">, claiming, </w:t>
      </w:r>
      <w:r w:rsidRPr="007A0026">
        <w:rPr>
          <w:rFonts w:asciiTheme="majorHAnsi" w:hAnsiTheme="majorHAnsi"/>
          <w:i/>
          <w:sz w:val="20"/>
          <w:szCs w:val="20"/>
        </w:rPr>
        <w:t>inter alia</w:t>
      </w:r>
      <w:r w:rsidRPr="007A0026">
        <w:rPr>
          <w:rFonts w:asciiTheme="majorHAnsi" w:hAnsiTheme="majorHAnsi"/>
          <w:sz w:val="20"/>
          <w:szCs w:val="20"/>
        </w:rPr>
        <w:t>, ineffective assistance of trial counsel.</w:t>
      </w:r>
      <w:r w:rsidR="00C86DE6" w:rsidRPr="007A0026">
        <w:rPr>
          <w:rFonts w:asciiTheme="majorHAnsi" w:hAnsiTheme="majorHAnsi"/>
          <w:sz w:val="20"/>
          <w:szCs w:val="20"/>
        </w:rPr>
        <w:t xml:space="preserve"> He</w:t>
      </w:r>
      <w:r w:rsidRPr="007A0026">
        <w:rPr>
          <w:rFonts w:asciiTheme="majorHAnsi" w:hAnsiTheme="majorHAnsi"/>
          <w:sz w:val="20"/>
          <w:szCs w:val="20"/>
        </w:rPr>
        <w:t xml:space="preserve"> alleged that trial counsel failed to: (1) adequately investigate Thompson's background and personal and medical history for the existence of mitigating evidence; (2) request and obtain expert and investigative assistance regarding </w:t>
      </w:r>
      <w:r w:rsidR="001B6F6B" w:rsidRPr="007A0026">
        <w:rPr>
          <w:rFonts w:asciiTheme="majorHAnsi" w:hAnsiTheme="majorHAnsi"/>
          <w:sz w:val="20"/>
          <w:szCs w:val="20"/>
        </w:rPr>
        <w:t xml:space="preserve">Mr. </w:t>
      </w:r>
      <w:r w:rsidRPr="007A0026">
        <w:rPr>
          <w:rFonts w:asciiTheme="majorHAnsi" w:hAnsiTheme="majorHAnsi"/>
          <w:sz w:val="20"/>
          <w:szCs w:val="20"/>
        </w:rPr>
        <w:t xml:space="preserve">Thompson's head injuries or to obtain adequate expert assistance regarding </w:t>
      </w:r>
      <w:r w:rsidR="001B6F6B" w:rsidRPr="007A0026">
        <w:rPr>
          <w:rFonts w:asciiTheme="majorHAnsi" w:hAnsiTheme="majorHAnsi"/>
          <w:sz w:val="20"/>
          <w:szCs w:val="20"/>
        </w:rPr>
        <w:t>his</w:t>
      </w:r>
      <w:r w:rsidRPr="007A0026">
        <w:rPr>
          <w:rFonts w:asciiTheme="majorHAnsi" w:hAnsiTheme="majorHAnsi"/>
          <w:sz w:val="20"/>
          <w:szCs w:val="20"/>
        </w:rPr>
        <w:t xml:space="preserve"> competency at the time </w:t>
      </w:r>
      <w:r w:rsidR="001B6F6B" w:rsidRPr="007A0026">
        <w:rPr>
          <w:rFonts w:asciiTheme="majorHAnsi" w:hAnsiTheme="majorHAnsi"/>
          <w:sz w:val="20"/>
          <w:szCs w:val="20"/>
        </w:rPr>
        <w:t>he</w:t>
      </w:r>
      <w:r w:rsidRPr="007A0026">
        <w:rPr>
          <w:rFonts w:asciiTheme="majorHAnsi" w:hAnsiTheme="majorHAnsi"/>
          <w:sz w:val="20"/>
          <w:szCs w:val="20"/>
        </w:rPr>
        <w:t xml:space="preserve"> made incriminating statements to the police; (3) </w:t>
      </w:r>
      <w:r w:rsidR="001B6F6B" w:rsidRPr="007A0026">
        <w:rPr>
          <w:rFonts w:asciiTheme="majorHAnsi" w:hAnsiTheme="majorHAnsi"/>
          <w:sz w:val="20"/>
          <w:szCs w:val="20"/>
        </w:rPr>
        <w:t>failure</w:t>
      </w:r>
      <w:r w:rsidRPr="007A0026">
        <w:rPr>
          <w:rFonts w:asciiTheme="majorHAnsi" w:hAnsiTheme="majorHAnsi"/>
          <w:sz w:val="20"/>
          <w:szCs w:val="20"/>
        </w:rPr>
        <w:t xml:space="preserve"> to cross-examine numerous witnesses</w:t>
      </w:r>
      <w:r w:rsidR="001B6F6B" w:rsidRPr="007A0026">
        <w:rPr>
          <w:rFonts w:asciiTheme="majorHAnsi" w:hAnsiTheme="majorHAnsi"/>
          <w:sz w:val="20"/>
          <w:szCs w:val="20"/>
        </w:rPr>
        <w:t xml:space="preserve"> at trial</w:t>
      </w:r>
      <w:r w:rsidRPr="007A0026">
        <w:rPr>
          <w:rFonts w:asciiTheme="majorHAnsi" w:hAnsiTheme="majorHAnsi"/>
          <w:sz w:val="20"/>
          <w:szCs w:val="20"/>
        </w:rPr>
        <w:t xml:space="preserve"> and to challenge the prosecutor's implication to the jury during closing arguments that </w:t>
      </w:r>
      <w:r w:rsidR="001B6F6B" w:rsidRPr="007A0026">
        <w:rPr>
          <w:rFonts w:asciiTheme="majorHAnsi" w:hAnsiTheme="majorHAnsi"/>
          <w:sz w:val="20"/>
          <w:szCs w:val="20"/>
        </w:rPr>
        <w:t xml:space="preserve">Mr. </w:t>
      </w:r>
      <w:r w:rsidRPr="007A0026">
        <w:rPr>
          <w:rFonts w:asciiTheme="majorHAnsi" w:hAnsiTheme="majorHAnsi"/>
          <w:sz w:val="20"/>
          <w:szCs w:val="20"/>
        </w:rPr>
        <w:t xml:space="preserve">Thompson was required to present a defense; (4) request additional time to prepare witnesses, such as Arlene Cajulao, during the penalty phase of the trial; (5) adequately investigate </w:t>
      </w:r>
      <w:r w:rsidR="001B6F6B" w:rsidRPr="007A0026">
        <w:rPr>
          <w:rFonts w:asciiTheme="majorHAnsi" w:hAnsiTheme="majorHAnsi"/>
          <w:sz w:val="20"/>
          <w:szCs w:val="20"/>
        </w:rPr>
        <w:t xml:space="preserve">Mr. </w:t>
      </w:r>
      <w:r w:rsidRPr="007A0026">
        <w:rPr>
          <w:rFonts w:asciiTheme="majorHAnsi" w:hAnsiTheme="majorHAnsi"/>
          <w:sz w:val="20"/>
          <w:szCs w:val="20"/>
        </w:rPr>
        <w:t>Thompson's military career, therefore improperly raising the issue of his good character and opening the door for the prosecution to admit damaging information about him.</w:t>
      </w:r>
      <w:r w:rsidR="00256112" w:rsidRPr="007A0026">
        <w:rPr>
          <w:rStyle w:val="FootnoteReference"/>
          <w:rFonts w:asciiTheme="majorHAnsi" w:hAnsiTheme="majorHAnsi"/>
          <w:sz w:val="20"/>
          <w:szCs w:val="20"/>
        </w:rPr>
        <w:footnoteReference w:id="14"/>
      </w:r>
      <w:r w:rsidRPr="007A0026">
        <w:rPr>
          <w:rFonts w:asciiTheme="majorHAnsi" w:hAnsiTheme="majorHAnsi"/>
          <w:sz w:val="20"/>
          <w:szCs w:val="20"/>
        </w:rPr>
        <w:t xml:space="preserve"> </w:t>
      </w:r>
    </w:p>
    <w:p w14:paraId="056A9D91" w14:textId="77777777" w:rsidR="00C86DE6" w:rsidRPr="007A0026" w:rsidRDefault="00C86DE6"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62B7640" w14:textId="77777777" w:rsidR="00C86DE6"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On February 1, 1991, post-conviction counsel filed </w:t>
      </w:r>
      <w:r w:rsidR="00C86DE6" w:rsidRPr="007A0026">
        <w:rPr>
          <w:rFonts w:asciiTheme="majorHAnsi" w:hAnsiTheme="majorHAnsi"/>
          <w:sz w:val="20"/>
          <w:szCs w:val="20"/>
        </w:rPr>
        <w:t>a</w:t>
      </w:r>
      <w:r w:rsidRPr="007A0026">
        <w:rPr>
          <w:rFonts w:asciiTheme="majorHAnsi" w:hAnsiTheme="majorHAnsi"/>
          <w:sz w:val="20"/>
          <w:szCs w:val="20"/>
        </w:rPr>
        <w:t xml:space="preserve"> motion for funds to hire a licensed psychologist or psychiatrist and an investigator to assist in the preparation of </w:t>
      </w:r>
      <w:r w:rsidR="001B6F6B" w:rsidRPr="007A0026">
        <w:rPr>
          <w:rFonts w:asciiTheme="majorHAnsi" w:hAnsiTheme="majorHAnsi"/>
          <w:sz w:val="20"/>
          <w:szCs w:val="20"/>
        </w:rPr>
        <w:t>the</w:t>
      </w:r>
      <w:r w:rsidRPr="007A0026">
        <w:rPr>
          <w:rFonts w:asciiTheme="majorHAnsi" w:hAnsiTheme="majorHAnsi"/>
          <w:sz w:val="20"/>
          <w:szCs w:val="20"/>
        </w:rPr>
        <w:t xml:space="preserve"> case for post-conviction relief. Counsel submitted the affidavit of Dr. Gillian Blair, a licensed psychologist</w:t>
      </w:r>
      <w:r w:rsidR="001B6F6B" w:rsidRPr="007A0026">
        <w:rPr>
          <w:rFonts w:asciiTheme="majorHAnsi" w:hAnsiTheme="majorHAnsi"/>
          <w:sz w:val="20"/>
          <w:szCs w:val="20"/>
        </w:rPr>
        <w:t xml:space="preserve"> who stated that Mr. Thompson was in need of a full psychological evaluation</w:t>
      </w:r>
      <w:r w:rsidRPr="007A0026">
        <w:rPr>
          <w:rFonts w:asciiTheme="majorHAnsi" w:hAnsiTheme="majorHAnsi"/>
          <w:sz w:val="20"/>
          <w:szCs w:val="20"/>
        </w:rPr>
        <w:t xml:space="preserve">. </w:t>
      </w:r>
      <w:r w:rsidR="00CB4BF7" w:rsidRPr="007A0026">
        <w:rPr>
          <w:rFonts w:asciiTheme="majorHAnsi" w:hAnsiTheme="majorHAnsi"/>
          <w:sz w:val="20"/>
          <w:szCs w:val="20"/>
        </w:rPr>
        <w:t>After reviewing</w:t>
      </w:r>
      <w:r w:rsidRPr="007A0026">
        <w:rPr>
          <w:rFonts w:asciiTheme="majorHAnsi" w:hAnsiTheme="majorHAnsi"/>
          <w:sz w:val="20"/>
          <w:szCs w:val="20"/>
        </w:rPr>
        <w:t xml:space="preserve"> </w:t>
      </w:r>
      <w:r w:rsidR="001B6F6B" w:rsidRPr="007A0026">
        <w:rPr>
          <w:rFonts w:asciiTheme="majorHAnsi" w:hAnsiTheme="majorHAnsi"/>
          <w:sz w:val="20"/>
          <w:szCs w:val="20"/>
        </w:rPr>
        <w:t xml:space="preserve">Mr. </w:t>
      </w:r>
      <w:r w:rsidRPr="007A0026">
        <w:rPr>
          <w:rFonts w:asciiTheme="majorHAnsi" w:hAnsiTheme="majorHAnsi"/>
          <w:sz w:val="20"/>
          <w:szCs w:val="20"/>
        </w:rPr>
        <w:t xml:space="preserve">Thompson's post-incarceration medical records, </w:t>
      </w:r>
      <w:r w:rsidR="00CB4BF7" w:rsidRPr="007A0026">
        <w:rPr>
          <w:rFonts w:asciiTheme="majorHAnsi" w:hAnsiTheme="majorHAnsi"/>
          <w:sz w:val="20"/>
          <w:szCs w:val="20"/>
        </w:rPr>
        <w:t>s</w:t>
      </w:r>
      <w:r w:rsidR="001B6F6B" w:rsidRPr="007A0026">
        <w:rPr>
          <w:rFonts w:asciiTheme="majorHAnsi" w:hAnsiTheme="majorHAnsi"/>
          <w:sz w:val="20"/>
          <w:szCs w:val="20"/>
        </w:rPr>
        <w:t>he</w:t>
      </w:r>
      <w:r w:rsidR="00BD061B" w:rsidRPr="007A0026">
        <w:rPr>
          <w:rFonts w:asciiTheme="majorHAnsi" w:hAnsiTheme="majorHAnsi"/>
          <w:sz w:val="20"/>
          <w:szCs w:val="20"/>
        </w:rPr>
        <w:t xml:space="preserve"> </w:t>
      </w:r>
      <w:r w:rsidR="00CB4BF7" w:rsidRPr="007A0026">
        <w:rPr>
          <w:rFonts w:asciiTheme="majorHAnsi" w:hAnsiTheme="majorHAnsi"/>
          <w:sz w:val="20"/>
          <w:szCs w:val="20"/>
        </w:rPr>
        <w:t>stated</w:t>
      </w:r>
      <w:r w:rsidR="00BD061B" w:rsidRPr="007A0026">
        <w:rPr>
          <w:rFonts w:asciiTheme="majorHAnsi" w:hAnsiTheme="majorHAnsi"/>
          <w:sz w:val="20"/>
          <w:szCs w:val="20"/>
        </w:rPr>
        <w:t xml:space="preserve"> that, i</w:t>
      </w:r>
      <w:r w:rsidR="001B6F6B" w:rsidRPr="007A0026">
        <w:rPr>
          <w:rFonts w:asciiTheme="majorHAnsi" w:hAnsiTheme="majorHAnsi"/>
          <w:sz w:val="20"/>
          <w:szCs w:val="20"/>
        </w:rPr>
        <w:t>f Mr. Thompson wa</w:t>
      </w:r>
      <w:r w:rsidRPr="007A0026">
        <w:rPr>
          <w:rFonts w:asciiTheme="majorHAnsi" w:hAnsiTheme="majorHAnsi"/>
          <w:sz w:val="20"/>
          <w:szCs w:val="20"/>
        </w:rPr>
        <w:t>s found to be suffering from neurological or psychological impairment</w:t>
      </w:r>
      <w:r w:rsidR="001B6F6B" w:rsidRPr="007A0026">
        <w:rPr>
          <w:rFonts w:asciiTheme="majorHAnsi" w:hAnsiTheme="majorHAnsi"/>
          <w:sz w:val="20"/>
          <w:szCs w:val="20"/>
        </w:rPr>
        <w:t>, it would be</w:t>
      </w:r>
      <w:r w:rsidRPr="007A0026">
        <w:rPr>
          <w:rFonts w:asciiTheme="majorHAnsi" w:hAnsiTheme="majorHAnsi"/>
          <w:sz w:val="20"/>
          <w:szCs w:val="20"/>
        </w:rPr>
        <w:t xml:space="preserve"> likely that some degree of such impairment would have existed at the time of the offense and would have </w:t>
      </w:r>
      <w:r w:rsidRPr="007A0026">
        <w:rPr>
          <w:rFonts w:asciiTheme="majorHAnsi" w:hAnsiTheme="majorHAnsi"/>
          <w:sz w:val="20"/>
          <w:szCs w:val="20"/>
        </w:rPr>
        <w:lastRenderedPageBreak/>
        <w:t xml:space="preserve">been a significant factor in determining whether or not </w:t>
      </w:r>
      <w:r w:rsidR="00BD061B" w:rsidRPr="007A0026">
        <w:rPr>
          <w:rFonts w:asciiTheme="majorHAnsi" w:hAnsiTheme="majorHAnsi"/>
          <w:sz w:val="20"/>
          <w:szCs w:val="20"/>
        </w:rPr>
        <w:t>he</w:t>
      </w:r>
      <w:r w:rsidRPr="007A0026">
        <w:rPr>
          <w:rFonts w:asciiTheme="majorHAnsi" w:hAnsiTheme="majorHAnsi"/>
          <w:sz w:val="20"/>
          <w:szCs w:val="20"/>
        </w:rPr>
        <w:t xml:space="preserve"> was able to appreciate the wrongfulness of his conduct or to conform his conduct to the requirements of law when he committed the homicide. </w:t>
      </w:r>
    </w:p>
    <w:p w14:paraId="2C646665" w14:textId="77777777" w:rsidR="00C86DE6" w:rsidRPr="007A0026" w:rsidRDefault="00C86DE6"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2B8EECF" w14:textId="77777777" w:rsidR="005572AF"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The state trial court conducted an </w:t>
      </w:r>
      <w:bookmarkStart w:id="13" w:name="_Hlk26285042"/>
      <w:r w:rsidRPr="007A0026">
        <w:rPr>
          <w:rFonts w:asciiTheme="majorHAnsi" w:hAnsiTheme="majorHAnsi"/>
          <w:sz w:val="20"/>
          <w:szCs w:val="20"/>
        </w:rPr>
        <w:t>evidentiary hearing on March 27 and 29, 1995</w:t>
      </w:r>
      <w:bookmarkEnd w:id="13"/>
      <w:r w:rsidRPr="007A0026">
        <w:rPr>
          <w:rFonts w:asciiTheme="majorHAnsi" w:hAnsiTheme="majorHAnsi"/>
          <w:sz w:val="20"/>
          <w:szCs w:val="20"/>
        </w:rPr>
        <w:t xml:space="preserve">. Both of </w:t>
      </w:r>
      <w:r w:rsidR="001B6F6B" w:rsidRPr="007A0026">
        <w:rPr>
          <w:rFonts w:asciiTheme="majorHAnsi" w:hAnsiTheme="majorHAnsi"/>
          <w:sz w:val="20"/>
          <w:szCs w:val="20"/>
        </w:rPr>
        <w:t xml:space="preserve">Mr. </w:t>
      </w:r>
      <w:r w:rsidRPr="007A0026">
        <w:rPr>
          <w:rFonts w:asciiTheme="majorHAnsi" w:hAnsiTheme="majorHAnsi"/>
          <w:sz w:val="20"/>
          <w:szCs w:val="20"/>
        </w:rPr>
        <w:t xml:space="preserve">Thompson's trial counsel testified. Defense attorney Parsons testified that he knew about the head injuries, </w:t>
      </w:r>
      <w:r w:rsidR="00C86DE6" w:rsidRPr="007A0026">
        <w:rPr>
          <w:rFonts w:asciiTheme="majorHAnsi" w:hAnsiTheme="majorHAnsi"/>
          <w:sz w:val="20"/>
          <w:szCs w:val="20"/>
        </w:rPr>
        <w:t>he</w:t>
      </w:r>
      <w:r w:rsidRPr="007A0026">
        <w:rPr>
          <w:rFonts w:asciiTheme="majorHAnsi" w:hAnsiTheme="majorHAnsi"/>
          <w:sz w:val="20"/>
          <w:szCs w:val="20"/>
        </w:rPr>
        <w:t xml:space="preserve"> also acknowledged that trial counsel attempted to, but did not obtain, all of </w:t>
      </w:r>
      <w:r w:rsidR="001B6F6B" w:rsidRPr="007A0026">
        <w:rPr>
          <w:rFonts w:asciiTheme="majorHAnsi" w:hAnsiTheme="majorHAnsi"/>
          <w:sz w:val="20"/>
          <w:szCs w:val="20"/>
        </w:rPr>
        <w:t xml:space="preserve">Mr. </w:t>
      </w:r>
      <w:r w:rsidRPr="007A0026">
        <w:rPr>
          <w:rFonts w:asciiTheme="majorHAnsi" w:hAnsiTheme="majorHAnsi"/>
          <w:sz w:val="20"/>
          <w:szCs w:val="20"/>
        </w:rPr>
        <w:t xml:space="preserve">Thompson's medical records. </w:t>
      </w:r>
      <w:r w:rsidR="001B6F6B" w:rsidRPr="007A0026">
        <w:rPr>
          <w:rFonts w:asciiTheme="majorHAnsi" w:hAnsiTheme="majorHAnsi"/>
          <w:sz w:val="20"/>
          <w:szCs w:val="20"/>
        </w:rPr>
        <w:t>He</w:t>
      </w:r>
      <w:r w:rsidRPr="007A0026">
        <w:rPr>
          <w:rFonts w:asciiTheme="majorHAnsi" w:hAnsiTheme="majorHAnsi"/>
          <w:sz w:val="20"/>
          <w:szCs w:val="20"/>
        </w:rPr>
        <w:t xml:space="preserve"> indicated that trial counsel did not present evidence at trial of </w:t>
      </w:r>
      <w:r w:rsidR="001B6F6B" w:rsidRPr="007A0026">
        <w:rPr>
          <w:rFonts w:asciiTheme="majorHAnsi" w:hAnsiTheme="majorHAnsi"/>
          <w:sz w:val="20"/>
          <w:szCs w:val="20"/>
        </w:rPr>
        <w:t xml:space="preserve">Mr. </w:t>
      </w:r>
      <w:r w:rsidRPr="007A0026">
        <w:rPr>
          <w:rFonts w:asciiTheme="majorHAnsi" w:hAnsiTheme="majorHAnsi"/>
          <w:sz w:val="20"/>
          <w:szCs w:val="20"/>
        </w:rPr>
        <w:t xml:space="preserve">Thompson's head injuries because </w:t>
      </w:r>
      <w:r w:rsidR="00C86DE6" w:rsidRPr="007A0026">
        <w:rPr>
          <w:rFonts w:asciiTheme="majorHAnsi" w:hAnsiTheme="majorHAnsi"/>
          <w:sz w:val="20"/>
          <w:szCs w:val="20"/>
        </w:rPr>
        <w:t>they</w:t>
      </w:r>
      <w:r w:rsidRPr="007A0026">
        <w:rPr>
          <w:rFonts w:asciiTheme="majorHAnsi" w:hAnsiTheme="majorHAnsi"/>
          <w:sz w:val="20"/>
          <w:szCs w:val="20"/>
        </w:rPr>
        <w:t xml:space="preserve"> would ha</w:t>
      </w:r>
      <w:r w:rsidR="00C86DE6" w:rsidRPr="007A0026">
        <w:rPr>
          <w:rFonts w:asciiTheme="majorHAnsi" w:hAnsiTheme="majorHAnsi"/>
          <w:sz w:val="20"/>
          <w:szCs w:val="20"/>
        </w:rPr>
        <w:t>ve</w:t>
      </w:r>
      <w:r w:rsidRPr="007A0026">
        <w:rPr>
          <w:rFonts w:asciiTheme="majorHAnsi" w:hAnsiTheme="majorHAnsi"/>
          <w:sz w:val="20"/>
          <w:szCs w:val="20"/>
        </w:rPr>
        <w:t xml:space="preserve"> to have some expert proof and </w:t>
      </w:r>
      <w:r w:rsidR="00C86DE6" w:rsidRPr="007A0026">
        <w:rPr>
          <w:rFonts w:asciiTheme="majorHAnsi" w:hAnsiTheme="majorHAnsi"/>
          <w:sz w:val="20"/>
          <w:szCs w:val="20"/>
        </w:rPr>
        <w:t>they</w:t>
      </w:r>
      <w:r w:rsidRPr="007A0026">
        <w:rPr>
          <w:rFonts w:asciiTheme="majorHAnsi" w:hAnsiTheme="majorHAnsi"/>
          <w:sz w:val="20"/>
          <w:szCs w:val="20"/>
        </w:rPr>
        <w:t xml:space="preserve"> did try to have him tested through the State. Parsons denied that trial counsel failed to pursue the head injury theory, although he conceded that </w:t>
      </w:r>
      <w:r w:rsidR="006A606A" w:rsidRPr="007A0026">
        <w:rPr>
          <w:rFonts w:asciiTheme="majorHAnsi" w:hAnsiTheme="majorHAnsi"/>
          <w:sz w:val="20"/>
          <w:szCs w:val="20"/>
        </w:rPr>
        <w:t>they</w:t>
      </w:r>
      <w:r w:rsidRPr="007A0026">
        <w:rPr>
          <w:rFonts w:asciiTheme="majorHAnsi" w:hAnsiTheme="majorHAnsi"/>
          <w:sz w:val="20"/>
          <w:szCs w:val="20"/>
        </w:rPr>
        <w:t xml:space="preserve"> may have not pursued it enough. Co-counsel Richardson testified that </w:t>
      </w:r>
      <w:r w:rsidR="006A606A" w:rsidRPr="007A0026">
        <w:rPr>
          <w:rFonts w:asciiTheme="majorHAnsi" w:hAnsiTheme="majorHAnsi"/>
          <w:sz w:val="20"/>
          <w:szCs w:val="20"/>
        </w:rPr>
        <w:t xml:space="preserve">Mr. </w:t>
      </w:r>
      <w:r w:rsidRPr="007A0026">
        <w:rPr>
          <w:rFonts w:asciiTheme="majorHAnsi" w:hAnsiTheme="majorHAnsi"/>
          <w:sz w:val="20"/>
          <w:szCs w:val="20"/>
        </w:rPr>
        <w:t xml:space="preserve">Thompson told counsel about his head injuries and that they followed up on that by hiring </w:t>
      </w:r>
      <w:r w:rsidR="006A606A" w:rsidRPr="007A0026">
        <w:rPr>
          <w:rFonts w:asciiTheme="majorHAnsi" w:hAnsiTheme="majorHAnsi"/>
          <w:sz w:val="20"/>
          <w:szCs w:val="20"/>
        </w:rPr>
        <w:t xml:space="preserve">Dr. </w:t>
      </w:r>
      <w:r w:rsidRPr="007A0026">
        <w:rPr>
          <w:rFonts w:asciiTheme="majorHAnsi" w:hAnsiTheme="majorHAnsi"/>
          <w:sz w:val="20"/>
          <w:szCs w:val="20"/>
        </w:rPr>
        <w:t>Co</w:t>
      </w:r>
      <w:r w:rsidR="006A606A" w:rsidRPr="007A0026">
        <w:rPr>
          <w:rFonts w:asciiTheme="majorHAnsi" w:hAnsiTheme="majorHAnsi"/>
          <w:sz w:val="20"/>
          <w:szCs w:val="20"/>
        </w:rPr>
        <w:t xml:space="preserve">pple, a clinical psychologist, </w:t>
      </w:r>
      <w:r w:rsidRPr="007A0026">
        <w:rPr>
          <w:rFonts w:asciiTheme="majorHAnsi" w:hAnsiTheme="majorHAnsi"/>
          <w:sz w:val="20"/>
          <w:szCs w:val="20"/>
        </w:rPr>
        <w:t>who gave him a battery of tests.</w:t>
      </w:r>
      <w:r w:rsidR="006A606A" w:rsidRPr="007A0026">
        <w:rPr>
          <w:rFonts w:asciiTheme="majorHAnsi" w:hAnsiTheme="majorHAnsi"/>
          <w:sz w:val="20"/>
          <w:szCs w:val="20"/>
        </w:rPr>
        <w:t xml:space="preserve"> He</w:t>
      </w:r>
      <w:r w:rsidRPr="007A0026">
        <w:rPr>
          <w:rFonts w:asciiTheme="majorHAnsi" w:hAnsiTheme="majorHAnsi"/>
          <w:sz w:val="20"/>
          <w:szCs w:val="20"/>
        </w:rPr>
        <w:t xml:space="preserve"> acknowledged that the team at MTMHI found no evidence of organicity, but added that </w:t>
      </w:r>
      <w:r w:rsidR="006A606A" w:rsidRPr="007A0026">
        <w:rPr>
          <w:rFonts w:asciiTheme="majorHAnsi" w:hAnsiTheme="majorHAnsi"/>
          <w:sz w:val="20"/>
          <w:szCs w:val="20"/>
        </w:rPr>
        <w:t>they</w:t>
      </w:r>
      <w:r w:rsidRPr="007A0026">
        <w:rPr>
          <w:rFonts w:asciiTheme="majorHAnsi" w:hAnsiTheme="majorHAnsi"/>
          <w:sz w:val="20"/>
          <w:szCs w:val="20"/>
        </w:rPr>
        <w:t xml:space="preserve"> wanted a psychiatrist of </w:t>
      </w:r>
      <w:r w:rsidR="006A606A" w:rsidRPr="007A0026">
        <w:rPr>
          <w:rFonts w:asciiTheme="majorHAnsi" w:hAnsiTheme="majorHAnsi"/>
          <w:sz w:val="20"/>
          <w:szCs w:val="20"/>
        </w:rPr>
        <w:t>their</w:t>
      </w:r>
      <w:r w:rsidRPr="007A0026">
        <w:rPr>
          <w:rFonts w:asciiTheme="majorHAnsi" w:hAnsiTheme="majorHAnsi"/>
          <w:sz w:val="20"/>
          <w:szCs w:val="20"/>
        </w:rPr>
        <w:t xml:space="preserve"> own</w:t>
      </w:r>
      <w:r w:rsidR="006A606A" w:rsidRPr="007A0026">
        <w:rPr>
          <w:rFonts w:asciiTheme="majorHAnsi" w:hAnsiTheme="majorHAnsi"/>
          <w:sz w:val="20"/>
          <w:szCs w:val="20"/>
        </w:rPr>
        <w:t xml:space="preserve"> but were not successful in trying to hire a psychiatrist</w:t>
      </w:r>
      <w:r w:rsidRPr="007A0026">
        <w:rPr>
          <w:rFonts w:asciiTheme="majorHAnsi" w:hAnsiTheme="majorHAnsi"/>
          <w:sz w:val="20"/>
          <w:szCs w:val="20"/>
        </w:rPr>
        <w:t xml:space="preserve">. </w:t>
      </w:r>
      <w:r w:rsidR="006A606A" w:rsidRPr="007A0026">
        <w:rPr>
          <w:rFonts w:asciiTheme="majorHAnsi" w:hAnsiTheme="majorHAnsi"/>
          <w:sz w:val="20"/>
          <w:szCs w:val="20"/>
        </w:rPr>
        <w:t>Co-counsel Richardson stated: “[w]</w:t>
      </w:r>
      <w:r w:rsidRPr="007A0026">
        <w:rPr>
          <w:rFonts w:asciiTheme="majorHAnsi" w:hAnsiTheme="majorHAnsi"/>
          <w:sz w:val="20"/>
          <w:szCs w:val="20"/>
        </w:rPr>
        <w:t>e went with one strategy and probably if we had to do it over again, would go with the other strategy because that one didn't work.</w:t>
      </w:r>
      <w:r w:rsidR="006A606A" w:rsidRPr="007A0026">
        <w:rPr>
          <w:rFonts w:asciiTheme="majorHAnsi" w:hAnsiTheme="majorHAnsi"/>
          <w:sz w:val="20"/>
          <w:szCs w:val="20"/>
        </w:rPr>
        <w:t xml:space="preserve">” He further stated that they could have probably </w:t>
      </w:r>
      <w:r w:rsidR="0071228B" w:rsidRPr="007A0026">
        <w:rPr>
          <w:rFonts w:asciiTheme="majorHAnsi" w:hAnsiTheme="majorHAnsi"/>
          <w:sz w:val="20"/>
          <w:szCs w:val="20"/>
        </w:rPr>
        <w:t xml:space="preserve">found </w:t>
      </w:r>
      <w:r w:rsidRPr="007A0026">
        <w:rPr>
          <w:rFonts w:asciiTheme="majorHAnsi" w:hAnsiTheme="majorHAnsi"/>
          <w:sz w:val="20"/>
          <w:szCs w:val="20"/>
        </w:rPr>
        <w:t xml:space="preserve">a psychiatrist to say </w:t>
      </w:r>
      <w:r w:rsidR="00CD733C" w:rsidRPr="007A0026">
        <w:rPr>
          <w:rFonts w:asciiTheme="majorHAnsi" w:hAnsiTheme="majorHAnsi"/>
          <w:sz w:val="20"/>
          <w:szCs w:val="20"/>
        </w:rPr>
        <w:t>Mr. Thompson</w:t>
      </w:r>
      <w:r w:rsidRPr="007A0026">
        <w:rPr>
          <w:rFonts w:asciiTheme="majorHAnsi" w:hAnsiTheme="majorHAnsi"/>
          <w:sz w:val="20"/>
          <w:szCs w:val="20"/>
        </w:rPr>
        <w:t xml:space="preserve"> had brain damage. </w:t>
      </w:r>
    </w:p>
    <w:p w14:paraId="2BAE44EE" w14:textId="77777777" w:rsidR="005572AF" w:rsidRPr="007A0026" w:rsidRDefault="005572AF"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7972E1C" w14:textId="77777777" w:rsidR="00CB4BF7"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Dr. Gillian Blair</w:t>
      </w:r>
      <w:r w:rsidR="005572AF" w:rsidRPr="007A0026">
        <w:rPr>
          <w:rFonts w:asciiTheme="majorHAnsi" w:hAnsiTheme="majorHAnsi"/>
          <w:sz w:val="20"/>
          <w:szCs w:val="20"/>
        </w:rPr>
        <w:t xml:space="preserve"> </w:t>
      </w:r>
      <w:r w:rsidRPr="007A0026">
        <w:rPr>
          <w:rFonts w:asciiTheme="majorHAnsi" w:hAnsiTheme="majorHAnsi"/>
          <w:sz w:val="20"/>
          <w:szCs w:val="20"/>
        </w:rPr>
        <w:t xml:space="preserve">testified that, based on the review of </w:t>
      </w:r>
      <w:r w:rsidR="00CB4BF7" w:rsidRPr="007A0026">
        <w:rPr>
          <w:rFonts w:asciiTheme="majorHAnsi" w:hAnsiTheme="majorHAnsi"/>
          <w:sz w:val="20"/>
          <w:szCs w:val="20"/>
        </w:rPr>
        <w:t xml:space="preserve">Mr. </w:t>
      </w:r>
      <w:r w:rsidRPr="007A0026">
        <w:rPr>
          <w:rFonts w:asciiTheme="majorHAnsi" w:hAnsiTheme="majorHAnsi"/>
          <w:sz w:val="20"/>
          <w:szCs w:val="20"/>
        </w:rPr>
        <w:t>Thompson's medical record, she formed the following opinion:</w:t>
      </w:r>
      <w:r w:rsidR="006F30E9" w:rsidRPr="007A0026">
        <w:rPr>
          <w:rStyle w:val="FootnoteReference"/>
          <w:rFonts w:asciiTheme="majorHAnsi" w:hAnsiTheme="majorHAnsi"/>
          <w:sz w:val="20"/>
          <w:szCs w:val="20"/>
        </w:rPr>
        <w:footnoteReference w:id="15"/>
      </w:r>
    </w:p>
    <w:p w14:paraId="5DD0C53B" w14:textId="77777777" w:rsidR="00CB4BF7" w:rsidRPr="007A0026" w:rsidRDefault="00CB4BF7" w:rsidP="00CB4BF7">
      <w:pPr>
        <w:pStyle w:val="ListParagraph"/>
        <w:rPr>
          <w:rFonts w:asciiTheme="majorHAnsi" w:hAnsiTheme="majorHAnsi"/>
          <w:sz w:val="20"/>
          <w:szCs w:val="20"/>
        </w:rPr>
      </w:pPr>
    </w:p>
    <w:p w14:paraId="2D2B5934" w14:textId="77777777" w:rsidR="005572AF" w:rsidRPr="007A0026" w:rsidRDefault="00CB4BF7" w:rsidP="00CB4B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 xml:space="preserve">[…] </w:t>
      </w:r>
      <w:r w:rsidR="00E04BFD" w:rsidRPr="007A0026">
        <w:rPr>
          <w:rFonts w:asciiTheme="majorHAnsi" w:hAnsiTheme="majorHAnsi"/>
          <w:sz w:val="18"/>
          <w:szCs w:val="18"/>
        </w:rPr>
        <w:t>since 1985, Mr. Thompson had shown a deteriorating mental status. He had become psychotic. He had been treated with anti-psychotic medication at that time. He was treated with Haldol, Cogentin, and Lithium, and three different treating psychiatrists at that time: Dr. Dyner [sic], Dr. Deal, and Dr. Humble had all over the years from 1985 to 1990 had diagnosed him as either having bipolar disorder or a schizo affective disorder or schizophrenia. They described his agitated behavior. They described his hostility. They described his inappropriate affect, his experience of auditory hallucinations, his delusions, his paranoia, his thoughts of persecution. He had attempted suicide on a couple of occasions. He had set fire to his cell burning both his hands and his face. They had certainly — two of those psychiatrists and maybe all three of them had considered the possibility that he was malingering, that he was faking mental illness and throughout their Riverbend records, it was clear that those psychiatrists had discounted the possibility of malingering because they didn't feel that it accounted for all of the psychotic symptoms they saw in him. When asked what other facts would be necessary for her to develop an opinion as to Thompson's condition at the time of the offense, Blair stated that the most important thing that would be necessary would be a full history and full medical records of Mr. Thompson prior to the commission of the offense. She added: From the records I was able to review, it was clear that the social history was very sketchy in terms of his remote history, his childhood and his upbringing, and also family history of mental illness. There seemed to be a</w:t>
      </w:r>
      <w:r w:rsidRPr="007A0026">
        <w:rPr>
          <w:rFonts w:asciiTheme="majorHAnsi" w:hAnsiTheme="majorHAnsi"/>
          <w:sz w:val="18"/>
          <w:szCs w:val="18"/>
        </w:rPr>
        <w:t xml:space="preserve"> </w:t>
      </w:r>
      <w:r w:rsidR="00E04BFD" w:rsidRPr="007A0026">
        <w:rPr>
          <w:rFonts w:asciiTheme="majorHAnsi" w:hAnsiTheme="majorHAnsi"/>
          <w:sz w:val="18"/>
          <w:szCs w:val="18"/>
        </w:rPr>
        <w:t xml:space="preserve">[sic] strong evidence to suggest that there was mental illness in his family, probably in his father who committed suicide and was known to be extremely violent and possibly in his mother but none of those records were available. She therefore stated that she did not have an opinion about Thompson's diagnostic status in 1985. </w:t>
      </w:r>
    </w:p>
    <w:p w14:paraId="7309E186" w14:textId="77777777" w:rsidR="005572AF" w:rsidRPr="007A0026" w:rsidRDefault="005572AF"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D1DD660" w14:textId="77777777" w:rsidR="003F195D"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On </w:t>
      </w:r>
      <w:bookmarkStart w:id="14" w:name="_Hlk26285165"/>
      <w:r w:rsidRPr="007A0026">
        <w:rPr>
          <w:rFonts w:asciiTheme="majorHAnsi" w:hAnsiTheme="majorHAnsi"/>
          <w:sz w:val="20"/>
          <w:szCs w:val="20"/>
        </w:rPr>
        <w:t xml:space="preserve">May 15, 1995, the post-conviction court denied Thompson's claim, including his ineffective assistance of counsel claim and his request for funding to hire an expert. </w:t>
      </w:r>
      <w:bookmarkEnd w:id="14"/>
      <w:r w:rsidRPr="007A0026">
        <w:rPr>
          <w:rFonts w:asciiTheme="majorHAnsi" w:hAnsiTheme="majorHAnsi"/>
          <w:sz w:val="20"/>
          <w:szCs w:val="20"/>
        </w:rPr>
        <w:t>The court found:</w:t>
      </w:r>
      <w:r w:rsidR="006F30E9" w:rsidRPr="007A0026">
        <w:rPr>
          <w:rStyle w:val="FootnoteReference"/>
          <w:rFonts w:asciiTheme="majorHAnsi" w:hAnsiTheme="majorHAnsi"/>
          <w:sz w:val="20"/>
          <w:szCs w:val="20"/>
        </w:rPr>
        <w:footnoteReference w:id="16"/>
      </w:r>
      <w:r w:rsidRPr="007A0026">
        <w:rPr>
          <w:rFonts w:asciiTheme="majorHAnsi" w:hAnsiTheme="majorHAnsi"/>
          <w:sz w:val="20"/>
          <w:szCs w:val="20"/>
        </w:rPr>
        <w:t xml:space="preserve"> </w:t>
      </w:r>
    </w:p>
    <w:p w14:paraId="5CB61516" w14:textId="77777777" w:rsidR="003F195D" w:rsidRPr="007A0026" w:rsidRDefault="00E04BFD" w:rsidP="003F19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 xml:space="preserve">1. Defense counsel made an adequate investigation of their client's background and prior medical history. Present counsel presented no proof of mental problems on the part of Mr. Thompson that would have been a defense to the charge, or that would constitute a shield against execution. </w:t>
      </w:r>
    </w:p>
    <w:p w14:paraId="5053E2A1" w14:textId="77777777" w:rsidR="003F195D" w:rsidRPr="007A0026" w:rsidRDefault="00E04BFD" w:rsidP="003F19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 xml:space="preserve">2. Counsel did not seek expert and investigative assistance regarding alleged head injuries to Mr. Thompson during his youth, or to testify as to his incompetency at the time of his confession, because the facts and circumstances did not indicate the necessity for such action. </w:t>
      </w:r>
    </w:p>
    <w:p w14:paraId="3D2A1B12" w14:textId="77777777" w:rsidR="005572AF" w:rsidRPr="007A0026" w:rsidRDefault="00E04BFD" w:rsidP="003F195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 xml:space="preserve">3. Counsel did not fail to present an adequate defense at trial. The facts simply left them with no effective defense. </w:t>
      </w:r>
    </w:p>
    <w:p w14:paraId="135D608D" w14:textId="77777777" w:rsidR="005572AF" w:rsidRPr="007A0026" w:rsidRDefault="005572AF"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004DC0FE" w14:textId="77777777" w:rsidR="006F30E9" w:rsidRPr="007A0026" w:rsidRDefault="00613477"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Mr. </w:t>
      </w:r>
      <w:r w:rsidR="00E04BFD" w:rsidRPr="007A0026">
        <w:rPr>
          <w:rFonts w:asciiTheme="majorHAnsi" w:hAnsiTheme="majorHAnsi"/>
          <w:sz w:val="20"/>
          <w:szCs w:val="20"/>
        </w:rPr>
        <w:t>Thompson appealed to the Tennessee Criminal Court of Appeals. He alleged that his trial attorneys were ineffective for failing to (1) interview witnesses who could have aided in his defense, especially during the penalty phase, (2) adequately investigate his prior head injuries, and (3) adequately prepare the defense witnesses. The Tennessee Criminal</w:t>
      </w:r>
      <w:r w:rsidR="006F30E9" w:rsidRPr="007A0026">
        <w:rPr>
          <w:rFonts w:asciiTheme="majorHAnsi" w:hAnsiTheme="majorHAnsi"/>
          <w:sz w:val="20"/>
          <w:szCs w:val="20"/>
        </w:rPr>
        <w:t xml:space="preserve"> Court of Appeals affirmed.</w:t>
      </w:r>
      <w:r w:rsidR="006F30E9" w:rsidRPr="007A0026">
        <w:rPr>
          <w:rStyle w:val="FootnoteReference"/>
          <w:rFonts w:asciiTheme="majorHAnsi" w:hAnsiTheme="majorHAnsi"/>
          <w:sz w:val="20"/>
          <w:szCs w:val="20"/>
        </w:rPr>
        <w:footnoteReference w:id="17"/>
      </w:r>
    </w:p>
    <w:p w14:paraId="41F1737D" w14:textId="77777777" w:rsidR="006F30E9" w:rsidRPr="007A0026" w:rsidRDefault="006F30E9" w:rsidP="006F30E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6E86A7C" w14:textId="77777777" w:rsidR="00613477" w:rsidRPr="007A0026" w:rsidRDefault="005572AF"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lastRenderedPageBreak/>
        <w:t>The court</w:t>
      </w:r>
      <w:r w:rsidR="00E04BFD" w:rsidRPr="007A0026">
        <w:rPr>
          <w:rFonts w:asciiTheme="majorHAnsi" w:hAnsiTheme="majorHAnsi"/>
          <w:sz w:val="20"/>
          <w:szCs w:val="20"/>
        </w:rPr>
        <w:t xml:space="preserve"> concluded that </w:t>
      </w:r>
      <w:r w:rsidR="00613477" w:rsidRPr="007A0026">
        <w:rPr>
          <w:rFonts w:asciiTheme="majorHAnsi" w:hAnsiTheme="majorHAnsi"/>
          <w:sz w:val="20"/>
          <w:szCs w:val="20"/>
        </w:rPr>
        <w:t xml:space="preserve">Mr. </w:t>
      </w:r>
      <w:r w:rsidR="00E04BFD" w:rsidRPr="007A0026">
        <w:rPr>
          <w:rFonts w:asciiTheme="majorHAnsi" w:hAnsiTheme="majorHAnsi"/>
          <w:sz w:val="20"/>
          <w:szCs w:val="20"/>
        </w:rPr>
        <w:t xml:space="preserve">Thompson failed to demonstrate any psychological impairment that may have existed which would have constituted mitigating evidence or that </w:t>
      </w:r>
      <w:r w:rsidR="00613477" w:rsidRPr="007A0026">
        <w:rPr>
          <w:rFonts w:asciiTheme="majorHAnsi" w:hAnsiTheme="majorHAnsi"/>
          <w:sz w:val="20"/>
          <w:szCs w:val="20"/>
        </w:rPr>
        <w:t>his</w:t>
      </w:r>
      <w:r w:rsidR="00E04BFD" w:rsidRPr="007A0026">
        <w:rPr>
          <w:rFonts w:asciiTheme="majorHAnsi" w:hAnsiTheme="majorHAnsi"/>
          <w:sz w:val="20"/>
          <w:szCs w:val="20"/>
        </w:rPr>
        <w:t xml:space="preserve"> alleged head injuries had any effect upon his mental stability at the time of the murder. As for </w:t>
      </w:r>
      <w:r w:rsidR="00613477" w:rsidRPr="007A0026">
        <w:rPr>
          <w:rFonts w:asciiTheme="majorHAnsi" w:hAnsiTheme="majorHAnsi"/>
          <w:sz w:val="20"/>
          <w:szCs w:val="20"/>
        </w:rPr>
        <w:t xml:space="preserve">Mr. </w:t>
      </w:r>
      <w:r w:rsidR="00E04BFD" w:rsidRPr="007A0026">
        <w:rPr>
          <w:rFonts w:asciiTheme="majorHAnsi" w:hAnsiTheme="majorHAnsi"/>
          <w:sz w:val="20"/>
          <w:szCs w:val="20"/>
        </w:rPr>
        <w:t xml:space="preserve">Thompson's claim that trial counsel were ineffective for failing to interview witnesses to show that his head injuries might have contributed to his commission of the crime, including among others, his step-father, attorney in the military, and the mother of his co-defendant, the court found that </w:t>
      </w:r>
      <w:r w:rsidR="00613477" w:rsidRPr="007A0026">
        <w:rPr>
          <w:rFonts w:asciiTheme="majorHAnsi" w:hAnsiTheme="majorHAnsi"/>
          <w:sz w:val="20"/>
          <w:szCs w:val="20"/>
        </w:rPr>
        <w:t>he</w:t>
      </w:r>
      <w:r w:rsidR="00E04BFD" w:rsidRPr="007A0026">
        <w:rPr>
          <w:rFonts w:asciiTheme="majorHAnsi" w:hAnsiTheme="majorHAnsi"/>
          <w:sz w:val="20"/>
          <w:szCs w:val="20"/>
        </w:rPr>
        <w:t xml:space="preserve"> was unable to show prejudice because none of the witnesses testified at the post-conviction hearing. Regarding the failure to investigate alleged head injuries, the Tennessee Court of Criminal Appeals held:</w:t>
      </w:r>
      <w:r w:rsidR="005850D4" w:rsidRPr="007A0026">
        <w:rPr>
          <w:rStyle w:val="FootnoteReference"/>
          <w:rFonts w:asciiTheme="majorHAnsi" w:hAnsiTheme="majorHAnsi"/>
          <w:sz w:val="20"/>
          <w:szCs w:val="20"/>
        </w:rPr>
        <w:footnoteReference w:id="18"/>
      </w:r>
      <w:r w:rsidR="00E04BFD" w:rsidRPr="007A0026">
        <w:rPr>
          <w:rFonts w:asciiTheme="majorHAnsi" w:hAnsiTheme="majorHAnsi"/>
          <w:sz w:val="20"/>
          <w:szCs w:val="20"/>
        </w:rPr>
        <w:t xml:space="preserve"> </w:t>
      </w:r>
    </w:p>
    <w:p w14:paraId="7D4A0ABC" w14:textId="77777777" w:rsidR="00613477" w:rsidRPr="007A0026" w:rsidRDefault="00613477" w:rsidP="00613477">
      <w:pPr>
        <w:pStyle w:val="ListParagraph"/>
        <w:rPr>
          <w:rFonts w:asciiTheme="majorHAnsi" w:hAnsiTheme="majorHAnsi"/>
          <w:sz w:val="20"/>
          <w:szCs w:val="20"/>
        </w:rPr>
      </w:pPr>
    </w:p>
    <w:p w14:paraId="1C8AB986" w14:textId="77777777" w:rsidR="00256112" w:rsidRPr="007A0026" w:rsidRDefault="00E04BFD" w:rsidP="0061347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Having determined there is a duty to investigate whether any psychological impairments might qualify as mitigating evidence, we nonetheless conclude that the petitioner has failed to demonstrate any prejudice from the failure of trial counsel to further investigate the head injuries. The petitioner has failed to establish that the head injuries had any effect upon his mental stability at the time of the murder. Further, he has failed to establish that any type of psychological impairment in general may have existed which would have been mitigating evidence. Because Dr. Blair declined to give an opinion on these important issues, the evidence does not preponderate against the trial court's finding that the defense attorneys were not ineffective. The decision not to further pursue the head injuries in the penalty phase of the trial also qualified as a reasonable strategy. Trial counsel's decision to emphasize the petitioner's positive qualities rather than to suggest brain damage, while unsuccessful, was based upon adequate investigation. [T]he fact that a particular strategy or tactic failed or even hurt the defense does not, alone, support a claim of ineffective assistance. Deference must be given to an informed trial strategy</w:t>
      </w:r>
      <w:r w:rsidR="005850D4" w:rsidRPr="007A0026">
        <w:rPr>
          <w:rFonts w:asciiTheme="majorHAnsi" w:hAnsiTheme="majorHAnsi"/>
          <w:sz w:val="18"/>
          <w:szCs w:val="18"/>
        </w:rPr>
        <w:t xml:space="preserve"> […]</w:t>
      </w:r>
      <w:r w:rsidRPr="007A0026">
        <w:rPr>
          <w:rFonts w:asciiTheme="majorHAnsi" w:hAnsiTheme="majorHAnsi"/>
          <w:sz w:val="18"/>
          <w:szCs w:val="18"/>
        </w:rPr>
        <w:t xml:space="preserve"> Because two experts did not detect brain damage, counsel cannot be faulted for discarding a strategy that could not be supported by a medical opinion. </w:t>
      </w:r>
    </w:p>
    <w:p w14:paraId="10FBFA76" w14:textId="77777777" w:rsidR="00256112" w:rsidRPr="007A0026" w:rsidRDefault="00256112"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DC43DDC" w14:textId="77777777" w:rsidR="005850D4"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The Tennessee Court of Criminal Appeals further rejected </w:t>
      </w:r>
      <w:r w:rsidR="005850D4" w:rsidRPr="007A0026">
        <w:rPr>
          <w:rFonts w:asciiTheme="majorHAnsi" w:hAnsiTheme="majorHAnsi"/>
          <w:sz w:val="20"/>
          <w:szCs w:val="20"/>
        </w:rPr>
        <w:t xml:space="preserve">Mr. </w:t>
      </w:r>
      <w:r w:rsidRPr="007A0026">
        <w:rPr>
          <w:rFonts w:asciiTheme="majorHAnsi" w:hAnsiTheme="majorHAnsi"/>
          <w:sz w:val="20"/>
          <w:szCs w:val="20"/>
        </w:rPr>
        <w:t xml:space="preserve">Thompson's claim that trial counsel did not properly prepare defense witnesses to testify, particularly, Arlene Cajulao, thereby permitting the state to inquire about his negative military history. The court found: </w:t>
      </w:r>
    </w:p>
    <w:p w14:paraId="5C85F537" w14:textId="77777777" w:rsidR="005850D4" w:rsidRPr="007A0026" w:rsidRDefault="005850D4" w:rsidP="005850D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1A1D2616" w14:textId="77777777" w:rsidR="00256112" w:rsidRPr="007A0026" w:rsidRDefault="00E04BFD" w:rsidP="005850D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At the post-conviction hearing, Attorney Parsons recalled wishing that he had more time to meet with the witness. He testified that his strategy at trial was to humanize the petitioner by calling sympathetic witnesses. He was aware of the state's opportunity to rebut any positive testimony about the petitioner and conceded that his only other option would have been to present no mitigating evidence at all. Attorney Richardson testified that [t]here were certain witnesses that we had to face a problem of them bringing up the problems that he had in the Navy. He realized that the cross-examination of Ms. Cajulao might be risky but didn't realize we would have it to the extent that it ended up we had</w:t>
      </w:r>
      <w:r w:rsidR="00E664E5" w:rsidRPr="007A0026">
        <w:rPr>
          <w:rFonts w:asciiTheme="majorHAnsi" w:hAnsiTheme="majorHAnsi"/>
          <w:sz w:val="18"/>
          <w:szCs w:val="18"/>
        </w:rPr>
        <w:t xml:space="preserve"> [</w:t>
      </w:r>
      <w:r w:rsidRPr="007A0026">
        <w:rPr>
          <w:rFonts w:asciiTheme="majorHAnsi" w:hAnsiTheme="majorHAnsi"/>
          <w:sz w:val="18"/>
          <w:szCs w:val="18"/>
        </w:rPr>
        <w:t>...</w:t>
      </w:r>
      <w:r w:rsidR="00E664E5" w:rsidRPr="007A0026">
        <w:rPr>
          <w:rFonts w:asciiTheme="majorHAnsi" w:hAnsiTheme="majorHAnsi"/>
          <w:sz w:val="18"/>
          <w:szCs w:val="18"/>
        </w:rPr>
        <w:t>]</w:t>
      </w:r>
      <w:r w:rsidRPr="007A0026">
        <w:rPr>
          <w:rFonts w:asciiTheme="majorHAnsi" w:hAnsiTheme="majorHAnsi"/>
          <w:sz w:val="18"/>
          <w:szCs w:val="18"/>
        </w:rPr>
        <w:t xml:space="preserve"> In our view, defense counsel's awareness of the possible dangers inherent in the cross-examination and their decision to present her positive testimony anyway was a classic tactical decision. Because the strategy was based upon adequate preparation, this court must not second guess</w:t>
      </w:r>
      <w:r w:rsidR="00E664E5" w:rsidRPr="007A0026">
        <w:rPr>
          <w:rFonts w:asciiTheme="majorHAnsi" w:hAnsiTheme="majorHAnsi"/>
          <w:sz w:val="18"/>
          <w:szCs w:val="18"/>
        </w:rPr>
        <w:t xml:space="preserve"> [...]</w:t>
      </w:r>
      <w:r w:rsidRPr="007A0026">
        <w:rPr>
          <w:rFonts w:asciiTheme="majorHAnsi" w:hAnsiTheme="majorHAnsi"/>
          <w:sz w:val="18"/>
          <w:szCs w:val="18"/>
        </w:rPr>
        <w:t xml:space="preserve"> Moreover, there is nothing in the record to suggest that additional preparation time with the witness could have prevented the state from effectively cross-examining her. If Ms. Cajulao were to testify at all to the petitioner's prior military background, the state would be entitled to rebut that testimony. In summary, we cannot hold that the evidence preponderated against the finding of the trial court that trial counsel had performed effectively. </w:t>
      </w:r>
    </w:p>
    <w:p w14:paraId="6B4ACB11" w14:textId="77777777" w:rsidR="00256112" w:rsidRPr="007A0026" w:rsidRDefault="00256112"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2F5D4A68" w14:textId="77777777" w:rsidR="0076634A" w:rsidRPr="007A0026"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7A0026">
        <w:rPr>
          <w:rFonts w:asciiTheme="majorHAnsi" w:hAnsiTheme="majorHAnsi"/>
          <w:sz w:val="20"/>
          <w:szCs w:val="20"/>
        </w:rPr>
        <w:t xml:space="preserve">Lastly, the Tennessee Court of Criminal Appeals rejected </w:t>
      </w:r>
      <w:r w:rsidR="00E664E5" w:rsidRPr="007A0026">
        <w:rPr>
          <w:rFonts w:asciiTheme="majorHAnsi" w:hAnsiTheme="majorHAnsi"/>
          <w:sz w:val="20"/>
          <w:szCs w:val="20"/>
        </w:rPr>
        <w:t xml:space="preserve">Mr. </w:t>
      </w:r>
      <w:r w:rsidRPr="007A0026">
        <w:rPr>
          <w:rFonts w:asciiTheme="majorHAnsi" w:hAnsiTheme="majorHAnsi"/>
          <w:sz w:val="20"/>
          <w:szCs w:val="20"/>
        </w:rPr>
        <w:t xml:space="preserve">Thompson's ineffective assistance of counsel based on the claim that trial counsel opened the door to damaging evidence at the penalty phase. </w:t>
      </w:r>
      <w:r w:rsidR="00E664E5" w:rsidRPr="007A0026">
        <w:rPr>
          <w:rFonts w:asciiTheme="majorHAnsi" w:hAnsiTheme="majorHAnsi"/>
          <w:sz w:val="20"/>
          <w:szCs w:val="20"/>
        </w:rPr>
        <w:t xml:space="preserve">Mr. </w:t>
      </w:r>
      <w:r w:rsidRPr="007A0026">
        <w:rPr>
          <w:rFonts w:asciiTheme="majorHAnsi" w:hAnsiTheme="majorHAnsi"/>
          <w:sz w:val="20"/>
          <w:szCs w:val="20"/>
        </w:rPr>
        <w:t xml:space="preserve">Thompson had complained that the state was allowed to present damaging evidence in rebuttal through Dr. Watson because trial counsel asked </w:t>
      </w:r>
      <w:r w:rsidR="0076634A" w:rsidRPr="007A0026">
        <w:rPr>
          <w:rFonts w:asciiTheme="majorHAnsi" w:hAnsiTheme="majorHAnsi"/>
          <w:sz w:val="20"/>
          <w:szCs w:val="20"/>
        </w:rPr>
        <w:t xml:space="preserve">Dr. </w:t>
      </w:r>
      <w:r w:rsidRPr="007A0026">
        <w:rPr>
          <w:rFonts w:asciiTheme="majorHAnsi" w:hAnsiTheme="majorHAnsi"/>
          <w:sz w:val="20"/>
          <w:szCs w:val="20"/>
        </w:rPr>
        <w:t>Copple about his good qualities. The Tennessee Court of Appeals reasoned:</w:t>
      </w:r>
      <w:r w:rsidR="0076634A" w:rsidRPr="007A0026">
        <w:rPr>
          <w:rStyle w:val="FootnoteReference"/>
          <w:rFonts w:asciiTheme="majorHAnsi" w:hAnsiTheme="majorHAnsi"/>
          <w:sz w:val="20"/>
          <w:szCs w:val="20"/>
        </w:rPr>
        <w:footnoteReference w:id="19"/>
      </w:r>
      <w:r w:rsidRPr="007A0026">
        <w:rPr>
          <w:rFonts w:asciiTheme="majorHAnsi" w:hAnsiTheme="majorHAnsi"/>
          <w:sz w:val="20"/>
          <w:szCs w:val="20"/>
        </w:rPr>
        <w:t xml:space="preserve"> </w:t>
      </w:r>
    </w:p>
    <w:p w14:paraId="28FC3BBE" w14:textId="77777777" w:rsidR="0076634A" w:rsidRPr="007A0026" w:rsidRDefault="0076634A" w:rsidP="007663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F8CB832" w14:textId="77777777" w:rsidR="00256112" w:rsidRPr="007A0026" w:rsidRDefault="00E04BFD" w:rsidP="0076634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7A0026">
        <w:rPr>
          <w:rFonts w:asciiTheme="majorHAnsi" w:hAnsiTheme="majorHAnsi"/>
          <w:sz w:val="18"/>
          <w:szCs w:val="18"/>
        </w:rPr>
        <w:t xml:space="preserve">Attorney Richardson admitted, I frankly did not know that ... the [s]tate could use information given by the defendant to a psychiatrist. Attorney Parsons testified that their strategy was to emphasize positive attributes of the petitioner and show the jury that he could lead a productive life in prison. Dr. Copple's testimony played a key role in this strategy. Although both trial attorneys apparently were surprised by the fact that the state could use the information acquired by MTMHI, Attorney Parsons did acknowledge that he knew that positive testimony by Dr. Copple would open the door for the state to present negative information. Again, the petitioner has failed to establish any prejudice by whatever deficiency there may have been in the performance of counsel. The evidence does not preponderate against the finding that the sentence would have been different if the attorneys had known the information collected by MTMHI would have been admissible. In our view, trial counsel had little choice other than to call Dr. Copple in an effort to establish adequate mitigating circumstances. Even if there had been proof </w:t>
      </w:r>
      <w:r w:rsidRPr="007A0026">
        <w:rPr>
          <w:rFonts w:asciiTheme="majorHAnsi" w:hAnsiTheme="majorHAnsi"/>
          <w:sz w:val="18"/>
          <w:szCs w:val="18"/>
        </w:rPr>
        <w:lastRenderedPageBreak/>
        <w:t xml:space="preserve">that trial counsel should have pursued a different strategy, there has been no indication that another strategy would have been more effective. Because the jury found three aggravators, we cannot conclude that the outcome would have been any different if the jury had not heard the evidence concerning the testing by MTMHI. If any witness testified to the petitioner's good character, the state would have been entitled to rebuttal. The only other option would have been to present no proof at all. As Attorney Richardson noted, the petitioner had a relatively productive background; the failure to present some evidence of his prior good behavior might have qualified as ineffective assistance. </w:t>
      </w:r>
    </w:p>
    <w:p w14:paraId="04833DA5" w14:textId="77777777" w:rsidR="00DA6F4C" w:rsidRPr="007A0026" w:rsidRDefault="00DA6F4C" w:rsidP="00DA6F4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39E09093" w14:textId="77777777" w:rsidR="00E04BFD" w:rsidRPr="00E3227C" w:rsidRDefault="00E04BFD" w:rsidP="00DA6F4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3227C">
        <w:rPr>
          <w:rFonts w:asciiTheme="majorHAnsi" w:hAnsiTheme="majorHAnsi"/>
          <w:sz w:val="20"/>
          <w:szCs w:val="20"/>
        </w:rPr>
        <w:t xml:space="preserve">The Tennessee Supreme Court denied </w:t>
      </w:r>
      <w:r w:rsidR="0076634A" w:rsidRPr="00E3227C">
        <w:rPr>
          <w:rFonts w:asciiTheme="majorHAnsi" w:hAnsiTheme="majorHAnsi"/>
          <w:sz w:val="20"/>
          <w:szCs w:val="20"/>
        </w:rPr>
        <w:t xml:space="preserve">Mr. </w:t>
      </w:r>
      <w:r w:rsidRPr="00E3227C">
        <w:rPr>
          <w:rFonts w:asciiTheme="majorHAnsi" w:hAnsiTheme="majorHAnsi"/>
          <w:sz w:val="20"/>
          <w:szCs w:val="20"/>
        </w:rPr>
        <w:t>Thompson's application for permission to appeal on October 20, 1997.</w:t>
      </w:r>
      <w:r w:rsidR="0076634A" w:rsidRPr="00E3227C">
        <w:rPr>
          <w:rStyle w:val="FootnoteReference"/>
          <w:rFonts w:asciiTheme="majorHAnsi" w:hAnsiTheme="majorHAnsi"/>
          <w:sz w:val="20"/>
          <w:szCs w:val="20"/>
        </w:rPr>
        <w:footnoteReference w:id="20"/>
      </w:r>
    </w:p>
    <w:p w14:paraId="771722A1" w14:textId="77777777" w:rsidR="00563224" w:rsidRPr="00E3227C" w:rsidRDefault="00563224" w:rsidP="00563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D98626A" w14:textId="77777777" w:rsidR="00E108D7" w:rsidRPr="00E3227C" w:rsidRDefault="00E108D7" w:rsidP="00E3227C">
      <w:pPr>
        <w:pStyle w:val="Heading2"/>
        <w:numPr>
          <w:ilvl w:val="0"/>
          <w:numId w:val="66"/>
        </w:numPr>
        <w:tabs>
          <w:tab w:val="left" w:pos="360"/>
        </w:tabs>
        <w:spacing w:before="0"/>
        <w:ind w:left="360"/>
        <w:jc w:val="both"/>
        <w:rPr>
          <w:color w:val="auto"/>
          <w:sz w:val="20"/>
          <w:szCs w:val="20"/>
        </w:rPr>
      </w:pPr>
      <w:bookmarkStart w:id="15" w:name="_Toc90300517"/>
      <w:r w:rsidRPr="00E3227C">
        <w:rPr>
          <w:color w:val="auto"/>
          <w:sz w:val="20"/>
          <w:szCs w:val="20"/>
        </w:rPr>
        <w:t xml:space="preserve">Federal habeas corpus </w:t>
      </w:r>
      <w:r w:rsidR="00E3227C" w:rsidRPr="00E3227C">
        <w:rPr>
          <w:color w:val="auto"/>
          <w:sz w:val="20"/>
          <w:szCs w:val="20"/>
        </w:rPr>
        <w:t xml:space="preserve">and </w:t>
      </w:r>
      <w:r w:rsidR="0010059B">
        <w:rPr>
          <w:color w:val="auto"/>
          <w:sz w:val="20"/>
          <w:szCs w:val="20"/>
        </w:rPr>
        <w:t>i</w:t>
      </w:r>
      <w:r w:rsidR="00E3227C" w:rsidRPr="00E3227C">
        <w:rPr>
          <w:color w:val="auto"/>
          <w:sz w:val="20"/>
          <w:szCs w:val="20"/>
        </w:rPr>
        <w:t>ncompetency petition</w:t>
      </w:r>
      <w:r w:rsidR="00E3227C">
        <w:rPr>
          <w:color w:val="auto"/>
          <w:sz w:val="20"/>
          <w:szCs w:val="20"/>
        </w:rPr>
        <w:t>s</w:t>
      </w:r>
      <w:bookmarkEnd w:id="15"/>
    </w:p>
    <w:p w14:paraId="6A0453F2" w14:textId="77777777" w:rsidR="00E108D7" w:rsidRPr="00A4642C" w:rsidRDefault="00E108D7" w:rsidP="00563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3156A24" w14:textId="77777777" w:rsidR="00E45DFC" w:rsidRDefault="000973D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A4642C">
        <w:rPr>
          <w:rFonts w:asciiTheme="majorHAnsi" w:hAnsiTheme="majorHAnsi"/>
          <w:sz w:val="20"/>
          <w:szCs w:val="20"/>
        </w:rPr>
        <w:t>In 1998, a petition for a writ of habeas corpus was filed</w:t>
      </w:r>
      <w:r w:rsidR="009D42B5" w:rsidRPr="00A4642C">
        <w:rPr>
          <w:rFonts w:asciiTheme="majorHAnsi" w:hAnsiTheme="majorHAnsi"/>
          <w:sz w:val="20"/>
          <w:szCs w:val="20"/>
        </w:rPr>
        <w:t>;</w:t>
      </w:r>
      <w:r w:rsidRPr="00A4642C">
        <w:rPr>
          <w:rFonts w:asciiTheme="majorHAnsi" w:hAnsiTheme="majorHAnsi"/>
          <w:sz w:val="20"/>
          <w:szCs w:val="20"/>
        </w:rPr>
        <w:t xml:space="preserve"> the District Court </w:t>
      </w:r>
      <w:r w:rsidR="009D42B5" w:rsidRPr="00A4642C">
        <w:rPr>
          <w:rFonts w:asciiTheme="majorHAnsi" w:hAnsiTheme="majorHAnsi"/>
          <w:sz w:val="20"/>
          <w:szCs w:val="20"/>
        </w:rPr>
        <w:t xml:space="preserve">granted summary judgment to the State and dismissed the petition </w:t>
      </w:r>
      <w:r w:rsidRPr="00A4642C">
        <w:rPr>
          <w:rFonts w:asciiTheme="majorHAnsi" w:hAnsiTheme="majorHAnsi"/>
          <w:sz w:val="20"/>
          <w:szCs w:val="20"/>
        </w:rPr>
        <w:t>on February 17, 2000.</w:t>
      </w:r>
      <w:r w:rsidR="0010059B" w:rsidRPr="00A4642C">
        <w:rPr>
          <w:rStyle w:val="FootnoteReference"/>
          <w:rFonts w:asciiTheme="majorHAnsi" w:hAnsiTheme="majorHAnsi"/>
          <w:sz w:val="20"/>
          <w:szCs w:val="20"/>
        </w:rPr>
        <w:footnoteReference w:id="21"/>
      </w:r>
      <w:r w:rsidRPr="00A4642C">
        <w:rPr>
          <w:rFonts w:asciiTheme="majorHAnsi" w:hAnsiTheme="majorHAnsi"/>
          <w:sz w:val="20"/>
          <w:szCs w:val="20"/>
        </w:rPr>
        <w:t xml:space="preserve"> The </w:t>
      </w:r>
      <w:r w:rsidR="00E45DFC" w:rsidRPr="00A4642C">
        <w:rPr>
          <w:rFonts w:asciiTheme="majorHAnsi" w:hAnsiTheme="majorHAnsi"/>
          <w:sz w:val="20"/>
          <w:szCs w:val="20"/>
        </w:rPr>
        <w:t xml:space="preserve">Sixth Circuit </w:t>
      </w:r>
      <w:r w:rsidR="003905B4" w:rsidRPr="00A4642C">
        <w:rPr>
          <w:rFonts w:asciiTheme="majorHAnsi" w:hAnsiTheme="majorHAnsi"/>
          <w:sz w:val="20"/>
          <w:szCs w:val="20"/>
        </w:rPr>
        <w:t xml:space="preserve">United States </w:t>
      </w:r>
      <w:r w:rsidRPr="00A4642C">
        <w:rPr>
          <w:rFonts w:asciiTheme="majorHAnsi" w:hAnsiTheme="majorHAnsi"/>
          <w:sz w:val="20"/>
          <w:szCs w:val="20"/>
        </w:rPr>
        <w:t>Court of Appeal</w:t>
      </w:r>
      <w:r w:rsidR="00E45DFC" w:rsidRPr="00A4642C">
        <w:rPr>
          <w:rFonts w:asciiTheme="majorHAnsi" w:hAnsiTheme="majorHAnsi"/>
          <w:sz w:val="20"/>
          <w:szCs w:val="20"/>
        </w:rPr>
        <w:t>, in a split decision producing three different opinions,</w:t>
      </w:r>
      <w:r w:rsidRPr="00A4642C">
        <w:rPr>
          <w:rFonts w:asciiTheme="majorHAnsi" w:hAnsiTheme="majorHAnsi"/>
          <w:sz w:val="20"/>
          <w:szCs w:val="20"/>
        </w:rPr>
        <w:t xml:space="preserve"> affirmed the dismissal of </w:t>
      </w:r>
      <w:r w:rsidR="009E6ACE" w:rsidRPr="00A4642C">
        <w:rPr>
          <w:rFonts w:asciiTheme="majorHAnsi" w:hAnsiTheme="majorHAnsi"/>
          <w:sz w:val="20"/>
          <w:szCs w:val="20"/>
        </w:rPr>
        <w:t xml:space="preserve">Mr. </w:t>
      </w:r>
      <w:r w:rsidRPr="00A4642C">
        <w:rPr>
          <w:rFonts w:asciiTheme="majorHAnsi" w:hAnsiTheme="majorHAnsi"/>
          <w:sz w:val="20"/>
          <w:szCs w:val="20"/>
        </w:rPr>
        <w:t xml:space="preserve">Thompson’s petition on January 9, 2003. The </w:t>
      </w:r>
      <w:r w:rsidR="00822C9F" w:rsidRPr="00A4642C">
        <w:rPr>
          <w:rFonts w:asciiTheme="majorHAnsi" w:hAnsiTheme="majorHAnsi"/>
          <w:sz w:val="20"/>
          <w:szCs w:val="20"/>
        </w:rPr>
        <w:t xml:space="preserve">United States </w:t>
      </w:r>
      <w:r w:rsidRPr="00A4642C">
        <w:rPr>
          <w:rFonts w:asciiTheme="majorHAnsi" w:hAnsiTheme="majorHAnsi"/>
          <w:sz w:val="20"/>
          <w:szCs w:val="20"/>
        </w:rPr>
        <w:t xml:space="preserve">Supreme Court denied </w:t>
      </w:r>
      <w:r w:rsidR="009E6ACE" w:rsidRPr="00A4642C">
        <w:rPr>
          <w:rFonts w:asciiTheme="majorHAnsi" w:hAnsiTheme="majorHAnsi"/>
          <w:sz w:val="20"/>
          <w:szCs w:val="20"/>
        </w:rPr>
        <w:t xml:space="preserve">Mr. </w:t>
      </w:r>
      <w:r w:rsidRPr="00A4642C">
        <w:rPr>
          <w:rFonts w:asciiTheme="majorHAnsi" w:hAnsiTheme="majorHAnsi"/>
          <w:sz w:val="20"/>
          <w:szCs w:val="20"/>
        </w:rPr>
        <w:t xml:space="preserve">Thompson’s certiorari petition on </w:t>
      </w:r>
      <w:r w:rsidR="003905B4" w:rsidRPr="00A4642C">
        <w:rPr>
          <w:rFonts w:asciiTheme="majorHAnsi" w:hAnsiTheme="majorHAnsi"/>
          <w:sz w:val="20"/>
          <w:szCs w:val="20"/>
        </w:rPr>
        <w:t>December 1, 2003</w:t>
      </w:r>
      <w:r w:rsidRPr="00A4642C">
        <w:rPr>
          <w:rFonts w:asciiTheme="majorHAnsi" w:hAnsiTheme="majorHAnsi"/>
          <w:sz w:val="20"/>
          <w:szCs w:val="20"/>
        </w:rPr>
        <w:t xml:space="preserve"> and denied his petition for rehearing</w:t>
      </w:r>
      <w:r w:rsidR="003905B4" w:rsidRPr="00A4642C">
        <w:rPr>
          <w:rFonts w:asciiTheme="majorHAnsi" w:hAnsiTheme="majorHAnsi"/>
          <w:sz w:val="20"/>
          <w:szCs w:val="20"/>
        </w:rPr>
        <w:t xml:space="preserve"> on January 20, 2004</w:t>
      </w:r>
      <w:r w:rsidR="00370AEA" w:rsidRPr="00A4642C">
        <w:rPr>
          <w:rFonts w:asciiTheme="majorHAnsi" w:hAnsiTheme="majorHAnsi"/>
          <w:sz w:val="20"/>
          <w:szCs w:val="20"/>
        </w:rPr>
        <w:t>.</w:t>
      </w:r>
      <w:r w:rsidRPr="00A4642C">
        <w:rPr>
          <w:rStyle w:val="FootnoteReference"/>
          <w:rFonts w:asciiTheme="majorHAnsi" w:hAnsiTheme="majorHAnsi"/>
          <w:sz w:val="20"/>
          <w:szCs w:val="20"/>
        </w:rPr>
        <w:footnoteReference w:id="22"/>
      </w:r>
      <w:r w:rsidRPr="00A4642C">
        <w:rPr>
          <w:rFonts w:asciiTheme="majorHAnsi" w:hAnsiTheme="majorHAnsi"/>
          <w:sz w:val="20"/>
          <w:szCs w:val="20"/>
        </w:rPr>
        <w:t xml:space="preserve"> </w:t>
      </w:r>
    </w:p>
    <w:p w14:paraId="2795D141" w14:textId="77777777" w:rsidR="00E45DFC" w:rsidRPr="00E3227C" w:rsidRDefault="00E45DFC" w:rsidP="00E3227C">
      <w:pPr>
        <w:rPr>
          <w:rFonts w:asciiTheme="majorHAnsi" w:hAnsiTheme="majorHAnsi"/>
          <w:sz w:val="20"/>
          <w:szCs w:val="20"/>
        </w:rPr>
      </w:pPr>
    </w:p>
    <w:p w14:paraId="39896CDA" w14:textId="77777777" w:rsidR="00563224" w:rsidRPr="00E45DFC" w:rsidRDefault="009D42B5"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E45DFC">
        <w:rPr>
          <w:rFonts w:asciiTheme="majorHAnsi" w:hAnsiTheme="majorHAnsi"/>
          <w:sz w:val="20"/>
          <w:szCs w:val="20"/>
        </w:rPr>
        <w:t>On January 21, 2004</w:t>
      </w:r>
      <w:r w:rsidR="00460C9F" w:rsidRPr="00E45DFC">
        <w:rPr>
          <w:rFonts w:asciiTheme="majorHAnsi" w:hAnsiTheme="majorHAnsi"/>
          <w:sz w:val="20"/>
          <w:szCs w:val="20"/>
        </w:rPr>
        <w:t>,</w:t>
      </w:r>
      <w:r w:rsidRPr="00E45DFC">
        <w:rPr>
          <w:rFonts w:asciiTheme="majorHAnsi" w:hAnsiTheme="majorHAnsi"/>
          <w:sz w:val="20"/>
          <w:szCs w:val="20"/>
        </w:rPr>
        <w:t xml:space="preserve"> the State filed a motion requesting that the Tennessee Supreme Court schedule Mr. Thompson’s execution</w:t>
      </w:r>
      <w:r w:rsidR="003905B4" w:rsidRPr="00E45DFC">
        <w:rPr>
          <w:rFonts w:asciiTheme="majorHAnsi" w:hAnsiTheme="majorHAnsi"/>
          <w:sz w:val="20"/>
          <w:szCs w:val="20"/>
        </w:rPr>
        <w:t>.</w:t>
      </w:r>
      <w:r w:rsidR="00521F02">
        <w:rPr>
          <w:rStyle w:val="FootnoteReference"/>
          <w:rFonts w:asciiTheme="majorHAnsi" w:hAnsiTheme="majorHAnsi"/>
          <w:sz w:val="20"/>
          <w:szCs w:val="20"/>
        </w:rPr>
        <w:footnoteReference w:id="23"/>
      </w:r>
      <w:r w:rsidR="00286BB1" w:rsidRPr="00E45DFC">
        <w:rPr>
          <w:rFonts w:asciiTheme="majorHAnsi" w:hAnsiTheme="majorHAnsi"/>
          <w:sz w:val="20"/>
          <w:szCs w:val="20"/>
        </w:rPr>
        <w:t xml:space="preserve"> In response to th</w:t>
      </w:r>
      <w:r w:rsidR="00E45DFC" w:rsidRPr="00E45DFC">
        <w:rPr>
          <w:rFonts w:asciiTheme="majorHAnsi" w:hAnsiTheme="majorHAnsi"/>
          <w:sz w:val="20"/>
          <w:szCs w:val="20"/>
        </w:rPr>
        <w:t>is</w:t>
      </w:r>
      <w:r w:rsidR="00286BB1" w:rsidRPr="00E45DFC">
        <w:rPr>
          <w:rFonts w:asciiTheme="majorHAnsi" w:hAnsiTheme="majorHAnsi"/>
          <w:sz w:val="20"/>
          <w:szCs w:val="20"/>
        </w:rPr>
        <w:t xml:space="preserve"> motion, on February 2, 2004, Mr. Thomson raised the issue of his competency to be executed and requested a hearing.</w:t>
      </w:r>
      <w:r w:rsidR="00E45DFC" w:rsidRPr="00E45DFC">
        <w:rPr>
          <w:rFonts w:asciiTheme="majorHAnsi" w:hAnsiTheme="majorHAnsi"/>
          <w:sz w:val="20"/>
          <w:szCs w:val="20"/>
        </w:rPr>
        <w:t xml:space="preserve"> </w:t>
      </w:r>
      <w:r w:rsidR="00822C9F" w:rsidRPr="00E45DFC">
        <w:rPr>
          <w:rFonts w:asciiTheme="majorHAnsi" w:hAnsiTheme="majorHAnsi"/>
          <w:sz w:val="20"/>
          <w:szCs w:val="20"/>
        </w:rPr>
        <w:t>On February 25, 2004, the Tennessee</w:t>
      </w:r>
      <w:r w:rsidR="00D82451" w:rsidRPr="00E45DFC">
        <w:rPr>
          <w:rFonts w:asciiTheme="majorHAnsi" w:hAnsiTheme="majorHAnsi"/>
          <w:sz w:val="20"/>
          <w:szCs w:val="20"/>
        </w:rPr>
        <w:t xml:space="preserve"> Supreme Court set an execution date of August 19, 2004, but remanded the issue of </w:t>
      </w:r>
      <w:r w:rsidR="009E6ACE" w:rsidRPr="00E45DFC">
        <w:rPr>
          <w:rFonts w:asciiTheme="majorHAnsi" w:hAnsiTheme="majorHAnsi"/>
          <w:sz w:val="20"/>
          <w:szCs w:val="20"/>
        </w:rPr>
        <w:t xml:space="preserve">Mr. </w:t>
      </w:r>
      <w:r w:rsidR="00D82451" w:rsidRPr="00E45DFC">
        <w:rPr>
          <w:rFonts w:asciiTheme="majorHAnsi" w:hAnsiTheme="majorHAnsi"/>
          <w:sz w:val="20"/>
          <w:szCs w:val="20"/>
        </w:rPr>
        <w:t>Thompson’s competency to the trial court</w:t>
      </w:r>
      <w:r w:rsidR="0040341C" w:rsidRPr="00E45DFC">
        <w:rPr>
          <w:rFonts w:asciiTheme="majorHAnsi" w:hAnsiTheme="majorHAnsi"/>
          <w:sz w:val="20"/>
          <w:szCs w:val="20"/>
        </w:rPr>
        <w:t>, the Coffee County Circuit Court</w:t>
      </w:r>
      <w:r w:rsidR="00EB0504" w:rsidRPr="00E45DFC">
        <w:rPr>
          <w:rFonts w:asciiTheme="majorHAnsi" w:hAnsiTheme="majorHAnsi"/>
          <w:sz w:val="20"/>
          <w:szCs w:val="20"/>
        </w:rPr>
        <w:t>, to determine whether Mr. Thompson had made a threshold showing sufficient to warrant an evidentiary hearing on the issue of his present competency to be executed.</w:t>
      </w:r>
      <w:r w:rsidR="003B1361">
        <w:rPr>
          <w:rStyle w:val="FootnoteReference"/>
          <w:rFonts w:asciiTheme="majorHAnsi" w:hAnsiTheme="majorHAnsi"/>
          <w:sz w:val="20"/>
          <w:szCs w:val="20"/>
        </w:rPr>
        <w:footnoteReference w:id="24"/>
      </w:r>
      <w:r w:rsidR="00D82451" w:rsidRPr="00E45DFC">
        <w:rPr>
          <w:rFonts w:asciiTheme="majorHAnsi" w:hAnsiTheme="majorHAnsi"/>
          <w:sz w:val="20"/>
          <w:szCs w:val="20"/>
        </w:rPr>
        <w:t xml:space="preserve"> </w:t>
      </w:r>
    </w:p>
    <w:p w14:paraId="6821B08C" w14:textId="77777777" w:rsidR="00563224" w:rsidRDefault="00563224" w:rsidP="00563224">
      <w:pPr>
        <w:pStyle w:val="ListParagraph"/>
        <w:rPr>
          <w:rFonts w:asciiTheme="majorHAnsi" w:hAnsiTheme="majorHAnsi"/>
          <w:sz w:val="20"/>
          <w:szCs w:val="20"/>
        </w:rPr>
      </w:pPr>
    </w:p>
    <w:p w14:paraId="6F7EE464" w14:textId="77777777" w:rsidR="00D014AE" w:rsidRPr="00D014AE" w:rsidRDefault="006B7CAB" w:rsidP="00D014A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014AE">
        <w:rPr>
          <w:rFonts w:asciiTheme="majorHAnsi" w:hAnsiTheme="majorHAnsi"/>
          <w:sz w:val="20"/>
          <w:szCs w:val="20"/>
        </w:rPr>
        <w:t>Mr. Thompson requested an evidentiary hearing to determine his incompetency, and submitted with his motion his prison medical records, along with the reports of three mental health experts, John S. Rabun (“Dr. Rabun”), George W. Woods, Jr. (“Dr. Woods”), and Dr. Faye E. Sultan (“Dr. Sultan”).</w:t>
      </w:r>
      <w:r w:rsidR="006756B0" w:rsidRPr="00D014AE">
        <w:rPr>
          <w:rFonts w:asciiTheme="majorHAnsi" w:hAnsiTheme="majorHAnsi"/>
          <w:sz w:val="20"/>
          <w:szCs w:val="20"/>
        </w:rPr>
        <w:t xml:space="preserve"> The medical records showed that Mr. Thompson had “engaged in self-destructive acts from the time his incarceration began, including swallowing poison, cutting his wrist and arms, and burning his hand and face.”</w:t>
      </w:r>
      <w:r w:rsidR="006756B0">
        <w:rPr>
          <w:rStyle w:val="FootnoteReference"/>
          <w:rFonts w:asciiTheme="majorHAnsi" w:hAnsiTheme="majorHAnsi"/>
          <w:sz w:val="20"/>
          <w:szCs w:val="20"/>
        </w:rPr>
        <w:footnoteReference w:id="25"/>
      </w:r>
      <w:r w:rsidR="00BF40E7" w:rsidRPr="00D014AE">
        <w:rPr>
          <w:rFonts w:asciiTheme="majorHAnsi" w:hAnsiTheme="majorHAnsi"/>
          <w:sz w:val="20"/>
          <w:szCs w:val="20"/>
        </w:rPr>
        <w:t xml:space="preserve"> The records showed that in 1989, prison doctors diagnosed </w:t>
      </w:r>
      <w:r w:rsidR="009E6ACE" w:rsidRPr="00D014AE">
        <w:rPr>
          <w:rFonts w:asciiTheme="majorHAnsi" w:hAnsiTheme="majorHAnsi"/>
          <w:sz w:val="20"/>
          <w:szCs w:val="20"/>
        </w:rPr>
        <w:t xml:space="preserve">Mr. </w:t>
      </w:r>
      <w:r w:rsidR="00BF40E7" w:rsidRPr="00D014AE">
        <w:rPr>
          <w:rFonts w:asciiTheme="majorHAnsi" w:hAnsiTheme="majorHAnsi"/>
          <w:sz w:val="20"/>
          <w:szCs w:val="20"/>
        </w:rPr>
        <w:t>Thompson on two different occasions as “schizophrenic, paranoid type” and as “having “bipolar affective disorder</w:t>
      </w:r>
      <w:r w:rsidR="00563224" w:rsidRPr="00D014AE">
        <w:rPr>
          <w:rFonts w:asciiTheme="majorHAnsi" w:hAnsiTheme="majorHAnsi"/>
          <w:sz w:val="20"/>
          <w:szCs w:val="20"/>
        </w:rPr>
        <w:t>.</w:t>
      </w:r>
      <w:r w:rsidR="00BF40E7" w:rsidRPr="00D014AE">
        <w:rPr>
          <w:rFonts w:asciiTheme="majorHAnsi" w:hAnsiTheme="majorHAnsi"/>
          <w:sz w:val="20"/>
          <w:szCs w:val="20"/>
        </w:rPr>
        <w:t>”</w:t>
      </w:r>
      <w:r w:rsidR="0089306E">
        <w:rPr>
          <w:rStyle w:val="FootnoteReference"/>
          <w:rFonts w:asciiTheme="majorHAnsi" w:hAnsiTheme="majorHAnsi"/>
          <w:sz w:val="20"/>
          <w:szCs w:val="20"/>
        </w:rPr>
        <w:footnoteReference w:id="26"/>
      </w:r>
      <w:r w:rsidR="00BF40E7" w:rsidRPr="00D014AE">
        <w:rPr>
          <w:rFonts w:asciiTheme="majorHAnsi" w:hAnsiTheme="majorHAnsi"/>
          <w:sz w:val="20"/>
          <w:szCs w:val="20"/>
        </w:rPr>
        <w:t xml:space="preserve"> Further, the records showed that “in 1995, a prison doctor deemed Mr. Thompson a ‘mental health emergency’”; the “doctor’s report noted that ‘voluntary … medication’ had been ‘ineffective[.]’”</w:t>
      </w:r>
      <w:r w:rsidR="0089306E">
        <w:rPr>
          <w:rStyle w:val="FootnoteReference"/>
          <w:rFonts w:asciiTheme="majorHAnsi" w:hAnsiTheme="majorHAnsi"/>
          <w:sz w:val="20"/>
          <w:szCs w:val="20"/>
        </w:rPr>
        <w:footnoteReference w:id="27"/>
      </w:r>
      <w:r w:rsidR="0089306E" w:rsidRPr="00D014AE">
        <w:rPr>
          <w:rFonts w:asciiTheme="majorHAnsi" w:hAnsiTheme="majorHAnsi"/>
          <w:sz w:val="20"/>
          <w:szCs w:val="20"/>
        </w:rPr>
        <w:t xml:space="preserve"> Evidence was also presented that “in 2001, the state had petitioned a Tennessee court for the appointment of a conservator to make decisions on </w:t>
      </w:r>
      <w:r w:rsidR="009E6ACE" w:rsidRPr="00D014AE">
        <w:rPr>
          <w:rFonts w:asciiTheme="majorHAnsi" w:hAnsiTheme="majorHAnsi"/>
          <w:sz w:val="20"/>
          <w:szCs w:val="20"/>
        </w:rPr>
        <w:t xml:space="preserve">Mr. </w:t>
      </w:r>
      <w:r w:rsidR="0089306E" w:rsidRPr="00D014AE">
        <w:rPr>
          <w:rFonts w:asciiTheme="majorHAnsi" w:hAnsiTheme="majorHAnsi"/>
          <w:sz w:val="20"/>
          <w:szCs w:val="20"/>
        </w:rPr>
        <w:t>Thompson’s behalf regarding his mental health and medical treatment.”</w:t>
      </w:r>
      <w:r w:rsidR="0089306E">
        <w:rPr>
          <w:rStyle w:val="FootnoteReference"/>
          <w:rFonts w:asciiTheme="majorHAnsi" w:hAnsiTheme="majorHAnsi"/>
          <w:sz w:val="20"/>
          <w:szCs w:val="20"/>
        </w:rPr>
        <w:footnoteReference w:id="28"/>
      </w:r>
      <w:r w:rsidR="00D014AE" w:rsidRPr="00D014AE">
        <w:rPr>
          <w:rFonts w:asciiTheme="majorHAnsi" w:hAnsiTheme="majorHAnsi"/>
          <w:sz w:val="20"/>
          <w:szCs w:val="20"/>
        </w:rPr>
        <w:t xml:space="preserve"> One expert opined that Mr. Thompson has consistently been psychotic over the past 18 years, with symptoms of psychosis, and particularly that his delusions persist</w:t>
      </w:r>
      <w:r w:rsidR="00D014AE">
        <w:rPr>
          <w:rFonts w:asciiTheme="majorHAnsi" w:hAnsiTheme="majorHAnsi"/>
          <w:sz w:val="20"/>
          <w:szCs w:val="20"/>
        </w:rPr>
        <w:t>ed</w:t>
      </w:r>
      <w:r w:rsidR="00D014AE" w:rsidRPr="00D014AE">
        <w:rPr>
          <w:rFonts w:asciiTheme="majorHAnsi" w:hAnsiTheme="majorHAnsi"/>
          <w:sz w:val="20"/>
          <w:szCs w:val="20"/>
        </w:rPr>
        <w:t xml:space="preserve"> in spite of antipsychotic medication.</w:t>
      </w:r>
      <w:r w:rsidR="00D014AE">
        <w:rPr>
          <w:rStyle w:val="FootnoteReference"/>
          <w:rFonts w:asciiTheme="majorHAnsi" w:hAnsiTheme="majorHAnsi"/>
          <w:sz w:val="20"/>
          <w:szCs w:val="20"/>
        </w:rPr>
        <w:footnoteReference w:id="29"/>
      </w:r>
      <w:r w:rsidR="00D014AE" w:rsidRPr="00D014AE">
        <w:rPr>
          <w:rFonts w:asciiTheme="majorHAnsi" w:hAnsiTheme="majorHAnsi"/>
          <w:sz w:val="20"/>
          <w:szCs w:val="20"/>
        </w:rPr>
        <w:t xml:space="preserve"> These opinions stemmed from referenced factors suggestive of his lack of capacity, such as:</w:t>
      </w:r>
    </w:p>
    <w:p w14:paraId="720CC1FE" w14:textId="77777777" w:rsidR="00D014AE" w:rsidRDefault="00D014AE" w:rsidP="00D014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14:paraId="6E7B1C3D"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 </w:t>
      </w:r>
      <w:r w:rsidRPr="003712BB">
        <w:rPr>
          <w:rFonts w:asciiTheme="majorHAnsi" w:hAnsiTheme="majorHAnsi"/>
          <w:sz w:val="20"/>
          <w:szCs w:val="20"/>
        </w:rPr>
        <w:t>delusional belief about buried money and how it could be used as a “mitigator” to “prove” he could care for himself and would not “steal like a criminal</w:t>
      </w:r>
      <w:r>
        <w:rPr>
          <w:rFonts w:asciiTheme="majorHAnsi" w:hAnsiTheme="majorHAnsi"/>
          <w:sz w:val="20"/>
          <w:szCs w:val="20"/>
        </w:rPr>
        <w:t>.</w:t>
      </w:r>
      <w:r w:rsidRPr="003712BB">
        <w:rPr>
          <w:rFonts w:asciiTheme="majorHAnsi" w:hAnsiTheme="majorHAnsi"/>
          <w:sz w:val="20"/>
          <w:szCs w:val="20"/>
        </w:rPr>
        <w:t>”</w:t>
      </w:r>
    </w:p>
    <w:p w14:paraId="03F750D1"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712BB">
        <w:rPr>
          <w:rFonts w:asciiTheme="majorHAnsi" w:hAnsiTheme="majorHAnsi"/>
          <w:sz w:val="20"/>
          <w:szCs w:val="20"/>
        </w:rPr>
        <w:lastRenderedPageBreak/>
        <w:t>delusional statements about his naval career and how it is connected to his trial</w:t>
      </w:r>
      <w:r>
        <w:rPr>
          <w:rFonts w:asciiTheme="majorHAnsi" w:hAnsiTheme="majorHAnsi"/>
          <w:sz w:val="20"/>
          <w:szCs w:val="20"/>
        </w:rPr>
        <w:t>, which suggested</w:t>
      </w:r>
      <w:r w:rsidRPr="003712BB">
        <w:rPr>
          <w:rFonts w:asciiTheme="majorHAnsi" w:hAnsiTheme="majorHAnsi"/>
          <w:sz w:val="20"/>
          <w:szCs w:val="20"/>
        </w:rPr>
        <w:t xml:space="preserve"> that </w:t>
      </w:r>
      <w:r>
        <w:rPr>
          <w:rFonts w:asciiTheme="majorHAnsi" w:hAnsiTheme="majorHAnsi"/>
          <w:sz w:val="20"/>
          <w:szCs w:val="20"/>
        </w:rPr>
        <w:t>he lacked</w:t>
      </w:r>
      <w:r w:rsidRPr="003712BB">
        <w:rPr>
          <w:rFonts w:asciiTheme="majorHAnsi" w:hAnsiTheme="majorHAnsi"/>
          <w:sz w:val="20"/>
          <w:szCs w:val="20"/>
        </w:rPr>
        <w:t xml:space="preserve"> the capacity to appreciate why a jury of his peers sentenced him to death</w:t>
      </w:r>
      <w:r>
        <w:rPr>
          <w:rFonts w:asciiTheme="majorHAnsi" w:hAnsiTheme="majorHAnsi"/>
          <w:sz w:val="20"/>
          <w:szCs w:val="20"/>
        </w:rPr>
        <w:t>.</w:t>
      </w:r>
    </w:p>
    <w:p w14:paraId="41E410C2"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712BB">
        <w:rPr>
          <w:rFonts w:asciiTheme="majorHAnsi" w:hAnsiTheme="majorHAnsi"/>
          <w:sz w:val="20"/>
          <w:szCs w:val="20"/>
        </w:rPr>
        <w:t>delusional discussions about how the navy should be involved in his case and how obvious delusional evidence could aide him, suggest</w:t>
      </w:r>
      <w:r>
        <w:rPr>
          <w:rFonts w:asciiTheme="majorHAnsi" w:hAnsiTheme="majorHAnsi"/>
          <w:sz w:val="20"/>
          <w:szCs w:val="20"/>
        </w:rPr>
        <w:t>ed that he perceives that he could</w:t>
      </w:r>
      <w:r w:rsidRPr="003712BB">
        <w:rPr>
          <w:rFonts w:asciiTheme="majorHAnsi" w:hAnsiTheme="majorHAnsi"/>
          <w:sz w:val="20"/>
          <w:szCs w:val="20"/>
        </w:rPr>
        <w:t xml:space="preserve"> receive another trial for the instant matter; </w:t>
      </w:r>
      <w:r>
        <w:rPr>
          <w:rFonts w:asciiTheme="majorHAnsi" w:hAnsiTheme="majorHAnsi"/>
          <w:sz w:val="20"/>
          <w:szCs w:val="20"/>
        </w:rPr>
        <w:t xml:space="preserve">further </w:t>
      </w:r>
      <w:r w:rsidRPr="003712BB">
        <w:rPr>
          <w:rFonts w:asciiTheme="majorHAnsi" w:hAnsiTheme="majorHAnsi"/>
          <w:sz w:val="20"/>
          <w:szCs w:val="20"/>
        </w:rPr>
        <w:t xml:space="preserve">his discussions suggested that he holds magical, near child-like reasoning about possible avenues of appeal in the present case. </w:t>
      </w:r>
    </w:p>
    <w:p w14:paraId="6563AA1B"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Pr>
          <w:rFonts w:asciiTheme="majorHAnsi" w:hAnsiTheme="majorHAnsi"/>
          <w:sz w:val="20"/>
          <w:szCs w:val="20"/>
        </w:rPr>
        <w:t xml:space="preserve">a </w:t>
      </w:r>
      <w:r w:rsidRPr="003712BB">
        <w:rPr>
          <w:rFonts w:asciiTheme="majorHAnsi" w:hAnsiTheme="majorHAnsi"/>
          <w:sz w:val="20"/>
          <w:szCs w:val="20"/>
        </w:rPr>
        <w:t>delusional</w:t>
      </w:r>
      <w:r>
        <w:rPr>
          <w:rFonts w:asciiTheme="majorHAnsi" w:hAnsiTheme="majorHAnsi"/>
          <w:sz w:val="20"/>
          <w:szCs w:val="20"/>
        </w:rPr>
        <w:t xml:space="preserve"> perception that he would not be executed, suggested that although he knew his sentence was death, he did</w:t>
      </w:r>
      <w:r w:rsidRPr="003712BB">
        <w:rPr>
          <w:rFonts w:asciiTheme="majorHAnsi" w:hAnsiTheme="majorHAnsi"/>
          <w:sz w:val="20"/>
          <w:szCs w:val="20"/>
        </w:rPr>
        <w:t xml:space="preserve"> not appreciate</w:t>
      </w:r>
      <w:r>
        <w:rPr>
          <w:rFonts w:asciiTheme="majorHAnsi" w:hAnsiTheme="majorHAnsi"/>
          <w:sz w:val="20"/>
          <w:szCs w:val="20"/>
        </w:rPr>
        <w:t xml:space="preserve"> that the State of Tennessee could</w:t>
      </w:r>
      <w:r w:rsidRPr="003712BB">
        <w:rPr>
          <w:rFonts w:asciiTheme="majorHAnsi" w:hAnsiTheme="majorHAnsi"/>
          <w:sz w:val="20"/>
          <w:szCs w:val="20"/>
        </w:rPr>
        <w:t xml:space="preserve"> legally</w:t>
      </w:r>
      <w:r>
        <w:rPr>
          <w:rFonts w:asciiTheme="majorHAnsi" w:hAnsiTheme="majorHAnsi"/>
          <w:sz w:val="20"/>
          <w:szCs w:val="20"/>
        </w:rPr>
        <w:t xml:space="preserve"> execute him; he therefore lacked</w:t>
      </w:r>
      <w:r w:rsidRPr="003712BB">
        <w:rPr>
          <w:rFonts w:asciiTheme="majorHAnsi" w:hAnsiTheme="majorHAnsi"/>
          <w:sz w:val="20"/>
          <w:szCs w:val="20"/>
        </w:rPr>
        <w:t xml:space="preserve"> the capacity to under</w:t>
      </w:r>
      <w:r>
        <w:rPr>
          <w:rFonts w:asciiTheme="majorHAnsi" w:hAnsiTheme="majorHAnsi"/>
          <w:sz w:val="20"/>
          <w:szCs w:val="20"/>
        </w:rPr>
        <w:t>stand that his legal execution wa</w:t>
      </w:r>
      <w:r w:rsidRPr="003712BB">
        <w:rPr>
          <w:rFonts w:asciiTheme="majorHAnsi" w:hAnsiTheme="majorHAnsi"/>
          <w:sz w:val="20"/>
          <w:szCs w:val="20"/>
        </w:rPr>
        <w:t>s approachi</w:t>
      </w:r>
      <w:r>
        <w:rPr>
          <w:rFonts w:asciiTheme="majorHAnsi" w:hAnsiTheme="majorHAnsi"/>
          <w:sz w:val="20"/>
          <w:szCs w:val="20"/>
        </w:rPr>
        <w:t>ng and lacked</w:t>
      </w:r>
      <w:r w:rsidRPr="003712BB">
        <w:rPr>
          <w:rFonts w:asciiTheme="majorHAnsi" w:hAnsiTheme="majorHAnsi"/>
          <w:sz w:val="20"/>
          <w:szCs w:val="20"/>
        </w:rPr>
        <w:t xml:space="preserve"> the capacity to prepare himself for his death with a rational frame of mind. </w:t>
      </w:r>
    </w:p>
    <w:p w14:paraId="3B81C086"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712BB">
        <w:rPr>
          <w:rFonts w:asciiTheme="majorHAnsi" w:hAnsiTheme="majorHAnsi"/>
          <w:sz w:val="20"/>
          <w:szCs w:val="20"/>
        </w:rPr>
        <w:t>Thompson’s explanation for wanting the electric chair b</w:t>
      </w:r>
      <w:r>
        <w:rPr>
          <w:rFonts w:asciiTheme="majorHAnsi" w:hAnsiTheme="majorHAnsi"/>
          <w:sz w:val="20"/>
          <w:szCs w:val="20"/>
        </w:rPr>
        <w:t>eing:</w:t>
      </w:r>
      <w:r w:rsidRPr="003712BB">
        <w:rPr>
          <w:rFonts w:asciiTheme="majorHAnsi" w:hAnsiTheme="majorHAnsi"/>
          <w:sz w:val="20"/>
          <w:szCs w:val="20"/>
        </w:rPr>
        <w:t xml:space="preserve"> “I am used to being shocked, every time I touc</w:t>
      </w:r>
      <w:r>
        <w:rPr>
          <w:rFonts w:asciiTheme="majorHAnsi" w:hAnsiTheme="majorHAnsi"/>
          <w:sz w:val="20"/>
          <w:szCs w:val="20"/>
        </w:rPr>
        <w:t>h my TV I get shocked…” suggested</w:t>
      </w:r>
      <w:r w:rsidRPr="003712BB">
        <w:rPr>
          <w:rFonts w:asciiTheme="majorHAnsi" w:hAnsiTheme="majorHAnsi"/>
          <w:sz w:val="20"/>
          <w:szCs w:val="20"/>
        </w:rPr>
        <w:t xml:space="preserve"> a lack of capacity to appreciate the finality of the execution process</w:t>
      </w:r>
      <w:r>
        <w:rPr>
          <w:rFonts w:asciiTheme="majorHAnsi" w:hAnsiTheme="majorHAnsi"/>
          <w:sz w:val="20"/>
          <w:szCs w:val="20"/>
        </w:rPr>
        <w:t>.</w:t>
      </w:r>
    </w:p>
    <w:p w14:paraId="7BC3B209"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712BB">
        <w:rPr>
          <w:rFonts w:asciiTheme="majorHAnsi" w:hAnsiTheme="majorHAnsi"/>
          <w:sz w:val="20"/>
          <w:szCs w:val="20"/>
        </w:rPr>
        <w:t>T</w:t>
      </w:r>
      <w:r>
        <w:rPr>
          <w:rFonts w:asciiTheme="majorHAnsi" w:hAnsiTheme="majorHAnsi"/>
          <w:sz w:val="20"/>
          <w:szCs w:val="20"/>
        </w:rPr>
        <w:t>hompson’s statement that he would</w:t>
      </w:r>
      <w:r w:rsidRPr="003712BB">
        <w:rPr>
          <w:rFonts w:asciiTheme="majorHAnsi" w:hAnsiTheme="majorHAnsi"/>
          <w:sz w:val="20"/>
          <w:szCs w:val="20"/>
        </w:rPr>
        <w:t xml:space="preserve"> be “</w:t>
      </w:r>
      <w:r>
        <w:rPr>
          <w:rFonts w:asciiTheme="majorHAnsi" w:hAnsiTheme="majorHAnsi"/>
          <w:sz w:val="20"/>
          <w:szCs w:val="20"/>
        </w:rPr>
        <w:t>discharged” from prison suggested that his mental disease had</w:t>
      </w:r>
      <w:r w:rsidRPr="003712BB">
        <w:rPr>
          <w:rFonts w:asciiTheme="majorHAnsi" w:hAnsiTheme="majorHAnsi"/>
          <w:sz w:val="20"/>
          <w:szCs w:val="20"/>
        </w:rPr>
        <w:t xml:space="preserve"> caused him to b</w:t>
      </w:r>
      <w:r>
        <w:rPr>
          <w:rFonts w:asciiTheme="majorHAnsi" w:hAnsiTheme="majorHAnsi"/>
          <w:sz w:val="20"/>
          <w:szCs w:val="20"/>
        </w:rPr>
        <w:t>e unaware of the punishment he wa</w:t>
      </w:r>
      <w:r w:rsidRPr="003712BB">
        <w:rPr>
          <w:rFonts w:asciiTheme="majorHAnsi" w:hAnsiTheme="majorHAnsi"/>
          <w:sz w:val="20"/>
          <w:szCs w:val="20"/>
        </w:rPr>
        <w:t xml:space="preserve">s scheduled to suffer. </w:t>
      </w:r>
    </w:p>
    <w:p w14:paraId="1D920FEA" w14:textId="77777777" w:rsidR="00D014AE" w:rsidRPr="003712BB"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712BB">
        <w:rPr>
          <w:rFonts w:asciiTheme="majorHAnsi" w:hAnsiTheme="majorHAnsi"/>
          <w:sz w:val="20"/>
          <w:szCs w:val="20"/>
        </w:rPr>
        <w:t>statements about being a “Klingon” and going to “Valhalla” suggest</w:t>
      </w:r>
      <w:r>
        <w:rPr>
          <w:rFonts w:asciiTheme="majorHAnsi" w:hAnsiTheme="majorHAnsi"/>
          <w:sz w:val="20"/>
          <w:szCs w:val="20"/>
        </w:rPr>
        <w:t>ed he lacked</w:t>
      </w:r>
      <w:r w:rsidRPr="003712BB">
        <w:rPr>
          <w:rFonts w:asciiTheme="majorHAnsi" w:hAnsiTheme="majorHAnsi"/>
          <w:sz w:val="20"/>
          <w:szCs w:val="20"/>
        </w:rPr>
        <w:t xml:space="preserve"> the capacity to rationally prepare himself for his own death</w:t>
      </w:r>
      <w:r>
        <w:rPr>
          <w:rFonts w:asciiTheme="majorHAnsi" w:hAnsiTheme="majorHAnsi"/>
          <w:sz w:val="20"/>
          <w:szCs w:val="20"/>
        </w:rPr>
        <w:t>.</w:t>
      </w:r>
    </w:p>
    <w:p w14:paraId="0779353D" w14:textId="77777777" w:rsidR="00D014AE" w:rsidRPr="00D014AE" w:rsidRDefault="00D014AE" w:rsidP="00D014AE">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3712BB">
        <w:rPr>
          <w:rFonts w:asciiTheme="majorHAnsi" w:hAnsiTheme="majorHAnsi"/>
          <w:sz w:val="20"/>
          <w:szCs w:val="20"/>
        </w:rPr>
        <w:t>discussions about w</w:t>
      </w:r>
      <w:r>
        <w:rPr>
          <w:rFonts w:asciiTheme="majorHAnsi" w:hAnsiTheme="majorHAnsi"/>
          <w:sz w:val="20"/>
          <w:szCs w:val="20"/>
        </w:rPr>
        <w:t>hy the State of Tennessee could not execute him suggested</w:t>
      </w:r>
      <w:r w:rsidRPr="003712BB">
        <w:rPr>
          <w:rFonts w:asciiTheme="majorHAnsi" w:hAnsiTheme="majorHAnsi"/>
          <w:sz w:val="20"/>
          <w:szCs w:val="20"/>
        </w:rPr>
        <w:t xml:space="preserve"> that due</w:t>
      </w:r>
      <w:r>
        <w:rPr>
          <w:rFonts w:asciiTheme="majorHAnsi" w:hAnsiTheme="majorHAnsi"/>
          <w:sz w:val="20"/>
          <w:szCs w:val="20"/>
        </w:rPr>
        <w:t xml:space="preserve"> to his mental disease, he lacked</w:t>
      </w:r>
      <w:r w:rsidRPr="003712BB">
        <w:rPr>
          <w:rFonts w:asciiTheme="majorHAnsi" w:hAnsiTheme="majorHAnsi"/>
          <w:sz w:val="20"/>
          <w:szCs w:val="20"/>
        </w:rPr>
        <w:t xml:space="preserve"> the capacity to rationally perceive the connection between his crime and the punishment imposed by the State</w:t>
      </w:r>
      <w:r>
        <w:rPr>
          <w:rFonts w:asciiTheme="majorHAnsi" w:hAnsiTheme="majorHAnsi"/>
          <w:sz w:val="20"/>
          <w:szCs w:val="20"/>
        </w:rPr>
        <w:t>.</w:t>
      </w:r>
    </w:p>
    <w:p w14:paraId="4FFC2599" w14:textId="77777777" w:rsidR="006B7CAB" w:rsidRDefault="006B7CAB" w:rsidP="006B7CA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73B4084" w14:textId="77777777" w:rsidR="0029692A" w:rsidRPr="00D438A1" w:rsidRDefault="00800B87"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On March 8, 2004, the trial court denied the incompetency petition without holding an evidentiary hearing, finding the requisite </w:t>
      </w:r>
      <w:r w:rsidRPr="00D438A1">
        <w:rPr>
          <w:rFonts w:asciiTheme="majorHAnsi" w:hAnsiTheme="majorHAnsi"/>
          <w:sz w:val="20"/>
          <w:szCs w:val="20"/>
        </w:rPr>
        <w:t xml:space="preserve">threshold had not been met as the three experts “demonstrate clearly that </w:t>
      </w:r>
      <w:r w:rsidR="009E6ACE" w:rsidRPr="00D438A1">
        <w:rPr>
          <w:rFonts w:asciiTheme="majorHAnsi" w:hAnsiTheme="majorHAnsi"/>
          <w:sz w:val="20"/>
          <w:szCs w:val="20"/>
        </w:rPr>
        <w:t xml:space="preserve">Mr. </w:t>
      </w:r>
      <w:r w:rsidRPr="00D438A1">
        <w:rPr>
          <w:rFonts w:asciiTheme="majorHAnsi" w:hAnsiTheme="majorHAnsi"/>
          <w:sz w:val="20"/>
          <w:szCs w:val="20"/>
        </w:rPr>
        <w:t>Thompson is presently aware that he is under a death sentence for the murder of Brenda Lane under the ‘cognitive’ standard established by the Supreme Court.</w:t>
      </w:r>
      <w:r w:rsidR="00AA52E1" w:rsidRPr="00D438A1">
        <w:rPr>
          <w:rFonts w:asciiTheme="majorHAnsi" w:hAnsiTheme="majorHAnsi"/>
          <w:sz w:val="20"/>
          <w:szCs w:val="20"/>
        </w:rPr>
        <w:t>”</w:t>
      </w:r>
      <w:r w:rsidRPr="00D438A1">
        <w:rPr>
          <w:rStyle w:val="FootnoteReference"/>
          <w:rFonts w:asciiTheme="majorHAnsi" w:hAnsiTheme="majorHAnsi"/>
          <w:sz w:val="20"/>
          <w:szCs w:val="20"/>
        </w:rPr>
        <w:footnoteReference w:id="30"/>
      </w:r>
      <w:r w:rsidRPr="00D438A1">
        <w:rPr>
          <w:rFonts w:asciiTheme="majorHAnsi" w:hAnsiTheme="majorHAnsi"/>
          <w:sz w:val="20"/>
          <w:szCs w:val="20"/>
        </w:rPr>
        <w:t xml:space="preserve"> </w:t>
      </w:r>
    </w:p>
    <w:p w14:paraId="5726CAF0" w14:textId="77777777" w:rsidR="0029692A" w:rsidRPr="00D438A1" w:rsidRDefault="0029692A" w:rsidP="0029692A">
      <w:pPr>
        <w:pStyle w:val="ListParagraph"/>
        <w:rPr>
          <w:rFonts w:asciiTheme="majorHAnsi" w:hAnsiTheme="majorHAnsi"/>
          <w:sz w:val="20"/>
          <w:szCs w:val="20"/>
        </w:rPr>
      </w:pPr>
    </w:p>
    <w:p w14:paraId="064441DE" w14:textId="77777777" w:rsidR="005267D2" w:rsidRPr="00D438A1" w:rsidRDefault="00EC2D55" w:rsidP="00CD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438A1">
        <w:rPr>
          <w:rFonts w:asciiTheme="majorHAnsi" w:hAnsiTheme="majorHAnsi"/>
          <w:sz w:val="20"/>
          <w:szCs w:val="20"/>
        </w:rPr>
        <w:t xml:space="preserve">Mr. Thompson </w:t>
      </w:r>
      <w:r w:rsidR="00CD1BEC" w:rsidRPr="00D438A1">
        <w:rPr>
          <w:rFonts w:asciiTheme="majorHAnsi" w:hAnsiTheme="majorHAnsi"/>
          <w:sz w:val="20"/>
          <w:szCs w:val="20"/>
        </w:rPr>
        <w:t xml:space="preserve">challenged the trial court’s order denying </w:t>
      </w:r>
      <w:r w:rsidR="00CC3FA1" w:rsidRPr="00D438A1">
        <w:rPr>
          <w:rFonts w:asciiTheme="majorHAnsi" w:hAnsiTheme="majorHAnsi"/>
          <w:sz w:val="20"/>
          <w:szCs w:val="20"/>
        </w:rPr>
        <w:t xml:space="preserve">a hearing on the issue of his competency to be executed. </w:t>
      </w:r>
      <w:r w:rsidR="004F1A2A" w:rsidRPr="00D438A1">
        <w:rPr>
          <w:rFonts w:asciiTheme="majorHAnsi" w:hAnsiTheme="majorHAnsi"/>
          <w:sz w:val="20"/>
          <w:szCs w:val="20"/>
        </w:rPr>
        <w:t xml:space="preserve">In this motion </w:t>
      </w:r>
      <w:r w:rsidR="001C65B1" w:rsidRPr="00D438A1">
        <w:rPr>
          <w:rFonts w:asciiTheme="majorHAnsi" w:hAnsiTheme="majorHAnsi"/>
          <w:sz w:val="20"/>
          <w:szCs w:val="20"/>
        </w:rPr>
        <w:t xml:space="preserve">before the Tennessee Supreme Court </w:t>
      </w:r>
      <w:r w:rsidR="004F1A2A" w:rsidRPr="00D438A1">
        <w:rPr>
          <w:rFonts w:asciiTheme="majorHAnsi" w:hAnsiTheme="majorHAnsi"/>
          <w:sz w:val="20"/>
          <w:szCs w:val="20"/>
        </w:rPr>
        <w:t>h</w:t>
      </w:r>
      <w:r w:rsidR="00CC3FA1" w:rsidRPr="00D438A1">
        <w:rPr>
          <w:rFonts w:asciiTheme="majorHAnsi" w:hAnsiTheme="majorHAnsi"/>
          <w:sz w:val="20"/>
          <w:szCs w:val="20"/>
        </w:rPr>
        <w:t xml:space="preserve">e alleged that the trial court erred in concluding that he failed to make a threshold showing sufficient to warrant a hearing. </w:t>
      </w:r>
      <w:r w:rsidR="00136442" w:rsidRPr="00D438A1">
        <w:rPr>
          <w:rFonts w:asciiTheme="majorHAnsi" w:hAnsiTheme="majorHAnsi"/>
          <w:sz w:val="20"/>
          <w:szCs w:val="20"/>
        </w:rPr>
        <w:t>Also,</w:t>
      </w:r>
      <w:r w:rsidR="001676FE" w:rsidRPr="00D438A1">
        <w:rPr>
          <w:rFonts w:asciiTheme="majorHAnsi" w:hAnsiTheme="majorHAnsi"/>
          <w:sz w:val="20"/>
          <w:szCs w:val="20"/>
        </w:rPr>
        <w:t xml:space="preserve"> on April 2, 2004, Mr. Thompson</w:t>
      </w:r>
      <w:r w:rsidR="00136442" w:rsidRPr="00D438A1">
        <w:rPr>
          <w:rFonts w:asciiTheme="majorHAnsi" w:hAnsiTheme="majorHAnsi"/>
          <w:sz w:val="20"/>
          <w:szCs w:val="20"/>
        </w:rPr>
        <w:t xml:space="preserve"> filed a document entitled “Notice of the Inter-American Human Rights Commission</w:t>
      </w:r>
      <w:r w:rsidR="001676FE" w:rsidRPr="00D438A1">
        <w:rPr>
          <w:rFonts w:asciiTheme="majorHAnsi" w:hAnsiTheme="majorHAnsi"/>
          <w:sz w:val="20"/>
          <w:szCs w:val="20"/>
        </w:rPr>
        <w:t xml:space="preserve"> of the Organization of American States Request of the United States to Take Precautionary Measures to Prevent the State of Tennessee from Carrying out the Execution of Gregory Thompson Presently Scheduled for August 19, 2004 and Request for Stay of Execution.”</w:t>
      </w:r>
      <w:r w:rsidR="008A0FBD" w:rsidRPr="00D438A1">
        <w:rPr>
          <w:rStyle w:val="FootnoteReference"/>
          <w:rFonts w:asciiTheme="majorHAnsi" w:hAnsiTheme="majorHAnsi"/>
          <w:sz w:val="20"/>
          <w:szCs w:val="20"/>
        </w:rPr>
        <w:footnoteReference w:id="31"/>
      </w:r>
      <w:r w:rsidR="00136442" w:rsidRPr="00D438A1">
        <w:rPr>
          <w:rFonts w:asciiTheme="majorHAnsi" w:hAnsiTheme="majorHAnsi"/>
          <w:sz w:val="20"/>
          <w:szCs w:val="20"/>
        </w:rPr>
        <w:t xml:space="preserve"> </w:t>
      </w:r>
      <w:r w:rsidR="00CC3FA1" w:rsidRPr="00D438A1">
        <w:rPr>
          <w:rFonts w:asciiTheme="majorHAnsi" w:hAnsiTheme="majorHAnsi"/>
          <w:sz w:val="20"/>
          <w:szCs w:val="20"/>
        </w:rPr>
        <w:t xml:space="preserve">  </w:t>
      </w:r>
      <w:r w:rsidR="00B14110" w:rsidRPr="00D438A1">
        <w:rPr>
          <w:rFonts w:asciiTheme="majorHAnsi" w:hAnsiTheme="majorHAnsi"/>
          <w:sz w:val="20"/>
          <w:szCs w:val="20"/>
        </w:rPr>
        <w:t xml:space="preserve"> </w:t>
      </w:r>
    </w:p>
    <w:p w14:paraId="039F8B9D" w14:textId="77777777" w:rsidR="005267D2" w:rsidRPr="00D438A1" w:rsidRDefault="005267D2" w:rsidP="005267D2">
      <w:pPr>
        <w:pStyle w:val="ListParagraph"/>
        <w:rPr>
          <w:rFonts w:asciiTheme="majorHAnsi" w:hAnsiTheme="majorHAnsi"/>
          <w:sz w:val="20"/>
          <w:szCs w:val="20"/>
        </w:rPr>
      </w:pPr>
    </w:p>
    <w:p w14:paraId="1ABBAEB9" w14:textId="77777777" w:rsidR="00CA600A" w:rsidRPr="00D438A1" w:rsidRDefault="00CC3FA1" w:rsidP="00CD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438A1">
        <w:rPr>
          <w:rFonts w:asciiTheme="majorHAnsi" w:hAnsiTheme="majorHAnsi"/>
          <w:sz w:val="20"/>
          <w:szCs w:val="20"/>
        </w:rPr>
        <w:t>On May 12, 2004, t</w:t>
      </w:r>
      <w:r w:rsidR="00CD1BEC" w:rsidRPr="00D438A1">
        <w:rPr>
          <w:rFonts w:asciiTheme="majorHAnsi" w:hAnsiTheme="majorHAnsi"/>
          <w:sz w:val="20"/>
          <w:szCs w:val="20"/>
        </w:rPr>
        <w:t xml:space="preserve">he </w:t>
      </w:r>
      <w:r w:rsidR="000C57C4" w:rsidRPr="00D438A1">
        <w:rPr>
          <w:rFonts w:asciiTheme="majorHAnsi" w:hAnsiTheme="majorHAnsi"/>
          <w:sz w:val="20"/>
          <w:szCs w:val="20"/>
        </w:rPr>
        <w:t>Tennessee Supreme Court</w:t>
      </w:r>
      <w:r w:rsidR="00CD1BEC" w:rsidRPr="00D438A1">
        <w:rPr>
          <w:rFonts w:asciiTheme="majorHAnsi" w:hAnsiTheme="majorHAnsi"/>
          <w:sz w:val="20"/>
          <w:szCs w:val="20"/>
        </w:rPr>
        <w:t xml:space="preserve"> </w:t>
      </w:r>
      <w:r w:rsidR="00B14110" w:rsidRPr="00D438A1">
        <w:rPr>
          <w:rFonts w:asciiTheme="majorHAnsi" w:hAnsiTheme="majorHAnsi"/>
          <w:sz w:val="20"/>
          <w:szCs w:val="20"/>
        </w:rPr>
        <w:t xml:space="preserve">affirmed the </w:t>
      </w:r>
      <w:r w:rsidR="00EC2D55" w:rsidRPr="00D438A1">
        <w:rPr>
          <w:rFonts w:asciiTheme="majorHAnsi" w:hAnsiTheme="majorHAnsi"/>
          <w:sz w:val="20"/>
          <w:szCs w:val="20"/>
        </w:rPr>
        <w:t>trial court’s judgment</w:t>
      </w:r>
      <w:r w:rsidRPr="00D438A1">
        <w:rPr>
          <w:rFonts w:asciiTheme="majorHAnsi" w:hAnsiTheme="majorHAnsi"/>
          <w:sz w:val="20"/>
          <w:szCs w:val="20"/>
        </w:rPr>
        <w:t xml:space="preserve">. </w:t>
      </w:r>
      <w:r w:rsidR="00CA600A" w:rsidRPr="00D438A1">
        <w:rPr>
          <w:rFonts w:asciiTheme="majorHAnsi" w:hAnsiTheme="majorHAnsi"/>
          <w:sz w:val="20"/>
          <w:szCs w:val="20"/>
        </w:rPr>
        <w:t>With regard to the precautionary measures granted by the IACHR, the court</w:t>
      </w:r>
      <w:r w:rsidR="00FC552C" w:rsidRPr="00D438A1">
        <w:rPr>
          <w:rFonts w:asciiTheme="majorHAnsi" w:hAnsiTheme="majorHAnsi"/>
          <w:sz w:val="20"/>
          <w:szCs w:val="20"/>
        </w:rPr>
        <w:t xml:space="preserve">, citing </w:t>
      </w:r>
      <w:r w:rsidR="00FC552C" w:rsidRPr="00D438A1">
        <w:rPr>
          <w:rFonts w:asciiTheme="majorHAnsi" w:hAnsiTheme="majorHAnsi"/>
          <w:i/>
          <w:sz w:val="20"/>
          <w:szCs w:val="20"/>
        </w:rPr>
        <w:t>Garza, 253 F.3d</w:t>
      </w:r>
      <w:r w:rsidR="00FC552C" w:rsidRPr="00D438A1">
        <w:rPr>
          <w:rFonts w:asciiTheme="majorHAnsi" w:hAnsiTheme="majorHAnsi"/>
          <w:sz w:val="20"/>
          <w:szCs w:val="20"/>
        </w:rPr>
        <w:t>,</w:t>
      </w:r>
      <w:r w:rsidR="00CA600A" w:rsidRPr="00D438A1">
        <w:rPr>
          <w:rFonts w:asciiTheme="majorHAnsi" w:hAnsiTheme="majorHAnsi"/>
          <w:sz w:val="20"/>
          <w:szCs w:val="20"/>
        </w:rPr>
        <w:t xml:space="preserve"> ruled that “international agreements, even those benefitting private parties, do not creat</w:t>
      </w:r>
      <w:r w:rsidR="00B22644" w:rsidRPr="00D438A1">
        <w:rPr>
          <w:rFonts w:asciiTheme="majorHAnsi" w:hAnsiTheme="majorHAnsi"/>
          <w:sz w:val="20"/>
          <w:szCs w:val="20"/>
        </w:rPr>
        <w:t>e</w:t>
      </w:r>
      <w:r w:rsidR="00CA600A" w:rsidRPr="00D438A1">
        <w:rPr>
          <w:rFonts w:asciiTheme="majorHAnsi" w:hAnsiTheme="majorHAnsi"/>
          <w:sz w:val="20"/>
          <w:szCs w:val="20"/>
        </w:rPr>
        <w:t xml:space="preserve"> rights privately enforceable in domestic courts</w:t>
      </w:r>
      <w:r w:rsidR="00B22644" w:rsidRPr="00D438A1">
        <w:rPr>
          <w:rFonts w:asciiTheme="majorHAnsi" w:hAnsiTheme="majorHAnsi"/>
          <w:sz w:val="20"/>
          <w:szCs w:val="20"/>
        </w:rPr>
        <w:t>,</w:t>
      </w:r>
      <w:r w:rsidR="00CA600A" w:rsidRPr="00D438A1">
        <w:rPr>
          <w:rFonts w:asciiTheme="majorHAnsi" w:hAnsiTheme="majorHAnsi"/>
          <w:sz w:val="20"/>
          <w:szCs w:val="20"/>
        </w:rPr>
        <w:t>”</w:t>
      </w:r>
      <w:r w:rsidR="00A61D61" w:rsidRPr="00D438A1">
        <w:rPr>
          <w:rFonts w:asciiTheme="majorHAnsi" w:hAnsiTheme="majorHAnsi"/>
          <w:sz w:val="20"/>
          <w:szCs w:val="20"/>
        </w:rPr>
        <w:t xml:space="preserve"> that the American Declaration “creates no judicially cognizable rights for individuals”</w:t>
      </w:r>
      <w:r w:rsidR="00B22644" w:rsidRPr="00D438A1">
        <w:rPr>
          <w:rFonts w:asciiTheme="majorHAnsi" w:hAnsiTheme="majorHAnsi"/>
          <w:sz w:val="20"/>
          <w:szCs w:val="20"/>
        </w:rPr>
        <w:t xml:space="preserve"> and “</w:t>
      </w:r>
      <w:r w:rsidR="00FC552C" w:rsidRPr="00D438A1">
        <w:rPr>
          <w:rFonts w:asciiTheme="majorHAnsi" w:hAnsiTheme="majorHAnsi"/>
          <w:sz w:val="20"/>
          <w:szCs w:val="20"/>
        </w:rPr>
        <w:t>rather, it is an aspirational document, imposing no enforceable obligation on any member nation of the Organization of American States.”</w:t>
      </w:r>
      <w:r w:rsidR="000C57C4" w:rsidRPr="00D438A1">
        <w:rPr>
          <w:rFonts w:asciiTheme="majorHAnsi" w:hAnsiTheme="majorHAnsi"/>
          <w:sz w:val="20"/>
          <w:szCs w:val="20"/>
        </w:rPr>
        <w:t xml:space="preserve"> The </w:t>
      </w:r>
      <w:r w:rsidR="00190043" w:rsidRPr="00D438A1">
        <w:rPr>
          <w:rFonts w:asciiTheme="majorHAnsi" w:hAnsiTheme="majorHAnsi"/>
          <w:sz w:val="20"/>
          <w:szCs w:val="20"/>
        </w:rPr>
        <w:t>court further concluded that</w:t>
      </w:r>
      <w:r w:rsidR="00377798" w:rsidRPr="00D438A1">
        <w:rPr>
          <w:rFonts w:asciiTheme="majorHAnsi" w:hAnsiTheme="majorHAnsi"/>
          <w:sz w:val="20"/>
          <w:szCs w:val="20"/>
        </w:rPr>
        <w:t xml:space="preserve"> </w:t>
      </w:r>
      <w:r w:rsidR="00190043" w:rsidRPr="00D438A1">
        <w:rPr>
          <w:rFonts w:asciiTheme="majorHAnsi" w:hAnsiTheme="majorHAnsi"/>
          <w:sz w:val="20"/>
          <w:szCs w:val="20"/>
        </w:rPr>
        <w:t xml:space="preserve">the Commission’s Statute provides that the Commission’s authority as to complaints against countries that have not ratified the American Convention on Human Rights is limited to making recommendations for what it might consider more effective observance of human rights. </w:t>
      </w:r>
      <w:r w:rsidR="004C622A" w:rsidRPr="00D438A1">
        <w:rPr>
          <w:rFonts w:asciiTheme="majorHAnsi" w:hAnsiTheme="majorHAnsi"/>
          <w:sz w:val="20"/>
          <w:szCs w:val="20"/>
        </w:rPr>
        <w:t>The court</w:t>
      </w:r>
      <w:r w:rsidR="001C65B1" w:rsidRPr="00D438A1">
        <w:rPr>
          <w:rFonts w:asciiTheme="majorHAnsi" w:hAnsiTheme="majorHAnsi"/>
          <w:sz w:val="20"/>
          <w:szCs w:val="20"/>
        </w:rPr>
        <w:t>, based on a number of precedents,</w:t>
      </w:r>
      <w:r w:rsidR="001C65B1" w:rsidRPr="00D438A1">
        <w:rPr>
          <w:rStyle w:val="FootnoteReference"/>
          <w:rFonts w:asciiTheme="majorHAnsi" w:hAnsiTheme="majorHAnsi"/>
          <w:sz w:val="20"/>
          <w:szCs w:val="20"/>
        </w:rPr>
        <w:footnoteReference w:id="32"/>
      </w:r>
      <w:r w:rsidR="004C622A" w:rsidRPr="00D438A1">
        <w:rPr>
          <w:rFonts w:asciiTheme="majorHAnsi" w:hAnsiTheme="majorHAnsi"/>
          <w:sz w:val="20"/>
          <w:szCs w:val="20"/>
        </w:rPr>
        <w:t xml:space="preserve"> conclude</w:t>
      </w:r>
      <w:r w:rsidR="00377798" w:rsidRPr="00D438A1">
        <w:rPr>
          <w:rFonts w:asciiTheme="majorHAnsi" w:hAnsiTheme="majorHAnsi"/>
          <w:sz w:val="20"/>
          <w:szCs w:val="20"/>
        </w:rPr>
        <w:t>d</w:t>
      </w:r>
      <w:r w:rsidR="004C622A" w:rsidRPr="00D438A1">
        <w:rPr>
          <w:rFonts w:asciiTheme="majorHAnsi" w:hAnsiTheme="majorHAnsi"/>
          <w:sz w:val="20"/>
          <w:szCs w:val="20"/>
        </w:rPr>
        <w:t xml:space="preserve"> that the request for precautionary measures “is simply a “request” which has no binding effect on either the United States government or [the Tennessee Supreme Court]”</w:t>
      </w:r>
      <w:r w:rsidR="001C65B1" w:rsidRPr="00D438A1">
        <w:rPr>
          <w:rFonts w:asciiTheme="majorHAnsi" w:hAnsiTheme="majorHAnsi"/>
          <w:sz w:val="20"/>
          <w:szCs w:val="20"/>
        </w:rPr>
        <w:t xml:space="preserve"> and  denied Mr. Thompson’s motion requesting a stay of execution to allow the Commission time to consider his petition.</w:t>
      </w:r>
      <w:r w:rsidR="00377798" w:rsidRPr="00D438A1">
        <w:rPr>
          <w:rStyle w:val="FootnoteReference"/>
          <w:rFonts w:asciiTheme="majorHAnsi" w:hAnsiTheme="majorHAnsi"/>
          <w:sz w:val="20"/>
          <w:szCs w:val="20"/>
        </w:rPr>
        <w:footnoteReference w:id="33"/>
      </w:r>
      <w:r w:rsidR="004C622A" w:rsidRPr="00D438A1">
        <w:rPr>
          <w:rFonts w:asciiTheme="majorHAnsi" w:hAnsiTheme="majorHAnsi"/>
          <w:sz w:val="20"/>
          <w:szCs w:val="20"/>
        </w:rPr>
        <w:t xml:space="preserve"> </w:t>
      </w:r>
    </w:p>
    <w:p w14:paraId="2D2ABAE3" w14:textId="77777777" w:rsidR="00CA600A" w:rsidRPr="00D438A1" w:rsidRDefault="00CA600A" w:rsidP="00CA600A">
      <w:pPr>
        <w:pStyle w:val="ListParagraph"/>
        <w:rPr>
          <w:rFonts w:asciiTheme="majorHAnsi" w:hAnsiTheme="majorHAnsi"/>
          <w:sz w:val="20"/>
          <w:szCs w:val="20"/>
        </w:rPr>
      </w:pPr>
    </w:p>
    <w:p w14:paraId="5B505B79" w14:textId="77777777" w:rsidR="00822C9F" w:rsidRPr="00D438A1" w:rsidRDefault="001676FE" w:rsidP="00CD1B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438A1">
        <w:rPr>
          <w:rFonts w:asciiTheme="majorHAnsi" w:hAnsiTheme="majorHAnsi"/>
          <w:sz w:val="20"/>
          <w:szCs w:val="20"/>
        </w:rPr>
        <w:lastRenderedPageBreak/>
        <w:t>With regard to the competency petition, t</w:t>
      </w:r>
      <w:r w:rsidR="00CC3FA1" w:rsidRPr="00D438A1">
        <w:rPr>
          <w:rFonts w:asciiTheme="majorHAnsi" w:hAnsiTheme="majorHAnsi"/>
          <w:sz w:val="20"/>
          <w:szCs w:val="20"/>
        </w:rPr>
        <w:t>he Tennessee Supreme Court concluded</w:t>
      </w:r>
      <w:r w:rsidR="00AC3EC1" w:rsidRPr="00D438A1">
        <w:rPr>
          <w:rFonts w:asciiTheme="majorHAnsi" w:hAnsiTheme="majorHAnsi"/>
          <w:sz w:val="20"/>
          <w:szCs w:val="20"/>
        </w:rPr>
        <w:t xml:space="preserve">, after a </w:t>
      </w:r>
      <w:r w:rsidR="00AC3EC1" w:rsidRPr="00D438A1">
        <w:rPr>
          <w:rFonts w:asciiTheme="majorHAnsi" w:hAnsiTheme="majorHAnsi"/>
          <w:i/>
          <w:sz w:val="20"/>
          <w:szCs w:val="20"/>
        </w:rPr>
        <w:t>de novo</w:t>
      </w:r>
      <w:r w:rsidR="00AC3EC1" w:rsidRPr="00D438A1">
        <w:rPr>
          <w:rFonts w:asciiTheme="majorHAnsi" w:hAnsiTheme="majorHAnsi"/>
          <w:sz w:val="20"/>
          <w:szCs w:val="20"/>
        </w:rPr>
        <w:t xml:space="preserve"> review,</w:t>
      </w:r>
      <w:r w:rsidR="00CC3FA1" w:rsidRPr="00D438A1">
        <w:rPr>
          <w:rFonts w:asciiTheme="majorHAnsi" w:hAnsiTheme="majorHAnsi"/>
          <w:sz w:val="20"/>
          <w:szCs w:val="20"/>
        </w:rPr>
        <w:t xml:space="preserve"> that the trial court correctly held that Mr. Thompson failed to make a threshold showing sufficient to warrant a hearing on his competence for execution.</w:t>
      </w:r>
      <w:r w:rsidR="00BA2531" w:rsidRPr="00D438A1">
        <w:rPr>
          <w:rFonts w:asciiTheme="majorHAnsi" w:hAnsiTheme="majorHAnsi"/>
          <w:sz w:val="20"/>
          <w:szCs w:val="20"/>
        </w:rPr>
        <w:t xml:space="preserve"> </w:t>
      </w:r>
      <w:r w:rsidR="00995410" w:rsidRPr="00D438A1">
        <w:rPr>
          <w:rFonts w:asciiTheme="majorHAnsi" w:hAnsiTheme="majorHAnsi"/>
          <w:sz w:val="20"/>
          <w:szCs w:val="20"/>
        </w:rPr>
        <w:t>Accordingly, the court held that “[t]he trial court did not err in concluding that Thompson failed to meet the threshold showing for an evidentiary hearing by establishing that there are genuine issues regarding his present competency to be executed.” It</w:t>
      </w:r>
      <w:r w:rsidR="00BA2531" w:rsidRPr="00D438A1">
        <w:rPr>
          <w:rFonts w:asciiTheme="majorHAnsi" w:hAnsiTheme="majorHAnsi"/>
          <w:sz w:val="20"/>
          <w:szCs w:val="20"/>
        </w:rPr>
        <w:t xml:space="preserve"> stated that a prisoner need only be aware of “the </w:t>
      </w:r>
      <w:r w:rsidR="00BA2531" w:rsidRPr="00D438A1">
        <w:rPr>
          <w:rFonts w:asciiTheme="majorHAnsi" w:hAnsiTheme="majorHAnsi"/>
          <w:i/>
          <w:sz w:val="20"/>
          <w:szCs w:val="20"/>
        </w:rPr>
        <w:t>fact</w:t>
      </w:r>
      <w:r w:rsidR="00BA2531" w:rsidRPr="00D438A1">
        <w:rPr>
          <w:rFonts w:asciiTheme="majorHAnsi" w:hAnsiTheme="majorHAnsi"/>
          <w:sz w:val="20"/>
          <w:szCs w:val="20"/>
        </w:rPr>
        <w:t xml:space="preserve"> of his or her impending execution and the </w:t>
      </w:r>
      <w:r w:rsidR="00BA2531" w:rsidRPr="00D438A1">
        <w:rPr>
          <w:rFonts w:asciiTheme="majorHAnsi" w:hAnsiTheme="majorHAnsi"/>
          <w:i/>
          <w:sz w:val="20"/>
          <w:szCs w:val="20"/>
        </w:rPr>
        <w:t>reason</w:t>
      </w:r>
      <w:r w:rsidR="00BA2531" w:rsidRPr="00D438A1">
        <w:rPr>
          <w:rFonts w:asciiTheme="majorHAnsi" w:hAnsiTheme="majorHAnsi"/>
          <w:sz w:val="20"/>
          <w:szCs w:val="20"/>
        </w:rPr>
        <w:t xml:space="preserve"> for it” to satisfy the competency required for execution of the death sentence”. </w:t>
      </w:r>
      <w:r w:rsidR="00CC3FA1" w:rsidRPr="00D438A1">
        <w:rPr>
          <w:rFonts w:asciiTheme="majorHAnsi" w:hAnsiTheme="majorHAnsi"/>
          <w:sz w:val="20"/>
          <w:szCs w:val="20"/>
        </w:rPr>
        <w:t xml:space="preserve">The court reasoned </w:t>
      </w:r>
      <w:r w:rsidR="00B14110" w:rsidRPr="00D438A1">
        <w:rPr>
          <w:rFonts w:asciiTheme="majorHAnsi" w:hAnsiTheme="majorHAnsi"/>
          <w:sz w:val="20"/>
          <w:szCs w:val="20"/>
        </w:rPr>
        <w:t>that</w:t>
      </w:r>
      <w:r w:rsidR="00EC2D55" w:rsidRPr="00D438A1">
        <w:rPr>
          <w:rFonts w:asciiTheme="majorHAnsi" w:hAnsiTheme="majorHAnsi"/>
          <w:sz w:val="20"/>
          <w:szCs w:val="20"/>
        </w:rPr>
        <w:t>,</w:t>
      </w:r>
      <w:r w:rsidR="00B14110" w:rsidRPr="00D438A1">
        <w:rPr>
          <w:rFonts w:asciiTheme="majorHAnsi" w:hAnsiTheme="majorHAnsi"/>
          <w:sz w:val="20"/>
          <w:szCs w:val="20"/>
        </w:rPr>
        <w:t xml:space="preserve"> although the reports indicate</w:t>
      </w:r>
      <w:r w:rsidR="00CC3FA1" w:rsidRPr="00D438A1">
        <w:rPr>
          <w:rFonts w:asciiTheme="majorHAnsi" w:hAnsiTheme="majorHAnsi"/>
          <w:sz w:val="20"/>
          <w:szCs w:val="20"/>
        </w:rPr>
        <w:t>d</w:t>
      </w:r>
      <w:r w:rsidR="00B14110" w:rsidRPr="00D438A1">
        <w:rPr>
          <w:rFonts w:asciiTheme="majorHAnsi" w:hAnsiTheme="majorHAnsi"/>
          <w:sz w:val="20"/>
          <w:szCs w:val="20"/>
        </w:rPr>
        <w:t xml:space="preserve"> </w:t>
      </w:r>
      <w:r w:rsidR="009E6ACE" w:rsidRPr="00D438A1">
        <w:rPr>
          <w:rFonts w:asciiTheme="majorHAnsi" w:hAnsiTheme="majorHAnsi"/>
          <w:sz w:val="20"/>
          <w:szCs w:val="20"/>
        </w:rPr>
        <w:t xml:space="preserve">Mr. </w:t>
      </w:r>
      <w:r w:rsidR="00B14110" w:rsidRPr="00D438A1">
        <w:rPr>
          <w:rFonts w:asciiTheme="majorHAnsi" w:hAnsiTheme="majorHAnsi"/>
          <w:sz w:val="20"/>
          <w:szCs w:val="20"/>
        </w:rPr>
        <w:t>Thompson suffered from schizophrenia, chronic undifferentiated type, they did not indicate that he was unaware of his impending execution and the reason for it</w:t>
      </w:r>
      <w:r w:rsidR="00AA52E1" w:rsidRPr="00D438A1">
        <w:rPr>
          <w:rFonts w:asciiTheme="majorHAnsi" w:hAnsiTheme="majorHAnsi"/>
          <w:sz w:val="20"/>
          <w:szCs w:val="20"/>
        </w:rPr>
        <w:t>.</w:t>
      </w:r>
      <w:r w:rsidR="00B14110" w:rsidRPr="00D438A1">
        <w:rPr>
          <w:rStyle w:val="FootnoteReference"/>
          <w:rFonts w:asciiTheme="majorHAnsi" w:hAnsiTheme="majorHAnsi"/>
          <w:sz w:val="20"/>
          <w:szCs w:val="20"/>
        </w:rPr>
        <w:footnoteReference w:id="34"/>
      </w:r>
      <w:r w:rsidR="00B14110" w:rsidRPr="00D438A1">
        <w:rPr>
          <w:rFonts w:asciiTheme="majorHAnsi" w:hAnsiTheme="majorHAnsi"/>
          <w:sz w:val="20"/>
          <w:szCs w:val="20"/>
        </w:rPr>
        <w:t xml:space="preserve"> </w:t>
      </w:r>
    </w:p>
    <w:p w14:paraId="34D215F6" w14:textId="77777777" w:rsidR="003B3B1F" w:rsidRPr="00D438A1" w:rsidRDefault="003B3B1F" w:rsidP="00E45DF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7AA15282" w14:textId="77777777" w:rsidR="00E3227C" w:rsidRDefault="00527A3F" w:rsidP="00E322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438A1">
        <w:rPr>
          <w:rFonts w:asciiTheme="majorHAnsi" w:hAnsiTheme="majorHAnsi"/>
          <w:sz w:val="20"/>
          <w:szCs w:val="20"/>
        </w:rPr>
        <w:t xml:space="preserve">On June 14, 2004, </w:t>
      </w:r>
      <w:r w:rsidR="009E6ACE" w:rsidRPr="00D438A1">
        <w:rPr>
          <w:rFonts w:asciiTheme="majorHAnsi" w:hAnsiTheme="majorHAnsi"/>
          <w:sz w:val="20"/>
          <w:szCs w:val="20"/>
        </w:rPr>
        <w:t xml:space="preserve">Mr. </w:t>
      </w:r>
      <w:r w:rsidRPr="00D438A1">
        <w:rPr>
          <w:rFonts w:asciiTheme="majorHAnsi" w:hAnsiTheme="majorHAnsi"/>
          <w:sz w:val="20"/>
          <w:szCs w:val="20"/>
        </w:rPr>
        <w:t>Thompson filed</w:t>
      </w:r>
      <w:r>
        <w:rPr>
          <w:rFonts w:asciiTheme="majorHAnsi" w:hAnsiTheme="majorHAnsi"/>
          <w:sz w:val="20"/>
          <w:szCs w:val="20"/>
        </w:rPr>
        <w:t xml:space="preserve"> a federal habeas corpus petition challenging the State court’s competency ruling and on June 21, 2004, the district cou</w:t>
      </w:r>
      <w:r w:rsidR="00E17C99">
        <w:rPr>
          <w:rFonts w:asciiTheme="majorHAnsi" w:hAnsiTheme="majorHAnsi"/>
          <w:sz w:val="20"/>
          <w:szCs w:val="20"/>
        </w:rPr>
        <w:t>rt stay</w:t>
      </w:r>
      <w:r>
        <w:rPr>
          <w:rFonts w:asciiTheme="majorHAnsi" w:hAnsiTheme="majorHAnsi"/>
          <w:sz w:val="20"/>
          <w:szCs w:val="20"/>
        </w:rPr>
        <w:t xml:space="preserve">ed </w:t>
      </w:r>
      <w:r w:rsidR="009E6ACE">
        <w:rPr>
          <w:rFonts w:asciiTheme="majorHAnsi" w:hAnsiTheme="majorHAnsi"/>
          <w:sz w:val="20"/>
          <w:szCs w:val="20"/>
        </w:rPr>
        <w:t xml:space="preserve">Mr. </w:t>
      </w:r>
      <w:r>
        <w:rPr>
          <w:rFonts w:asciiTheme="majorHAnsi" w:hAnsiTheme="majorHAnsi"/>
          <w:sz w:val="20"/>
          <w:szCs w:val="20"/>
        </w:rPr>
        <w:t xml:space="preserve">Thompson’s execution pending the outcome of </w:t>
      </w:r>
      <w:r w:rsidRPr="00690E12">
        <w:rPr>
          <w:rFonts w:asciiTheme="majorHAnsi" w:hAnsiTheme="majorHAnsi"/>
          <w:sz w:val="20"/>
          <w:szCs w:val="20"/>
        </w:rPr>
        <w:t>the petition</w:t>
      </w:r>
      <w:r w:rsidR="009565E5" w:rsidRPr="00690E12">
        <w:rPr>
          <w:rFonts w:asciiTheme="majorHAnsi" w:hAnsiTheme="majorHAnsi"/>
          <w:sz w:val="20"/>
          <w:szCs w:val="20"/>
        </w:rPr>
        <w:t>.</w:t>
      </w:r>
      <w:r w:rsidR="00635D46" w:rsidRPr="00690E12">
        <w:rPr>
          <w:rStyle w:val="FootnoteReference"/>
          <w:rFonts w:asciiTheme="majorHAnsi" w:hAnsiTheme="majorHAnsi"/>
          <w:sz w:val="20"/>
          <w:szCs w:val="20"/>
        </w:rPr>
        <w:footnoteReference w:id="35"/>
      </w:r>
      <w:r w:rsidR="00E17C99" w:rsidRPr="00690E12">
        <w:rPr>
          <w:rFonts w:asciiTheme="majorHAnsi" w:hAnsiTheme="majorHAnsi"/>
          <w:sz w:val="20"/>
          <w:szCs w:val="20"/>
        </w:rPr>
        <w:t xml:space="preserve"> </w:t>
      </w:r>
    </w:p>
    <w:p w14:paraId="19E744C2" w14:textId="77777777" w:rsidR="00E3227C" w:rsidRDefault="00E3227C" w:rsidP="00E3227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58457FF2" w14:textId="77777777" w:rsidR="00E3227C" w:rsidRPr="00E3227C" w:rsidRDefault="00E3227C" w:rsidP="00E322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90E12">
        <w:rPr>
          <w:rFonts w:asciiTheme="majorHAnsi" w:hAnsiTheme="majorHAnsi"/>
          <w:sz w:val="20"/>
          <w:szCs w:val="20"/>
        </w:rPr>
        <w:t xml:space="preserve">In 2004 Judge Suhrheinrich, of the Sixth Circuit Court, conducted </w:t>
      </w:r>
      <w:r w:rsidRPr="00690E12">
        <w:rPr>
          <w:rFonts w:asciiTheme="majorHAnsi" w:hAnsiTheme="majorHAnsi"/>
          <w:i/>
          <w:sz w:val="20"/>
          <w:szCs w:val="20"/>
        </w:rPr>
        <w:t>sua sponte</w:t>
      </w:r>
      <w:r w:rsidRPr="00690E12">
        <w:rPr>
          <w:rFonts w:asciiTheme="majorHAnsi" w:hAnsiTheme="majorHAnsi"/>
          <w:sz w:val="20"/>
          <w:szCs w:val="20"/>
        </w:rPr>
        <w:t xml:space="preserve"> a second, thorough review of the record and came to the conclusion that the facts as adduced in deposition testimony, not part of the district court record, supported the granting of the writ</w:t>
      </w:r>
      <w:r w:rsidR="00BA0DE1">
        <w:rPr>
          <w:rFonts w:asciiTheme="majorHAnsi" w:hAnsiTheme="majorHAnsi"/>
          <w:sz w:val="20"/>
          <w:szCs w:val="20"/>
        </w:rPr>
        <w:t xml:space="preserve"> filed in 1998</w:t>
      </w:r>
      <w:r w:rsidRPr="00690E12">
        <w:rPr>
          <w:rFonts w:asciiTheme="majorHAnsi" w:hAnsiTheme="majorHAnsi"/>
          <w:sz w:val="20"/>
          <w:szCs w:val="20"/>
        </w:rPr>
        <w:t xml:space="preserve">. The court concluded </w:t>
      </w:r>
      <w:r w:rsidRPr="0010059B">
        <w:rPr>
          <w:rFonts w:asciiTheme="majorHAnsi" w:hAnsiTheme="majorHAnsi"/>
          <w:sz w:val="20"/>
          <w:szCs w:val="20"/>
        </w:rPr>
        <w:t xml:space="preserve">that, </w:t>
      </w:r>
      <w:r w:rsidR="0010059B">
        <w:rPr>
          <w:rFonts w:asciiTheme="majorHAnsi" w:hAnsiTheme="majorHAnsi"/>
          <w:sz w:val="20"/>
          <w:szCs w:val="20"/>
        </w:rPr>
        <w:t>“</w:t>
      </w:r>
      <w:r w:rsidRPr="0010059B">
        <w:rPr>
          <w:rFonts w:asciiTheme="majorHAnsi" w:hAnsiTheme="majorHAnsi"/>
          <w:sz w:val="20"/>
          <w:szCs w:val="20"/>
        </w:rPr>
        <w:t>upon</w:t>
      </w:r>
      <w:r w:rsidRPr="00690E12">
        <w:rPr>
          <w:rFonts w:asciiTheme="majorHAnsi" w:hAnsiTheme="majorHAnsi"/>
          <w:sz w:val="20"/>
          <w:szCs w:val="20"/>
        </w:rPr>
        <w:t xml:space="preserve"> reviewing the deposition of Dr. Faye Sultan, and investigating the procedural complications of this case, it is clear that this extremely probative testimony requires that we vacate the district court's grant of summary judgment in favor of respondent.” Accordingly, the Sixth Circuit Court vacated the court’s decision and remanded the case for a full evidentiary hearing. Although appeal courts don’t include in the appellate record evidence that the district court did not consider, given Judge Suhrheinrich's assessment, the Sixth Circuit Court believed it was appropriate to expand the record on appeal to consider Dr. Sultan’s deposition.</w:t>
      </w:r>
      <w:r w:rsidRPr="00690E12">
        <w:rPr>
          <w:rStyle w:val="FootnoteReference"/>
          <w:rFonts w:asciiTheme="majorHAnsi" w:hAnsiTheme="majorHAnsi"/>
          <w:sz w:val="20"/>
          <w:szCs w:val="20"/>
        </w:rPr>
        <w:footnoteReference w:id="36"/>
      </w:r>
    </w:p>
    <w:p w14:paraId="7D4A4CF7" w14:textId="77777777" w:rsidR="00E3227C" w:rsidRDefault="00E3227C" w:rsidP="00E3227C">
      <w:pPr>
        <w:pStyle w:val="ListParagraph"/>
        <w:rPr>
          <w:rFonts w:asciiTheme="majorHAnsi" w:hAnsiTheme="majorHAnsi"/>
          <w:sz w:val="20"/>
          <w:szCs w:val="20"/>
        </w:rPr>
      </w:pPr>
    </w:p>
    <w:p w14:paraId="267788B5" w14:textId="77777777" w:rsidR="00527A3F" w:rsidRPr="00693D25" w:rsidRDefault="004B60B1" w:rsidP="00693D2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T</w:t>
      </w:r>
      <w:r w:rsidR="00D438A1" w:rsidRPr="00E3227C">
        <w:rPr>
          <w:rFonts w:asciiTheme="majorHAnsi" w:hAnsiTheme="majorHAnsi"/>
          <w:sz w:val="20"/>
          <w:szCs w:val="20"/>
        </w:rPr>
        <w:t xml:space="preserve">he habeas corpus proceeding concerning </w:t>
      </w:r>
      <w:r>
        <w:rPr>
          <w:rFonts w:asciiTheme="majorHAnsi" w:hAnsiTheme="majorHAnsi"/>
          <w:sz w:val="20"/>
          <w:szCs w:val="20"/>
        </w:rPr>
        <w:t>Mr. Thompson’s</w:t>
      </w:r>
      <w:r w:rsidR="00D438A1" w:rsidRPr="00E3227C">
        <w:rPr>
          <w:rFonts w:asciiTheme="majorHAnsi" w:hAnsiTheme="majorHAnsi"/>
          <w:sz w:val="20"/>
          <w:szCs w:val="20"/>
        </w:rPr>
        <w:t xml:space="preserve"> incompetency was stayed</w:t>
      </w:r>
      <w:r w:rsidR="00D438A1">
        <w:rPr>
          <w:rFonts w:asciiTheme="majorHAnsi" w:hAnsiTheme="majorHAnsi"/>
          <w:sz w:val="20"/>
          <w:szCs w:val="20"/>
        </w:rPr>
        <w:t xml:space="preserve">. </w:t>
      </w:r>
      <w:r w:rsidR="00693D25">
        <w:rPr>
          <w:rFonts w:asciiTheme="majorHAnsi" w:hAnsiTheme="majorHAnsi"/>
          <w:sz w:val="20"/>
          <w:szCs w:val="20"/>
        </w:rPr>
        <w:t>O</w:t>
      </w:r>
      <w:r w:rsidR="00E17C99">
        <w:rPr>
          <w:rFonts w:asciiTheme="majorHAnsi" w:hAnsiTheme="majorHAnsi"/>
          <w:sz w:val="20"/>
          <w:szCs w:val="20"/>
        </w:rPr>
        <w:t xml:space="preserve">n September 16, 2005, the district court lifted the stay of execution and the Tennessee Supreme Court set an execution date of February 7, 2006. </w:t>
      </w:r>
      <w:r w:rsidR="00CD46EA" w:rsidRPr="00693D25">
        <w:rPr>
          <w:rFonts w:asciiTheme="majorHAnsi" w:hAnsiTheme="majorHAnsi"/>
          <w:sz w:val="20"/>
          <w:szCs w:val="20"/>
        </w:rPr>
        <w:t>On September 23, 2005</w:t>
      </w:r>
      <w:r w:rsidR="000874D2" w:rsidRPr="00693D25">
        <w:rPr>
          <w:rFonts w:asciiTheme="majorHAnsi" w:hAnsiTheme="majorHAnsi"/>
          <w:sz w:val="20"/>
          <w:szCs w:val="20"/>
        </w:rPr>
        <w:t>,</w:t>
      </w:r>
      <w:r w:rsidR="00CD46EA" w:rsidRPr="00693D25">
        <w:rPr>
          <w:rFonts w:asciiTheme="majorHAnsi" w:hAnsiTheme="majorHAnsi"/>
          <w:sz w:val="20"/>
          <w:szCs w:val="20"/>
        </w:rPr>
        <w:t xml:space="preserve"> </w:t>
      </w:r>
      <w:r w:rsidR="009E6ACE" w:rsidRPr="00693D25">
        <w:rPr>
          <w:rFonts w:asciiTheme="majorHAnsi" w:hAnsiTheme="majorHAnsi"/>
          <w:sz w:val="20"/>
          <w:szCs w:val="20"/>
        </w:rPr>
        <w:t xml:space="preserve">Mr. </w:t>
      </w:r>
      <w:r w:rsidR="00CD46EA" w:rsidRPr="00693D25">
        <w:rPr>
          <w:rFonts w:asciiTheme="majorHAnsi" w:hAnsiTheme="majorHAnsi"/>
          <w:sz w:val="20"/>
          <w:szCs w:val="20"/>
        </w:rPr>
        <w:t xml:space="preserve">Thompson submitted a petition </w:t>
      </w:r>
      <w:r w:rsidR="0044578B" w:rsidRPr="00693D25">
        <w:rPr>
          <w:rFonts w:asciiTheme="majorHAnsi" w:hAnsiTheme="majorHAnsi"/>
          <w:sz w:val="20"/>
          <w:szCs w:val="20"/>
        </w:rPr>
        <w:t xml:space="preserve">allegedly </w:t>
      </w:r>
      <w:r w:rsidR="00CD46EA" w:rsidRPr="00693D25">
        <w:rPr>
          <w:rFonts w:asciiTheme="majorHAnsi" w:hAnsiTheme="majorHAnsi"/>
          <w:sz w:val="20"/>
          <w:szCs w:val="20"/>
        </w:rPr>
        <w:t>showing substantial change in his condition</w:t>
      </w:r>
      <w:r w:rsidR="000874D2" w:rsidRPr="00693D25">
        <w:rPr>
          <w:rFonts w:asciiTheme="majorHAnsi" w:hAnsiTheme="majorHAnsi"/>
          <w:sz w:val="20"/>
          <w:szCs w:val="20"/>
        </w:rPr>
        <w:t>. H</w:t>
      </w:r>
      <w:r w:rsidR="00CD46EA" w:rsidRPr="00693D25">
        <w:rPr>
          <w:rFonts w:asciiTheme="majorHAnsi" w:hAnsiTheme="majorHAnsi"/>
          <w:sz w:val="20"/>
          <w:szCs w:val="20"/>
        </w:rPr>
        <w:t>owever</w:t>
      </w:r>
      <w:r w:rsidR="004643C3" w:rsidRPr="00693D25">
        <w:rPr>
          <w:rFonts w:asciiTheme="majorHAnsi" w:hAnsiTheme="majorHAnsi"/>
          <w:sz w:val="20"/>
          <w:szCs w:val="20"/>
        </w:rPr>
        <w:t>,</w:t>
      </w:r>
      <w:r w:rsidR="00CD46EA" w:rsidRPr="00693D25">
        <w:rPr>
          <w:rFonts w:asciiTheme="majorHAnsi" w:hAnsiTheme="majorHAnsi"/>
          <w:sz w:val="20"/>
          <w:szCs w:val="20"/>
        </w:rPr>
        <w:t xml:space="preserve"> </w:t>
      </w:r>
      <w:r w:rsidR="0089306E" w:rsidRPr="00693D25">
        <w:rPr>
          <w:rFonts w:asciiTheme="majorHAnsi" w:hAnsiTheme="majorHAnsi"/>
          <w:sz w:val="20"/>
          <w:szCs w:val="20"/>
        </w:rPr>
        <w:t>on December 13, 2005</w:t>
      </w:r>
      <w:r w:rsidR="000874D2" w:rsidRPr="00693D25">
        <w:rPr>
          <w:rFonts w:asciiTheme="majorHAnsi" w:hAnsiTheme="majorHAnsi"/>
          <w:sz w:val="20"/>
          <w:szCs w:val="20"/>
        </w:rPr>
        <w:t>,</w:t>
      </w:r>
      <w:r w:rsidR="0089306E" w:rsidRPr="00693D25">
        <w:rPr>
          <w:rFonts w:asciiTheme="majorHAnsi" w:hAnsiTheme="majorHAnsi"/>
          <w:sz w:val="20"/>
          <w:szCs w:val="20"/>
        </w:rPr>
        <w:t xml:space="preserve"> </w:t>
      </w:r>
      <w:r w:rsidR="00CD46EA" w:rsidRPr="00693D25">
        <w:rPr>
          <w:rFonts w:asciiTheme="majorHAnsi" w:hAnsiTheme="majorHAnsi"/>
          <w:sz w:val="20"/>
          <w:szCs w:val="20"/>
        </w:rPr>
        <w:t>the Tennessee Su</w:t>
      </w:r>
      <w:r w:rsidR="0089306E" w:rsidRPr="00693D25">
        <w:rPr>
          <w:rFonts w:asciiTheme="majorHAnsi" w:hAnsiTheme="majorHAnsi"/>
          <w:sz w:val="20"/>
          <w:szCs w:val="20"/>
        </w:rPr>
        <w:t xml:space="preserve">preme Court denied the petition, finding that no substantial change had occurred </w:t>
      </w:r>
      <w:r w:rsidR="00CD46EA" w:rsidRPr="00693D25">
        <w:rPr>
          <w:rFonts w:asciiTheme="majorHAnsi" w:hAnsiTheme="majorHAnsi"/>
          <w:sz w:val="20"/>
          <w:szCs w:val="20"/>
        </w:rPr>
        <w:t>and did not address the additiona</w:t>
      </w:r>
      <w:r w:rsidR="009C2984" w:rsidRPr="00693D25">
        <w:rPr>
          <w:rFonts w:asciiTheme="majorHAnsi" w:hAnsiTheme="majorHAnsi"/>
          <w:sz w:val="20"/>
          <w:szCs w:val="20"/>
        </w:rPr>
        <w:t>l Eight Amendment claim; which submitted that</w:t>
      </w:r>
      <w:r w:rsidR="00CD46EA" w:rsidRPr="00693D25">
        <w:rPr>
          <w:rFonts w:asciiTheme="majorHAnsi" w:hAnsiTheme="majorHAnsi"/>
          <w:sz w:val="20"/>
          <w:szCs w:val="20"/>
        </w:rPr>
        <w:t xml:space="preserve"> execution </w:t>
      </w:r>
      <w:r w:rsidR="009C2984" w:rsidRPr="00693D25">
        <w:rPr>
          <w:rFonts w:asciiTheme="majorHAnsi" w:hAnsiTheme="majorHAnsi"/>
          <w:sz w:val="20"/>
          <w:szCs w:val="20"/>
        </w:rPr>
        <w:t xml:space="preserve">would be </w:t>
      </w:r>
      <w:r w:rsidR="00CD46EA" w:rsidRPr="00693D25">
        <w:rPr>
          <w:rFonts w:asciiTheme="majorHAnsi" w:hAnsiTheme="majorHAnsi"/>
          <w:sz w:val="20"/>
          <w:szCs w:val="20"/>
        </w:rPr>
        <w:t xml:space="preserve">barred if </w:t>
      </w:r>
      <w:r w:rsidR="009E6ACE" w:rsidRPr="00693D25">
        <w:rPr>
          <w:rFonts w:asciiTheme="majorHAnsi" w:hAnsiTheme="majorHAnsi"/>
          <w:sz w:val="20"/>
          <w:szCs w:val="20"/>
        </w:rPr>
        <w:t xml:space="preserve">Mr. </w:t>
      </w:r>
      <w:r w:rsidR="00CD46EA" w:rsidRPr="00693D25">
        <w:rPr>
          <w:rFonts w:asciiTheme="majorHAnsi" w:hAnsiTheme="majorHAnsi"/>
          <w:sz w:val="20"/>
          <w:szCs w:val="20"/>
        </w:rPr>
        <w:t>Thompson</w:t>
      </w:r>
      <w:r w:rsidR="009C2984" w:rsidRPr="00693D25">
        <w:rPr>
          <w:rFonts w:asciiTheme="majorHAnsi" w:hAnsiTheme="majorHAnsi"/>
          <w:sz w:val="20"/>
          <w:szCs w:val="20"/>
        </w:rPr>
        <w:t xml:space="preserve">’s competence </w:t>
      </w:r>
      <w:r w:rsidR="00CD46EA" w:rsidRPr="00693D25">
        <w:rPr>
          <w:rFonts w:asciiTheme="majorHAnsi" w:hAnsiTheme="majorHAnsi"/>
          <w:sz w:val="20"/>
          <w:szCs w:val="20"/>
        </w:rPr>
        <w:t xml:space="preserve">for execution </w:t>
      </w:r>
      <w:r w:rsidR="009C2984" w:rsidRPr="00693D25">
        <w:rPr>
          <w:rFonts w:asciiTheme="majorHAnsi" w:hAnsiTheme="majorHAnsi"/>
          <w:sz w:val="20"/>
          <w:szCs w:val="20"/>
        </w:rPr>
        <w:t>was based on his mental competence caused by medication he took</w:t>
      </w:r>
      <w:r w:rsidR="00CD46EA" w:rsidRPr="00693D25">
        <w:rPr>
          <w:rFonts w:asciiTheme="majorHAnsi" w:hAnsiTheme="majorHAnsi"/>
          <w:sz w:val="20"/>
          <w:szCs w:val="20"/>
        </w:rPr>
        <w:t xml:space="preserve"> involuntarily. </w:t>
      </w:r>
    </w:p>
    <w:p w14:paraId="52C44DA9" w14:textId="77777777" w:rsidR="00DD1967" w:rsidRDefault="00DD1967" w:rsidP="00DD1967">
      <w:pPr>
        <w:pStyle w:val="ListParagraph"/>
        <w:rPr>
          <w:rFonts w:asciiTheme="majorHAnsi" w:hAnsiTheme="majorHAnsi"/>
          <w:sz w:val="20"/>
          <w:szCs w:val="20"/>
        </w:rPr>
      </w:pPr>
    </w:p>
    <w:p w14:paraId="4FE4384A" w14:textId="77777777" w:rsidR="00322115" w:rsidRDefault="00DD1967"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The habeas corpus petition </w:t>
      </w:r>
      <w:r w:rsidR="004B60B1">
        <w:rPr>
          <w:rFonts w:asciiTheme="majorHAnsi" w:hAnsiTheme="majorHAnsi"/>
          <w:sz w:val="20"/>
          <w:szCs w:val="20"/>
        </w:rPr>
        <w:t>challenging the competency ruling from June 14, 2004</w:t>
      </w:r>
      <w:r w:rsidR="005D63C0">
        <w:rPr>
          <w:rFonts w:asciiTheme="majorHAnsi" w:hAnsiTheme="majorHAnsi"/>
          <w:sz w:val="20"/>
          <w:szCs w:val="20"/>
        </w:rPr>
        <w:t>, before th</w:t>
      </w:r>
      <w:r>
        <w:rPr>
          <w:rFonts w:asciiTheme="majorHAnsi" w:hAnsiTheme="majorHAnsi"/>
          <w:sz w:val="20"/>
          <w:szCs w:val="20"/>
        </w:rPr>
        <w:t xml:space="preserve">e district court </w:t>
      </w:r>
      <w:r w:rsidRPr="00175596">
        <w:rPr>
          <w:rFonts w:asciiTheme="majorHAnsi" w:hAnsiTheme="majorHAnsi"/>
          <w:sz w:val="20"/>
          <w:szCs w:val="20"/>
        </w:rPr>
        <w:t>resumed</w:t>
      </w:r>
      <w:r>
        <w:rPr>
          <w:rFonts w:asciiTheme="majorHAnsi" w:hAnsiTheme="majorHAnsi"/>
          <w:sz w:val="20"/>
          <w:szCs w:val="20"/>
        </w:rPr>
        <w:t xml:space="preserve">, </w:t>
      </w:r>
      <w:r w:rsidR="00977029">
        <w:rPr>
          <w:rFonts w:asciiTheme="majorHAnsi" w:hAnsiTheme="majorHAnsi"/>
          <w:sz w:val="20"/>
          <w:szCs w:val="20"/>
        </w:rPr>
        <w:t>but was dismissed on May 4, 2006</w:t>
      </w:r>
      <w:r w:rsidR="008010B2">
        <w:rPr>
          <w:rFonts w:asciiTheme="majorHAnsi" w:hAnsiTheme="majorHAnsi"/>
          <w:sz w:val="20"/>
          <w:szCs w:val="20"/>
        </w:rPr>
        <w:t>,</w:t>
      </w:r>
      <w:r w:rsidR="00977029">
        <w:rPr>
          <w:rFonts w:asciiTheme="majorHAnsi" w:hAnsiTheme="majorHAnsi"/>
          <w:sz w:val="20"/>
          <w:szCs w:val="20"/>
        </w:rPr>
        <w:t xml:space="preserve"> with a finding that the state court’s decision on </w:t>
      </w:r>
      <w:r w:rsidR="009E6ACE">
        <w:rPr>
          <w:rFonts w:asciiTheme="majorHAnsi" w:hAnsiTheme="majorHAnsi"/>
          <w:sz w:val="20"/>
          <w:szCs w:val="20"/>
        </w:rPr>
        <w:t xml:space="preserve">Mr. </w:t>
      </w:r>
      <w:r w:rsidR="00977029">
        <w:rPr>
          <w:rFonts w:asciiTheme="majorHAnsi" w:hAnsiTheme="majorHAnsi"/>
          <w:sz w:val="20"/>
          <w:szCs w:val="20"/>
        </w:rPr>
        <w:t>Thompson’s present competency was neither contrary to nor an unreasonable application of clearly established federal law, nor an unreasonable determination of the facts</w:t>
      </w:r>
      <w:r w:rsidR="008010B2">
        <w:rPr>
          <w:rFonts w:asciiTheme="majorHAnsi" w:hAnsiTheme="majorHAnsi"/>
          <w:sz w:val="20"/>
          <w:szCs w:val="20"/>
        </w:rPr>
        <w:t>. W</w:t>
      </w:r>
      <w:r w:rsidR="00977029">
        <w:rPr>
          <w:rFonts w:asciiTheme="majorHAnsi" w:hAnsiTheme="majorHAnsi"/>
          <w:sz w:val="20"/>
          <w:szCs w:val="20"/>
        </w:rPr>
        <w:t xml:space="preserve">ith respect to the Eighth Amendment claim, the district court determined the claim was in procedural </w:t>
      </w:r>
      <w:r w:rsidR="00CE4A45">
        <w:rPr>
          <w:rFonts w:asciiTheme="majorHAnsi" w:hAnsiTheme="majorHAnsi"/>
          <w:sz w:val="20"/>
          <w:szCs w:val="20"/>
        </w:rPr>
        <w:t>default and time-barred, and that</w:t>
      </w:r>
      <w:r w:rsidR="00977029">
        <w:rPr>
          <w:rFonts w:asciiTheme="majorHAnsi" w:hAnsiTheme="majorHAnsi"/>
          <w:sz w:val="20"/>
          <w:szCs w:val="20"/>
        </w:rPr>
        <w:t xml:space="preserve"> </w:t>
      </w:r>
      <w:r w:rsidR="009E6ACE">
        <w:rPr>
          <w:rFonts w:asciiTheme="majorHAnsi" w:hAnsiTheme="majorHAnsi"/>
          <w:sz w:val="20"/>
          <w:szCs w:val="20"/>
        </w:rPr>
        <w:t xml:space="preserve">Mr. </w:t>
      </w:r>
      <w:r w:rsidR="00977029" w:rsidRPr="00175596">
        <w:rPr>
          <w:rFonts w:asciiTheme="majorHAnsi" w:hAnsiTheme="majorHAnsi"/>
          <w:sz w:val="20"/>
          <w:szCs w:val="20"/>
        </w:rPr>
        <w:t xml:space="preserve">Thompson failed to state the claim. </w:t>
      </w:r>
      <w:r w:rsidR="009E6ACE" w:rsidRPr="00175596">
        <w:rPr>
          <w:rFonts w:asciiTheme="majorHAnsi" w:hAnsiTheme="majorHAnsi"/>
          <w:sz w:val="20"/>
          <w:szCs w:val="20"/>
        </w:rPr>
        <w:t xml:space="preserve">Mr. </w:t>
      </w:r>
      <w:r w:rsidR="006F6E19" w:rsidRPr="00175596">
        <w:rPr>
          <w:rFonts w:asciiTheme="majorHAnsi" w:hAnsiTheme="majorHAnsi"/>
          <w:sz w:val="20"/>
          <w:szCs w:val="20"/>
        </w:rPr>
        <w:t>Thompson appealed</w:t>
      </w:r>
      <w:r w:rsidR="0089306E" w:rsidRPr="00175596">
        <w:rPr>
          <w:rFonts w:asciiTheme="majorHAnsi" w:hAnsiTheme="majorHAnsi"/>
          <w:sz w:val="20"/>
          <w:szCs w:val="20"/>
        </w:rPr>
        <w:t xml:space="preserve"> with respect to </w:t>
      </w:r>
      <w:r w:rsidR="008010B2" w:rsidRPr="00175596">
        <w:rPr>
          <w:rFonts w:asciiTheme="majorHAnsi" w:hAnsiTheme="majorHAnsi"/>
          <w:sz w:val="20"/>
          <w:szCs w:val="20"/>
        </w:rPr>
        <w:t>the</w:t>
      </w:r>
      <w:r w:rsidR="0089306E" w:rsidRPr="00175596">
        <w:rPr>
          <w:rFonts w:asciiTheme="majorHAnsi" w:hAnsiTheme="majorHAnsi"/>
          <w:sz w:val="20"/>
          <w:szCs w:val="20"/>
        </w:rPr>
        <w:t xml:space="preserve"> incompetency</w:t>
      </w:r>
      <w:r w:rsidR="008010B2" w:rsidRPr="00175596">
        <w:rPr>
          <w:rFonts w:asciiTheme="majorHAnsi" w:hAnsiTheme="majorHAnsi"/>
          <w:sz w:val="20"/>
          <w:szCs w:val="20"/>
        </w:rPr>
        <w:t xml:space="preserve"> claim</w:t>
      </w:r>
      <w:r w:rsidR="006F6E19" w:rsidRPr="00175596">
        <w:rPr>
          <w:rFonts w:asciiTheme="majorHAnsi" w:hAnsiTheme="majorHAnsi"/>
          <w:sz w:val="20"/>
          <w:szCs w:val="20"/>
        </w:rPr>
        <w:t xml:space="preserve">. </w:t>
      </w:r>
    </w:p>
    <w:p w14:paraId="01505E4E" w14:textId="77777777" w:rsidR="00322115" w:rsidRDefault="00322115" w:rsidP="00322115">
      <w:pPr>
        <w:pStyle w:val="ListParagraph"/>
        <w:rPr>
          <w:rFonts w:asciiTheme="majorHAnsi" w:hAnsiTheme="majorHAnsi"/>
          <w:sz w:val="20"/>
          <w:szCs w:val="20"/>
        </w:rPr>
      </w:pPr>
    </w:p>
    <w:p w14:paraId="033E8DA3" w14:textId="77777777" w:rsidR="009D72C0" w:rsidRDefault="00C2384A"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331CA">
        <w:rPr>
          <w:rFonts w:asciiTheme="majorHAnsi" w:hAnsiTheme="majorHAnsi"/>
          <w:sz w:val="20"/>
          <w:szCs w:val="20"/>
        </w:rPr>
        <w:t>By a decision of September 11, 2009, t</w:t>
      </w:r>
      <w:r w:rsidR="00BC7493" w:rsidRPr="000331CA">
        <w:rPr>
          <w:rFonts w:asciiTheme="majorHAnsi" w:hAnsiTheme="majorHAnsi"/>
          <w:sz w:val="20"/>
          <w:szCs w:val="20"/>
        </w:rPr>
        <w:t xml:space="preserve">he Court of Appeals </w:t>
      </w:r>
      <w:r w:rsidR="004438A4" w:rsidRPr="000331CA">
        <w:rPr>
          <w:rFonts w:asciiTheme="majorHAnsi" w:hAnsiTheme="majorHAnsi"/>
          <w:sz w:val="20"/>
          <w:szCs w:val="20"/>
        </w:rPr>
        <w:t>decided</w:t>
      </w:r>
      <w:r w:rsidR="00BC7493" w:rsidRPr="000331CA">
        <w:rPr>
          <w:rFonts w:asciiTheme="majorHAnsi" w:hAnsiTheme="majorHAnsi"/>
          <w:sz w:val="20"/>
          <w:szCs w:val="20"/>
        </w:rPr>
        <w:t xml:space="preserve"> that the Tennessee courts </w:t>
      </w:r>
      <w:r w:rsidR="004438A4" w:rsidRPr="000331CA">
        <w:rPr>
          <w:rFonts w:asciiTheme="majorHAnsi" w:hAnsiTheme="majorHAnsi"/>
          <w:sz w:val="20"/>
          <w:szCs w:val="20"/>
        </w:rPr>
        <w:t xml:space="preserve">indeed </w:t>
      </w:r>
      <w:r w:rsidR="00BC7493" w:rsidRPr="000331CA">
        <w:rPr>
          <w:rFonts w:asciiTheme="majorHAnsi" w:hAnsiTheme="majorHAnsi"/>
          <w:sz w:val="20"/>
          <w:szCs w:val="20"/>
        </w:rPr>
        <w:t xml:space="preserve">unreasonably applied federal law clearly established and remanded the action to the district court to conduct </w:t>
      </w:r>
      <w:r w:rsidR="009E6ACE">
        <w:rPr>
          <w:rFonts w:asciiTheme="majorHAnsi" w:hAnsiTheme="majorHAnsi"/>
          <w:sz w:val="20"/>
          <w:szCs w:val="20"/>
        </w:rPr>
        <w:t xml:space="preserve">Mr. </w:t>
      </w:r>
      <w:r w:rsidR="00BC7493" w:rsidRPr="000331CA">
        <w:rPr>
          <w:rFonts w:asciiTheme="majorHAnsi" w:hAnsiTheme="majorHAnsi"/>
          <w:sz w:val="20"/>
          <w:szCs w:val="20"/>
        </w:rPr>
        <w:t xml:space="preserve">Thompson’s incompetency hearing </w:t>
      </w:r>
      <w:r w:rsidR="00BC7493" w:rsidRPr="000331CA">
        <w:rPr>
          <w:rFonts w:asciiTheme="majorHAnsi" w:hAnsiTheme="majorHAnsi"/>
          <w:i/>
          <w:sz w:val="20"/>
          <w:szCs w:val="20"/>
        </w:rPr>
        <w:t>de novo</w:t>
      </w:r>
      <w:r w:rsidR="006B5DF3">
        <w:rPr>
          <w:rFonts w:asciiTheme="majorHAnsi" w:hAnsiTheme="majorHAnsi"/>
          <w:i/>
          <w:sz w:val="20"/>
          <w:szCs w:val="20"/>
        </w:rPr>
        <w:t>.</w:t>
      </w:r>
      <w:r w:rsidR="000F0503">
        <w:rPr>
          <w:rStyle w:val="FootnoteReference"/>
          <w:rFonts w:asciiTheme="majorHAnsi" w:hAnsiTheme="majorHAnsi"/>
          <w:i/>
          <w:sz w:val="20"/>
          <w:szCs w:val="20"/>
        </w:rPr>
        <w:footnoteReference w:id="37"/>
      </w:r>
      <w:r w:rsidR="00322115" w:rsidRPr="000331CA">
        <w:rPr>
          <w:rFonts w:asciiTheme="majorHAnsi" w:hAnsiTheme="majorHAnsi"/>
          <w:sz w:val="20"/>
          <w:szCs w:val="20"/>
        </w:rPr>
        <w:t xml:space="preserve"> The analysis </w:t>
      </w:r>
      <w:r w:rsidR="004438A4" w:rsidRPr="000331CA">
        <w:rPr>
          <w:rFonts w:asciiTheme="majorHAnsi" w:hAnsiTheme="majorHAnsi"/>
          <w:sz w:val="20"/>
          <w:szCs w:val="20"/>
        </w:rPr>
        <w:t>took into account</w:t>
      </w:r>
      <w:r w:rsidR="00322115" w:rsidRPr="000331CA">
        <w:rPr>
          <w:rFonts w:asciiTheme="majorHAnsi" w:hAnsiTheme="majorHAnsi"/>
          <w:sz w:val="20"/>
          <w:szCs w:val="20"/>
        </w:rPr>
        <w:t xml:space="preserve"> that the “Eight Amendment prohibits a State from carrying out a sentence of death upon a prisoner who is insane</w:t>
      </w:r>
      <w:r w:rsidR="006B5DF3">
        <w:rPr>
          <w:rFonts w:asciiTheme="majorHAnsi" w:hAnsiTheme="majorHAnsi"/>
          <w:sz w:val="20"/>
          <w:szCs w:val="20"/>
        </w:rPr>
        <w:t>;”</w:t>
      </w:r>
      <w:r w:rsidR="00322115" w:rsidRPr="00A00F6B">
        <w:rPr>
          <w:rStyle w:val="FootnoteReference"/>
          <w:rFonts w:asciiTheme="majorHAnsi" w:hAnsiTheme="majorHAnsi"/>
          <w:sz w:val="20"/>
          <w:szCs w:val="20"/>
        </w:rPr>
        <w:footnoteReference w:id="38"/>
      </w:r>
      <w:r w:rsidR="00322115" w:rsidRPr="000331CA">
        <w:rPr>
          <w:rFonts w:asciiTheme="majorHAnsi" w:hAnsiTheme="majorHAnsi"/>
          <w:sz w:val="20"/>
          <w:szCs w:val="20"/>
        </w:rPr>
        <w:t xml:space="preserve"> and for the purpose of execution a prisoner is </w:t>
      </w:r>
      <w:r w:rsidR="00C91299" w:rsidRPr="000331CA">
        <w:rPr>
          <w:rFonts w:asciiTheme="majorHAnsi" w:hAnsiTheme="majorHAnsi"/>
          <w:sz w:val="20"/>
          <w:szCs w:val="20"/>
        </w:rPr>
        <w:t>insane if</w:t>
      </w:r>
      <w:r w:rsidR="00322115" w:rsidRPr="000331CA">
        <w:rPr>
          <w:rFonts w:asciiTheme="majorHAnsi" w:hAnsiTheme="majorHAnsi"/>
          <w:sz w:val="20"/>
          <w:szCs w:val="20"/>
        </w:rPr>
        <w:t xml:space="preserve"> he/she is “unaware of the punishment they are about to suffer and why they are to suffer it</w:t>
      </w:r>
      <w:r w:rsidR="006B5DF3">
        <w:rPr>
          <w:rFonts w:asciiTheme="majorHAnsi" w:hAnsiTheme="majorHAnsi"/>
          <w:sz w:val="20"/>
          <w:szCs w:val="20"/>
        </w:rPr>
        <w:t>.</w:t>
      </w:r>
      <w:r w:rsidR="00322115" w:rsidRPr="000331CA">
        <w:rPr>
          <w:rFonts w:asciiTheme="majorHAnsi" w:hAnsiTheme="majorHAnsi"/>
          <w:sz w:val="20"/>
          <w:szCs w:val="20"/>
        </w:rPr>
        <w:t>”</w:t>
      </w:r>
      <w:r w:rsidR="00322115" w:rsidRPr="00A00F6B">
        <w:rPr>
          <w:rStyle w:val="FootnoteReference"/>
          <w:rFonts w:asciiTheme="majorHAnsi" w:hAnsiTheme="majorHAnsi"/>
          <w:sz w:val="20"/>
          <w:szCs w:val="20"/>
        </w:rPr>
        <w:footnoteReference w:id="39"/>
      </w:r>
      <w:r w:rsidR="000331CA" w:rsidRPr="000331CA">
        <w:rPr>
          <w:rFonts w:asciiTheme="majorHAnsi" w:hAnsiTheme="majorHAnsi"/>
          <w:sz w:val="20"/>
          <w:szCs w:val="20"/>
        </w:rPr>
        <w:t xml:space="preserve"> </w:t>
      </w:r>
    </w:p>
    <w:p w14:paraId="11CC5BA5" w14:textId="77777777" w:rsidR="000331CA" w:rsidRPr="000331CA" w:rsidRDefault="000331CA" w:rsidP="000331C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7E4751B" w14:textId="77777777" w:rsidR="001A0F47" w:rsidRDefault="00C2384A"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The Court of Appeals furthered ruled that the claim was not in procedural default as Mr. Thompson presented his petition to the Tennessee Supreme Court in his substantial change petition and was not time barred as the claim was made before the one year limitation period expired as it was introduced in his amended </w:t>
      </w:r>
      <w:r>
        <w:rPr>
          <w:rFonts w:asciiTheme="majorHAnsi" w:hAnsiTheme="majorHAnsi"/>
          <w:sz w:val="20"/>
          <w:szCs w:val="20"/>
        </w:rPr>
        <w:lastRenderedPageBreak/>
        <w:t>federal habeas corpus petition on March 17, 2006.</w:t>
      </w:r>
      <w:r w:rsidR="006B1650">
        <w:rPr>
          <w:rFonts w:asciiTheme="majorHAnsi" w:hAnsiTheme="majorHAnsi"/>
          <w:sz w:val="20"/>
          <w:szCs w:val="20"/>
        </w:rPr>
        <w:t xml:space="preserve"> </w:t>
      </w:r>
      <w:r w:rsidR="00DA6800">
        <w:rPr>
          <w:rFonts w:asciiTheme="majorHAnsi" w:hAnsiTheme="majorHAnsi"/>
          <w:sz w:val="20"/>
          <w:szCs w:val="20"/>
        </w:rPr>
        <w:t>Regarding whether the Eight Amendment prohibited the execution of a prisoner rendered competent through forced administration of medication</w:t>
      </w:r>
      <w:r w:rsidR="008010B2">
        <w:rPr>
          <w:rFonts w:asciiTheme="majorHAnsi" w:hAnsiTheme="majorHAnsi"/>
          <w:sz w:val="20"/>
          <w:szCs w:val="20"/>
        </w:rPr>
        <w:t>,</w:t>
      </w:r>
      <w:r w:rsidR="006B1650">
        <w:rPr>
          <w:rFonts w:asciiTheme="majorHAnsi" w:hAnsiTheme="majorHAnsi"/>
          <w:sz w:val="20"/>
          <w:szCs w:val="20"/>
        </w:rPr>
        <w:t xml:space="preserve"> the Court of Appeals held that the </w:t>
      </w:r>
      <w:r w:rsidR="008010B2">
        <w:rPr>
          <w:rFonts w:asciiTheme="majorHAnsi" w:hAnsiTheme="majorHAnsi"/>
          <w:sz w:val="20"/>
          <w:szCs w:val="20"/>
        </w:rPr>
        <w:t>d</w:t>
      </w:r>
      <w:r w:rsidR="006B1650">
        <w:rPr>
          <w:rFonts w:asciiTheme="majorHAnsi" w:hAnsiTheme="majorHAnsi"/>
          <w:sz w:val="20"/>
          <w:szCs w:val="20"/>
        </w:rPr>
        <w:t xml:space="preserve">istrict </w:t>
      </w:r>
      <w:r w:rsidR="008010B2">
        <w:rPr>
          <w:rFonts w:asciiTheme="majorHAnsi" w:hAnsiTheme="majorHAnsi"/>
          <w:sz w:val="20"/>
          <w:szCs w:val="20"/>
        </w:rPr>
        <w:t>c</w:t>
      </w:r>
      <w:r w:rsidR="006B1650">
        <w:rPr>
          <w:rFonts w:asciiTheme="majorHAnsi" w:hAnsiTheme="majorHAnsi"/>
          <w:sz w:val="20"/>
          <w:szCs w:val="20"/>
        </w:rPr>
        <w:t xml:space="preserve">ourt did not err in holding that </w:t>
      </w:r>
      <w:r w:rsidR="009E6ACE">
        <w:rPr>
          <w:rFonts w:asciiTheme="majorHAnsi" w:hAnsiTheme="majorHAnsi"/>
          <w:sz w:val="20"/>
          <w:szCs w:val="20"/>
        </w:rPr>
        <w:t xml:space="preserve">Mr. </w:t>
      </w:r>
      <w:r w:rsidR="006B1650">
        <w:rPr>
          <w:rFonts w:asciiTheme="majorHAnsi" w:hAnsiTheme="majorHAnsi"/>
          <w:sz w:val="20"/>
          <w:szCs w:val="20"/>
        </w:rPr>
        <w:t>Thompson failed to state a claim</w:t>
      </w:r>
      <w:r w:rsidR="00DA6800">
        <w:rPr>
          <w:rFonts w:asciiTheme="majorHAnsi" w:hAnsiTheme="majorHAnsi"/>
          <w:sz w:val="20"/>
          <w:szCs w:val="20"/>
        </w:rPr>
        <w:t>, this is</w:t>
      </w:r>
      <w:r w:rsidR="006B1650">
        <w:rPr>
          <w:rFonts w:asciiTheme="majorHAnsi" w:hAnsiTheme="majorHAnsi"/>
          <w:sz w:val="20"/>
          <w:szCs w:val="20"/>
        </w:rPr>
        <w:t xml:space="preserve"> because Mr. Thompson was not being forcibly medicated at the time and his circumstance was not applicable to the resolve of</w:t>
      </w:r>
      <w:r w:rsidR="00DA6800">
        <w:rPr>
          <w:rFonts w:asciiTheme="majorHAnsi" w:hAnsiTheme="majorHAnsi"/>
          <w:sz w:val="20"/>
          <w:szCs w:val="20"/>
        </w:rPr>
        <w:t xml:space="preserve"> said claim</w:t>
      </w:r>
      <w:r w:rsidR="006B1650">
        <w:rPr>
          <w:rFonts w:asciiTheme="majorHAnsi" w:hAnsiTheme="majorHAnsi"/>
          <w:sz w:val="20"/>
          <w:szCs w:val="20"/>
        </w:rPr>
        <w:t>.</w:t>
      </w:r>
    </w:p>
    <w:p w14:paraId="426D8C26" w14:textId="77777777" w:rsidR="001A0F47" w:rsidRDefault="001A0F47" w:rsidP="001A0F47">
      <w:pPr>
        <w:pStyle w:val="ListParagraph"/>
        <w:rPr>
          <w:rFonts w:asciiTheme="majorHAnsi" w:hAnsiTheme="majorHAnsi"/>
          <w:sz w:val="20"/>
          <w:szCs w:val="20"/>
        </w:rPr>
      </w:pPr>
    </w:p>
    <w:p w14:paraId="7FA66F35" w14:textId="77777777" w:rsidR="000331CA" w:rsidRPr="00AD671A" w:rsidRDefault="000331CA"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1A0F47">
        <w:rPr>
          <w:rFonts w:asciiTheme="majorHAnsi" w:hAnsiTheme="majorHAnsi"/>
          <w:sz w:val="20"/>
          <w:szCs w:val="20"/>
        </w:rPr>
        <w:t xml:space="preserve">The conclusion of the Court of Appeals however specified that the District Court would first rule on the merits of </w:t>
      </w:r>
      <w:r w:rsidR="009E6ACE">
        <w:rPr>
          <w:rFonts w:asciiTheme="majorHAnsi" w:hAnsiTheme="majorHAnsi"/>
          <w:sz w:val="20"/>
          <w:szCs w:val="20"/>
        </w:rPr>
        <w:t xml:space="preserve">Mr. </w:t>
      </w:r>
      <w:r w:rsidRPr="001A0F47">
        <w:rPr>
          <w:rFonts w:asciiTheme="majorHAnsi" w:hAnsiTheme="majorHAnsi"/>
          <w:sz w:val="20"/>
          <w:szCs w:val="20"/>
        </w:rPr>
        <w:t>Thompson’s remaining ineffective assistance claims, and would only address the incompetency question if it rejected the ineffective assistance claims on their merits. If it did reject the ineffective assistance claims</w:t>
      </w:r>
      <w:r w:rsidRPr="00AD671A">
        <w:rPr>
          <w:rFonts w:asciiTheme="majorHAnsi" w:hAnsiTheme="majorHAnsi"/>
          <w:sz w:val="20"/>
          <w:szCs w:val="20"/>
        </w:rPr>
        <w:t xml:space="preserve">, it must then conduct an evidentiary hearing to determine </w:t>
      </w:r>
      <w:r w:rsidR="009E6ACE" w:rsidRPr="00AD671A">
        <w:rPr>
          <w:rFonts w:asciiTheme="majorHAnsi" w:hAnsiTheme="majorHAnsi"/>
          <w:sz w:val="20"/>
          <w:szCs w:val="20"/>
        </w:rPr>
        <w:t xml:space="preserve">Mr. </w:t>
      </w:r>
      <w:r w:rsidRPr="00AD671A">
        <w:rPr>
          <w:rFonts w:asciiTheme="majorHAnsi" w:hAnsiTheme="majorHAnsi"/>
          <w:sz w:val="20"/>
          <w:szCs w:val="20"/>
        </w:rPr>
        <w:t>Thompson’s competency for execution.</w:t>
      </w:r>
      <w:r w:rsidR="008D354E" w:rsidRPr="00AD671A">
        <w:rPr>
          <w:rStyle w:val="FootnoteReference"/>
          <w:rFonts w:asciiTheme="majorHAnsi" w:hAnsiTheme="majorHAnsi"/>
          <w:sz w:val="20"/>
          <w:szCs w:val="20"/>
        </w:rPr>
        <w:footnoteReference w:id="40"/>
      </w:r>
      <w:r w:rsidR="008D354E" w:rsidRPr="00AD671A">
        <w:rPr>
          <w:rFonts w:asciiTheme="majorHAnsi" w:hAnsiTheme="majorHAnsi"/>
          <w:sz w:val="20"/>
          <w:szCs w:val="20"/>
        </w:rPr>
        <w:t xml:space="preserve"> </w:t>
      </w:r>
      <w:r w:rsidR="008D354E" w:rsidRPr="00AD671A">
        <w:rPr>
          <w:rFonts w:asciiTheme="majorHAnsi" w:hAnsiTheme="majorHAnsi" w:cs="Arial"/>
          <w:sz w:val="20"/>
          <w:szCs w:val="20"/>
        </w:rPr>
        <w:t>The petitioners note that the state of Tennessee appealed that decision to the United States Supreme Court and according to publicly available information, on October 4, 2010, the Supreme Court rejected the appeal.</w:t>
      </w:r>
      <w:r w:rsidR="008D354E" w:rsidRPr="00AD671A">
        <w:rPr>
          <w:rStyle w:val="FootnoteReference"/>
          <w:rFonts w:asciiTheme="majorHAnsi" w:hAnsiTheme="majorHAnsi"/>
          <w:sz w:val="20"/>
          <w:szCs w:val="20"/>
        </w:rPr>
        <w:footnoteReference w:id="41"/>
      </w:r>
    </w:p>
    <w:p w14:paraId="2F05498D" w14:textId="77777777" w:rsidR="00B9294C" w:rsidRPr="00AD671A" w:rsidRDefault="00B9294C" w:rsidP="00B929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78E38574" w14:textId="77777777" w:rsidR="00B61BD0" w:rsidRDefault="002F55A5" w:rsidP="00B61B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sidRPr="00AD671A">
        <w:rPr>
          <w:rFonts w:asciiTheme="majorHAnsi" w:hAnsiTheme="majorHAnsi" w:cs="Arial"/>
          <w:sz w:val="20"/>
          <w:szCs w:val="20"/>
        </w:rPr>
        <w:t xml:space="preserve">On September 28, 2012, </w:t>
      </w:r>
      <w:r w:rsidR="00501A7C" w:rsidRPr="00AD671A">
        <w:rPr>
          <w:rFonts w:asciiTheme="majorHAnsi" w:hAnsiTheme="majorHAnsi" w:cs="Arial"/>
          <w:sz w:val="20"/>
          <w:szCs w:val="20"/>
        </w:rPr>
        <w:t xml:space="preserve">the </w:t>
      </w:r>
      <w:r w:rsidRPr="00AD671A">
        <w:rPr>
          <w:rFonts w:asciiTheme="majorHAnsi" w:hAnsiTheme="majorHAnsi" w:cs="Arial"/>
          <w:sz w:val="20"/>
          <w:szCs w:val="20"/>
        </w:rPr>
        <w:t>U</w:t>
      </w:r>
      <w:r w:rsidR="00B9294C" w:rsidRPr="00AD671A">
        <w:rPr>
          <w:rFonts w:asciiTheme="majorHAnsi" w:hAnsiTheme="majorHAnsi" w:cs="Arial"/>
          <w:sz w:val="20"/>
          <w:szCs w:val="20"/>
        </w:rPr>
        <w:t xml:space="preserve">nited </w:t>
      </w:r>
      <w:r w:rsidRPr="00AD671A">
        <w:rPr>
          <w:rFonts w:asciiTheme="majorHAnsi" w:hAnsiTheme="majorHAnsi" w:cs="Arial"/>
          <w:sz w:val="20"/>
          <w:szCs w:val="20"/>
        </w:rPr>
        <w:t>S</w:t>
      </w:r>
      <w:r w:rsidR="00B9294C" w:rsidRPr="00AD671A">
        <w:rPr>
          <w:rFonts w:asciiTheme="majorHAnsi" w:hAnsiTheme="majorHAnsi" w:cs="Arial"/>
          <w:sz w:val="20"/>
          <w:szCs w:val="20"/>
        </w:rPr>
        <w:t>tates</w:t>
      </w:r>
      <w:r w:rsidRPr="00AD671A">
        <w:rPr>
          <w:rFonts w:asciiTheme="majorHAnsi" w:hAnsiTheme="majorHAnsi" w:cs="Arial"/>
          <w:sz w:val="20"/>
          <w:szCs w:val="20"/>
        </w:rPr>
        <w:t xml:space="preserve"> District </w:t>
      </w:r>
      <w:r w:rsidR="00501A7C" w:rsidRPr="00AD671A">
        <w:rPr>
          <w:rFonts w:asciiTheme="majorHAnsi" w:hAnsiTheme="majorHAnsi" w:cs="Arial"/>
          <w:sz w:val="20"/>
          <w:szCs w:val="20"/>
        </w:rPr>
        <w:t>C</w:t>
      </w:r>
      <w:r w:rsidRPr="00AD671A">
        <w:rPr>
          <w:rFonts w:asciiTheme="majorHAnsi" w:hAnsiTheme="majorHAnsi" w:cs="Arial"/>
          <w:sz w:val="20"/>
          <w:szCs w:val="20"/>
        </w:rPr>
        <w:t xml:space="preserve">ourt for the Eastern District of Tennessee </w:t>
      </w:r>
      <w:r w:rsidR="00B9294C" w:rsidRPr="00AD671A">
        <w:rPr>
          <w:rFonts w:asciiTheme="majorHAnsi" w:hAnsiTheme="majorHAnsi" w:cs="Arial"/>
          <w:sz w:val="20"/>
          <w:szCs w:val="20"/>
        </w:rPr>
        <w:t>denied</w:t>
      </w:r>
      <w:r w:rsidRPr="00AD671A">
        <w:rPr>
          <w:rFonts w:asciiTheme="majorHAnsi" w:hAnsiTheme="majorHAnsi" w:cs="Arial"/>
          <w:sz w:val="20"/>
          <w:szCs w:val="20"/>
        </w:rPr>
        <w:t xml:space="preserve"> all four claims on ineffective </w:t>
      </w:r>
      <w:r w:rsidR="00B9294C" w:rsidRPr="00AD671A">
        <w:rPr>
          <w:rFonts w:asciiTheme="majorHAnsi" w:hAnsiTheme="majorHAnsi" w:cs="Arial"/>
          <w:sz w:val="20"/>
          <w:szCs w:val="20"/>
        </w:rPr>
        <w:t xml:space="preserve">assistance of </w:t>
      </w:r>
      <w:r w:rsidRPr="00AD671A">
        <w:rPr>
          <w:rFonts w:asciiTheme="majorHAnsi" w:hAnsiTheme="majorHAnsi" w:cs="Arial"/>
          <w:sz w:val="20"/>
          <w:szCs w:val="20"/>
        </w:rPr>
        <w:t>counsel</w:t>
      </w:r>
      <w:r w:rsidR="00B9294C" w:rsidRPr="00AD671A">
        <w:rPr>
          <w:rFonts w:asciiTheme="majorHAnsi" w:hAnsiTheme="majorHAnsi" w:cs="Arial"/>
          <w:sz w:val="20"/>
          <w:szCs w:val="20"/>
        </w:rPr>
        <w:t xml:space="preserve"> without holding an evidentiary hearing</w:t>
      </w:r>
      <w:r w:rsidR="00B7293C" w:rsidRPr="00AD671A">
        <w:rPr>
          <w:rFonts w:asciiTheme="majorHAnsi" w:hAnsiTheme="majorHAnsi" w:cs="Arial"/>
          <w:sz w:val="20"/>
          <w:szCs w:val="20"/>
        </w:rPr>
        <w:t>.</w:t>
      </w:r>
      <w:r w:rsidR="004D7233" w:rsidRPr="00AD671A">
        <w:rPr>
          <w:rStyle w:val="FootnoteReference"/>
          <w:rFonts w:asciiTheme="majorHAnsi" w:hAnsiTheme="majorHAnsi"/>
          <w:sz w:val="20"/>
          <w:szCs w:val="20"/>
        </w:rPr>
        <w:footnoteReference w:id="42"/>
      </w:r>
      <w:r w:rsidR="00B7293C" w:rsidRPr="00AD671A">
        <w:rPr>
          <w:rFonts w:asciiTheme="majorHAnsi" w:hAnsiTheme="majorHAnsi" w:cs="Arial"/>
          <w:sz w:val="20"/>
          <w:szCs w:val="20"/>
        </w:rPr>
        <w:t xml:space="preserve"> </w:t>
      </w:r>
      <w:r w:rsidR="00D43AC2" w:rsidRPr="00AD671A">
        <w:rPr>
          <w:rFonts w:asciiTheme="majorHAnsi" w:hAnsiTheme="majorHAnsi" w:cs="Arial"/>
          <w:sz w:val="20"/>
          <w:szCs w:val="20"/>
        </w:rPr>
        <w:t>The four claims</w:t>
      </w:r>
      <w:r w:rsidR="006B5DF3" w:rsidRPr="00AD671A">
        <w:rPr>
          <w:rFonts w:asciiTheme="majorHAnsi" w:hAnsiTheme="majorHAnsi" w:cs="Arial"/>
          <w:sz w:val="20"/>
          <w:szCs w:val="20"/>
        </w:rPr>
        <w:t xml:space="preserve"> </w:t>
      </w:r>
      <w:r w:rsidR="00A24C70" w:rsidRPr="00AD671A">
        <w:rPr>
          <w:rFonts w:asciiTheme="majorHAnsi" w:hAnsiTheme="majorHAnsi" w:cs="Arial"/>
          <w:sz w:val="20"/>
          <w:szCs w:val="20"/>
        </w:rPr>
        <w:t xml:space="preserve">made were </w:t>
      </w:r>
      <w:r w:rsidR="006B5DF3" w:rsidRPr="00AD671A">
        <w:rPr>
          <w:rFonts w:asciiTheme="majorHAnsi" w:hAnsiTheme="majorHAnsi" w:cs="Arial"/>
          <w:sz w:val="20"/>
          <w:szCs w:val="20"/>
        </w:rPr>
        <w:t>that</w:t>
      </w:r>
      <w:r w:rsidR="00D43AC2" w:rsidRPr="00AD671A">
        <w:rPr>
          <w:rFonts w:asciiTheme="majorHAnsi" w:hAnsiTheme="majorHAnsi" w:cs="Arial"/>
          <w:sz w:val="20"/>
          <w:szCs w:val="20"/>
        </w:rPr>
        <w:t>:</w:t>
      </w:r>
      <w:r w:rsidRPr="00AD671A">
        <w:rPr>
          <w:rFonts w:asciiTheme="majorHAnsi" w:hAnsiTheme="majorHAnsi" w:cs="Arial"/>
          <w:sz w:val="20"/>
          <w:szCs w:val="20"/>
        </w:rPr>
        <w:t xml:space="preserve"> trial counsel did not confront and cross examine a psychiatric expert testifying for the </w:t>
      </w:r>
      <w:r w:rsidR="004D7233" w:rsidRPr="00AD671A">
        <w:rPr>
          <w:rFonts w:asciiTheme="majorHAnsi" w:hAnsiTheme="majorHAnsi" w:cs="Arial"/>
          <w:sz w:val="20"/>
          <w:szCs w:val="20"/>
        </w:rPr>
        <w:t xml:space="preserve">government; </w:t>
      </w:r>
      <w:r w:rsidR="006D277F" w:rsidRPr="00AD671A">
        <w:rPr>
          <w:rFonts w:asciiTheme="majorHAnsi" w:hAnsiTheme="majorHAnsi" w:cs="Arial"/>
          <w:sz w:val="20"/>
          <w:szCs w:val="20"/>
        </w:rPr>
        <w:t xml:space="preserve">trial counsel </w:t>
      </w:r>
      <w:r w:rsidRPr="00AD671A">
        <w:rPr>
          <w:rFonts w:asciiTheme="majorHAnsi" w:hAnsiTheme="majorHAnsi" w:cs="Arial"/>
          <w:sz w:val="20"/>
          <w:szCs w:val="20"/>
        </w:rPr>
        <w:t xml:space="preserve">did not object to the prosecutor’s improper references to </w:t>
      </w:r>
      <w:r w:rsidR="009E6ACE" w:rsidRPr="00AD671A">
        <w:rPr>
          <w:rFonts w:asciiTheme="majorHAnsi" w:hAnsiTheme="majorHAnsi" w:cs="Arial"/>
          <w:sz w:val="20"/>
          <w:szCs w:val="20"/>
        </w:rPr>
        <w:t xml:space="preserve">Mr. </w:t>
      </w:r>
      <w:r w:rsidRPr="00AD671A">
        <w:rPr>
          <w:rFonts w:asciiTheme="majorHAnsi" w:hAnsiTheme="majorHAnsi" w:cs="Arial"/>
          <w:sz w:val="20"/>
          <w:szCs w:val="20"/>
        </w:rPr>
        <w:t>Thompson’s failure to testify or present a defense</w:t>
      </w:r>
      <w:r w:rsidR="004D7233" w:rsidRPr="00AD671A">
        <w:rPr>
          <w:rFonts w:asciiTheme="majorHAnsi" w:hAnsiTheme="majorHAnsi" w:cs="Arial"/>
          <w:sz w:val="20"/>
          <w:szCs w:val="20"/>
        </w:rPr>
        <w:t>;</w:t>
      </w:r>
      <w:r w:rsidR="006D277F" w:rsidRPr="00AD671A">
        <w:rPr>
          <w:rFonts w:asciiTheme="majorHAnsi" w:hAnsiTheme="majorHAnsi" w:cs="Arial"/>
          <w:sz w:val="20"/>
          <w:szCs w:val="20"/>
        </w:rPr>
        <w:t xml:space="preserve"> trial counsel</w:t>
      </w:r>
      <w:r w:rsidR="006D277F">
        <w:rPr>
          <w:rFonts w:asciiTheme="majorHAnsi" w:hAnsiTheme="majorHAnsi" w:cs="Arial"/>
          <w:sz w:val="20"/>
          <w:szCs w:val="20"/>
        </w:rPr>
        <w:t xml:space="preserve"> </w:t>
      </w:r>
      <w:r w:rsidRPr="004C0BDB">
        <w:rPr>
          <w:rFonts w:asciiTheme="majorHAnsi" w:hAnsiTheme="majorHAnsi" w:cs="Arial"/>
          <w:sz w:val="20"/>
          <w:szCs w:val="20"/>
        </w:rPr>
        <w:t>did not inform the court about prosecutor’s racist rema</w:t>
      </w:r>
      <w:r w:rsidR="004D7233" w:rsidRPr="004C0BDB">
        <w:rPr>
          <w:rFonts w:asciiTheme="majorHAnsi" w:hAnsiTheme="majorHAnsi" w:cs="Arial"/>
          <w:sz w:val="20"/>
          <w:szCs w:val="20"/>
        </w:rPr>
        <w:t xml:space="preserve">rk in the presence of the jury; </w:t>
      </w:r>
      <w:r w:rsidR="006D277F">
        <w:rPr>
          <w:rFonts w:asciiTheme="majorHAnsi" w:hAnsiTheme="majorHAnsi" w:cs="Arial"/>
          <w:sz w:val="20"/>
          <w:szCs w:val="20"/>
        </w:rPr>
        <w:t>and trial counsel</w:t>
      </w:r>
      <w:r w:rsidRPr="004C0BDB">
        <w:rPr>
          <w:rFonts w:asciiTheme="majorHAnsi" w:hAnsiTheme="majorHAnsi" w:cs="Arial"/>
          <w:sz w:val="20"/>
          <w:szCs w:val="20"/>
        </w:rPr>
        <w:t xml:space="preserve"> failed to present mitigating evidence during the sentencing phase to show he would not be disruptive in prison.</w:t>
      </w:r>
      <w:r w:rsidR="004D7233" w:rsidRPr="004C0BDB">
        <w:rPr>
          <w:rFonts w:asciiTheme="majorHAnsi" w:hAnsiTheme="majorHAnsi" w:cs="Arial"/>
          <w:sz w:val="20"/>
          <w:szCs w:val="20"/>
        </w:rPr>
        <w:t xml:space="preserve"> </w:t>
      </w:r>
      <w:r w:rsidR="00B7293C" w:rsidRPr="004C0BDB">
        <w:rPr>
          <w:rFonts w:asciiTheme="majorHAnsi" w:hAnsiTheme="majorHAnsi" w:cs="Arial"/>
          <w:sz w:val="20"/>
          <w:szCs w:val="20"/>
        </w:rPr>
        <w:t>In May 2013, the court denied Mr. Thompson’s request to alter or amend its decision and denied him permission to appeal</w:t>
      </w:r>
      <w:r w:rsidR="00501A7C">
        <w:rPr>
          <w:rFonts w:asciiTheme="majorHAnsi" w:hAnsiTheme="majorHAnsi" w:cs="Arial"/>
          <w:sz w:val="20"/>
          <w:szCs w:val="20"/>
        </w:rPr>
        <w:t>. O</w:t>
      </w:r>
      <w:r w:rsidR="00B7293C" w:rsidRPr="004C0BDB">
        <w:rPr>
          <w:rFonts w:asciiTheme="majorHAnsi" w:hAnsiTheme="majorHAnsi" w:cs="Arial"/>
          <w:sz w:val="20"/>
          <w:szCs w:val="20"/>
        </w:rPr>
        <w:t>n July 12, 2013, Mr. Thompson filed an application for a certificate of appealability in the Sixth Circuit Court of Appeals, requesting permission to appeal his case.</w:t>
      </w:r>
      <w:r w:rsidR="00B7293C">
        <w:rPr>
          <w:rStyle w:val="FootnoteReference"/>
          <w:rFonts w:asciiTheme="majorHAnsi" w:hAnsiTheme="majorHAnsi"/>
          <w:sz w:val="20"/>
          <w:szCs w:val="20"/>
        </w:rPr>
        <w:footnoteReference w:id="43"/>
      </w:r>
      <w:r w:rsidR="004C0BDB" w:rsidRPr="004C0BDB">
        <w:rPr>
          <w:rFonts w:asciiTheme="majorHAnsi" w:hAnsiTheme="majorHAnsi" w:cs="Arial"/>
          <w:sz w:val="20"/>
          <w:szCs w:val="20"/>
        </w:rPr>
        <w:t xml:space="preserve"> </w:t>
      </w:r>
    </w:p>
    <w:p w14:paraId="4B83AE2C" w14:textId="77777777" w:rsidR="00B61BD0" w:rsidRDefault="00B61BD0" w:rsidP="00B61BD0">
      <w:pPr>
        <w:pStyle w:val="ListParagraph"/>
        <w:rPr>
          <w:rFonts w:asciiTheme="majorHAnsi" w:hAnsiTheme="majorHAnsi" w:cs="Arial"/>
          <w:sz w:val="20"/>
          <w:szCs w:val="20"/>
        </w:rPr>
      </w:pPr>
    </w:p>
    <w:p w14:paraId="15BDB1B8" w14:textId="77777777" w:rsidR="00B90B51" w:rsidRPr="00B61BD0" w:rsidRDefault="004C0BDB" w:rsidP="00B61BD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sidRPr="00B61BD0">
        <w:rPr>
          <w:rFonts w:asciiTheme="majorHAnsi" w:hAnsiTheme="majorHAnsi" w:cs="Arial"/>
          <w:sz w:val="20"/>
          <w:szCs w:val="20"/>
        </w:rPr>
        <w:t>On June 6, 2014, the Sixth Circuit Court affirmed the District Court’s rejection of the ineffective assistance of counsel claims.</w:t>
      </w:r>
      <w:r>
        <w:rPr>
          <w:rStyle w:val="FootnoteReference"/>
          <w:rFonts w:asciiTheme="majorHAnsi" w:hAnsiTheme="majorHAnsi"/>
          <w:sz w:val="20"/>
          <w:szCs w:val="20"/>
        </w:rPr>
        <w:footnoteReference w:id="44"/>
      </w:r>
      <w:r w:rsidRPr="00B61BD0">
        <w:rPr>
          <w:rFonts w:asciiTheme="majorHAnsi" w:hAnsiTheme="majorHAnsi" w:cs="Arial"/>
          <w:sz w:val="20"/>
          <w:szCs w:val="20"/>
        </w:rPr>
        <w:t xml:space="preserve"> </w:t>
      </w:r>
      <w:r w:rsidR="008B34CA" w:rsidRPr="00B61BD0">
        <w:rPr>
          <w:rFonts w:asciiTheme="majorHAnsi" w:hAnsiTheme="majorHAnsi" w:cs="Arial"/>
          <w:sz w:val="20"/>
          <w:szCs w:val="20"/>
        </w:rPr>
        <w:t>Mr. Thompson’s petition for a writ of certiorari to the United States Supreme Court, as a challenge to his conviction and sentence on the ground of ineffective assistance of counsel, was due December 5, 2014</w:t>
      </w:r>
      <w:r w:rsidR="000C40E9" w:rsidRPr="00B61BD0">
        <w:rPr>
          <w:rFonts w:asciiTheme="majorHAnsi" w:hAnsiTheme="majorHAnsi" w:cs="Arial"/>
          <w:sz w:val="20"/>
          <w:szCs w:val="20"/>
        </w:rPr>
        <w:t>.</w:t>
      </w:r>
      <w:r w:rsidR="000C40E9">
        <w:rPr>
          <w:rStyle w:val="FootnoteReference"/>
          <w:rFonts w:asciiTheme="majorHAnsi" w:hAnsiTheme="majorHAnsi"/>
          <w:sz w:val="20"/>
          <w:szCs w:val="20"/>
        </w:rPr>
        <w:footnoteReference w:id="45"/>
      </w:r>
      <w:r w:rsidR="008B34CA" w:rsidRPr="00B61BD0">
        <w:rPr>
          <w:rFonts w:asciiTheme="majorHAnsi" w:hAnsiTheme="majorHAnsi" w:cs="Arial"/>
          <w:sz w:val="20"/>
          <w:szCs w:val="20"/>
        </w:rPr>
        <w:t xml:space="preserve"> </w:t>
      </w:r>
    </w:p>
    <w:p w14:paraId="29578A41" w14:textId="77777777" w:rsidR="00501A7C" w:rsidRPr="00B61BD0" w:rsidRDefault="00501A7C" w:rsidP="00B61BD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s="Arial"/>
          <w:sz w:val="20"/>
          <w:szCs w:val="20"/>
        </w:rPr>
      </w:pPr>
    </w:p>
    <w:p w14:paraId="1E5FB21D" w14:textId="3A3B86AC" w:rsidR="00F924BF" w:rsidRPr="00171CD9" w:rsidRDefault="00501A7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s="Arial"/>
          <w:sz w:val="20"/>
          <w:szCs w:val="20"/>
        </w:rPr>
      </w:pPr>
      <w:r w:rsidRPr="000C40E9">
        <w:rPr>
          <w:rFonts w:asciiTheme="majorHAnsi" w:hAnsiTheme="majorHAnsi" w:cs="Arial"/>
          <w:sz w:val="20"/>
          <w:szCs w:val="20"/>
        </w:rPr>
        <w:t>The District Court had stayed the competency hearing until all appeals were completed and an execution date set</w:t>
      </w:r>
      <w:r>
        <w:rPr>
          <w:rFonts w:asciiTheme="majorHAnsi" w:hAnsiTheme="majorHAnsi" w:cs="Arial"/>
          <w:sz w:val="20"/>
          <w:szCs w:val="20"/>
        </w:rPr>
        <w:t>.</w:t>
      </w:r>
      <w:r>
        <w:rPr>
          <w:rStyle w:val="FootnoteReference"/>
          <w:rFonts w:asciiTheme="majorHAnsi" w:hAnsiTheme="majorHAnsi"/>
          <w:sz w:val="20"/>
          <w:szCs w:val="20"/>
        </w:rPr>
        <w:footnoteReference w:id="46"/>
      </w:r>
      <w:r w:rsidRPr="000C40E9">
        <w:rPr>
          <w:rFonts w:asciiTheme="majorHAnsi" w:hAnsiTheme="majorHAnsi" w:cs="Arial"/>
          <w:sz w:val="20"/>
          <w:szCs w:val="20"/>
        </w:rPr>
        <w:t xml:space="preserve"> </w:t>
      </w:r>
      <w:r w:rsidR="008B34CA" w:rsidRPr="000C40E9">
        <w:rPr>
          <w:rFonts w:asciiTheme="majorHAnsi" w:hAnsiTheme="majorHAnsi" w:cs="Arial"/>
          <w:sz w:val="20"/>
          <w:szCs w:val="20"/>
        </w:rPr>
        <w:t xml:space="preserve">However, </w:t>
      </w:r>
      <w:r w:rsidR="008B34CA" w:rsidRPr="000C40E9">
        <w:rPr>
          <w:rFonts w:asciiTheme="majorHAnsi" w:hAnsiTheme="majorHAnsi"/>
          <w:sz w:val="20"/>
          <w:szCs w:val="20"/>
        </w:rPr>
        <w:t xml:space="preserve">Gregory Thompson </w:t>
      </w:r>
      <w:r w:rsidR="008B34CA" w:rsidRPr="000C40E9">
        <w:rPr>
          <w:rFonts w:asciiTheme="majorHAnsi" w:eastAsia="Times New Roman" w:hAnsiTheme="majorHAnsi"/>
          <w:sz w:val="20"/>
          <w:szCs w:val="20"/>
          <w:lang w:val="en-GB"/>
        </w:rPr>
        <w:t>died of natural causes in Tennessee State prison on November 27, 2014.</w:t>
      </w:r>
      <w:r w:rsidR="006479DF">
        <w:rPr>
          <w:rStyle w:val="FootnoteReference"/>
          <w:rFonts w:asciiTheme="majorHAnsi" w:eastAsia="Times New Roman" w:hAnsiTheme="majorHAnsi"/>
          <w:sz w:val="20"/>
          <w:szCs w:val="20"/>
          <w:lang w:val="en-GB"/>
        </w:rPr>
        <w:footnoteReference w:id="47"/>
      </w:r>
    </w:p>
    <w:p w14:paraId="18AA5538" w14:textId="77777777" w:rsidR="00171CD9" w:rsidRPr="008D354E" w:rsidRDefault="00171CD9" w:rsidP="00171CD9">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cs="Arial"/>
          <w:sz w:val="20"/>
          <w:szCs w:val="20"/>
        </w:rPr>
      </w:pPr>
    </w:p>
    <w:p w14:paraId="5840B57C" w14:textId="77777777" w:rsidR="001C4006" w:rsidRPr="00143E4B" w:rsidRDefault="001C4006" w:rsidP="00AE6157">
      <w:pPr>
        <w:pStyle w:val="Heading1"/>
        <w:tabs>
          <w:tab w:val="left" w:pos="360"/>
        </w:tabs>
        <w:spacing w:before="0"/>
        <w:ind w:left="0" w:firstLine="0"/>
        <w:rPr>
          <w:color w:val="auto"/>
          <w:sz w:val="20"/>
          <w:szCs w:val="20"/>
        </w:rPr>
      </w:pPr>
      <w:bookmarkStart w:id="16" w:name="_Toc90300518"/>
      <w:r w:rsidRPr="00143E4B">
        <w:rPr>
          <w:color w:val="auto"/>
          <w:sz w:val="20"/>
          <w:szCs w:val="20"/>
        </w:rPr>
        <w:t>ANALYSIS OF LAW</w:t>
      </w:r>
      <w:bookmarkEnd w:id="16"/>
    </w:p>
    <w:p w14:paraId="457F43AB" w14:textId="77777777" w:rsidR="00C7147D" w:rsidRPr="00143E4B" w:rsidRDefault="00C7147D" w:rsidP="00EE5D7E">
      <w:pPr>
        <w:suppressAutoHyphens/>
        <w:rPr>
          <w:rFonts w:asciiTheme="majorHAnsi" w:hAnsiTheme="majorHAnsi"/>
          <w:b/>
          <w:sz w:val="20"/>
          <w:szCs w:val="20"/>
        </w:rPr>
      </w:pPr>
    </w:p>
    <w:p w14:paraId="3E53C6FF" w14:textId="77777777" w:rsidR="007D2FEE" w:rsidRPr="00143E4B" w:rsidRDefault="007D2FEE" w:rsidP="00AE6157">
      <w:pPr>
        <w:pStyle w:val="Heading2"/>
        <w:numPr>
          <w:ilvl w:val="0"/>
          <w:numId w:val="64"/>
        </w:numPr>
        <w:spacing w:before="0"/>
        <w:ind w:left="360"/>
        <w:rPr>
          <w:color w:val="auto"/>
          <w:sz w:val="20"/>
          <w:szCs w:val="20"/>
        </w:rPr>
      </w:pPr>
      <w:bookmarkStart w:id="17" w:name="_Toc412815742"/>
      <w:bookmarkStart w:id="18" w:name="_Toc90300519"/>
      <w:r w:rsidRPr="00143E4B">
        <w:rPr>
          <w:color w:val="auto"/>
          <w:sz w:val="20"/>
          <w:szCs w:val="20"/>
        </w:rPr>
        <w:t xml:space="preserve">Preliminary </w:t>
      </w:r>
      <w:bookmarkEnd w:id="17"/>
      <w:r w:rsidRPr="00143E4B">
        <w:rPr>
          <w:color w:val="auto"/>
          <w:sz w:val="20"/>
          <w:szCs w:val="20"/>
        </w:rPr>
        <w:t>considerations</w:t>
      </w:r>
      <w:bookmarkEnd w:id="18"/>
    </w:p>
    <w:p w14:paraId="2F05F03E" w14:textId="77777777" w:rsidR="00A169DC" w:rsidRDefault="00A169DC" w:rsidP="00A169D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1DE3891" w14:textId="77777777" w:rsidR="00A169DC" w:rsidRPr="00144208" w:rsidRDefault="00653AC7"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A169DC">
        <w:rPr>
          <w:rFonts w:asciiTheme="majorHAnsi" w:eastAsia="Cambria" w:hAnsiTheme="majorHAnsi" w:cs="Cambria"/>
          <w:sz w:val="20"/>
          <w:szCs w:val="20"/>
        </w:rPr>
        <w:t xml:space="preserve">Before embarking on its analysis of the merits in the case of </w:t>
      </w:r>
      <w:r w:rsidR="009E6ACE">
        <w:rPr>
          <w:rFonts w:asciiTheme="majorHAnsi" w:eastAsia="Cambria" w:hAnsiTheme="majorHAnsi" w:cs="Cambria"/>
          <w:sz w:val="20"/>
          <w:szCs w:val="20"/>
        </w:rPr>
        <w:t xml:space="preserve">Mr. </w:t>
      </w:r>
      <w:r w:rsidR="00D947DE">
        <w:rPr>
          <w:rFonts w:asciiTheme="majorHAnsi" w:eastAsia="Cambria" w:hAnsiTheme="majorHAnsi" w:cs="Cambria"/>
          <w:sz w:val="20"/>
          <w:szCs w:val="20"/>
        </w:rPr>
        <w:t>Thompson</w:t>
      </w:r>
      <w:r w:rsidRPr="00A169DC">
        <w:rPr>
          <w:rFonts w:asciiTheme="majorHAnsi" w:eastAsia="Cambria" w:hAnsiTheme="majorHAnsi" w:cs="Cambria"/>
          <w:sz w:val="20"/>
          <w:szCs w:val="20"/>
        </w:rPr>
        <w:t xml:space="preserve"> the Inter-American Commission considers it relevant to reiterate its previous rulings regarding the heightened scrutiny to be used in cases involving the death penalty.  The right to life has received broad recognition as the supreme human right and as a </w:t>
      </w:r>
      <w:r w:rsidRPr="00A169DC">
        <w:rPr>
          <w:rFonts w:asciiTheme="majorHAnsi" w:eastAsia="Cambria" w:hAnsiTheme="majorHAnsi" w:cs="Cambria"/>
          <w:i/>
          <w:iCs/>
          <w:sz w:val="20"/>
          <w:szCs w:val="20"/>
          <w:lang w:val="it-IT"/>
        </w:rPr>
        <w:t>sine qua non</w:t>
      </w:r>
      <w:r w:rsidRPr="00A169DC">
        <w:rPr>
          <w:rFonts w:asciiTheme="majorHAnsi" w:eastAsia="Cambria" w:hAnsiTheme="majorHAnsi" w:cs="Cambria"/>
          <w:sz w:val="20"/>
          <w:szCs w:val="20"/>
        </w:rPr>
        <w:t xml:space="preserve"> for the enjoyment of all other rights. </w:t>
      </w:r>
    </w:p>
    <w:p w14:paraId="152CD571" w14:textId="77777777" w:rsidR="00144208" w:rsidRDefault="00144208" w:rsidP="00144208">
      <w:pPr>
        <w:pStyle w:val="ListParagraph"/>
        <w:rPr>
          <w:rFonts w:asciiTheme="majorHAnsi" w:hAnsiTheme="majorHAnsi"/>
          <w:sz w:val="20"/>
          <w:szCs w:val="20"/>
        </w:rPr>
      </w:pPr>
    </w:p>
    <w:p w14:paraId="7404FD74" w14:textId="77777777" w:rsidR="00144208" w:rsidRDefault="0014420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That gives rise to the particular importance of the IACHR’s obligation to ensure that any deprivation of life may arise from the enforcement of the death penalty strictly abides by the requirements set forth in the applicable instruments of the Inter-American Human Rights System, including the American Declaration.</w:t>
      </w:r>
      <w:r w:rsidRPr="009F1B62">
        <w:rPr>
          <w:rStyle w:val="FootnoteReference"/>
          <w:rFonts w:asciiTheme="majorHAnsi" w:eastAsia="Cambria" w:hAnsiTheme="majorHAnsi" w:cs="Cambria"/>
          <w:sz w:val="20"/>
          <w:szCs w:val="20"/>
        </w:rPr>
        <w:footnoteReference w:id="48"/>
      </w:r>
      <w:r>
        <w:rPr>
          <w:rFonts w:asciiTheme="majorHAnsi" w:hAnsiTheme="majorHAnsi"/>
          <w:sz w:val="20"/>
          <w:szCs w:val="20"/>
        </w:rPr>
        <w:t xml:space="preserve"> That “heightened scrutiny test is consistent with the restrictive approach adopted by other international </w:t>
      </w:r>
      <w:r>
        <w:rPr>
          <w:rFonts w:asciiTheme="majorHAnsi" w:hAnsiTheme="majorHAnsi"/>
          <w:sz w:val="20"/>
          <w:szCs w:val="20"/>
        </w:rPr>
        <w:lastRenderedPageBreak/>
        <w:t>human rights bodies in cases involving the imposition of the death penalty,</w:t>
      </w:r>
      <w:r w:rsidRPr="00144208">
        <w:rPr>
          <w:rStyle w:val="FootnoteReference"/>
          <w:rFonts w:asciiTheme="majorHAnsi" w:eastAsia="Cambria" w:hAnsiTheme="majorHAnsi" w:cs="Cambria"/>
          <w:sz w:val="20"/>
          <w:szCs w:val="20"/>
        </w:rPr>
        <w:t xml:space="preserve"> </w:t>
      </w:r>
      <w:r w:rsidRPr="009F1B62">
        <w:rPr>
          <w:rStyle w:val="FootnoteReference"/>
          <w:rFonts w:asciiTheme="majorHAnsi" w:eastAsia="Cambria" w:hAnsiTheme="majorHAnsi" w:cs="Cambria"/>
          <w:sz w:val="20"/>
          <w:szCs w:val="20"/>
        </w:rPr>
        <w:footnoteReference w:id="49"/>
      </w:r>
      <w:r>
        <w:rPr>
          <w:rFonts w:asciiTheme="majorHAnsi" w:eastAsia="Cambria" w:hAnsiTheme="majorHAnsi" w:cs="Cambria"/>
          <w:sz w:val="20"/>
          <w:szCs w:val="20"/>
        </w:rPr>
        <w:t xml:space="preserve"> and it has been set out and applied by the Inter-American Commission in previous capital cases brought before it.</w:t>
      </w:r>
      <w:r w:rsidRPr="00144208">
        <w:rPr>
          <w:rStyle w:val="FootnoteReference"/>
          <w:rFonts w:asciiTheme="majorHAnsi" w:eastAsia="Cambria" w:hAnsiTheme="majorHAnsi" w:cs="Cambria"/>
          <w:sz w:val="20"/>
          <w:szCs w:val="20"/>
        </w:rPr>
        <w:t xml:space="preserve"> </w:t>
      </w:r>
      <w:r w:rsidRPr="009F1B62">
        <w:rPr>
          <w:rStyle w:val="FootnoteReference"/>
          <w:rFonts w:asciiTheme="majorHAnsi" w:eastAsia="Cambria" w:hAnsiTheme="majorHAnsi" w:cs="Cambria"/>
          <w:sz w:val="20"/>
          <w:szCs w:val="20"/>
        </w:rPr>
        <w:footnoteReference w:id="50"/>
      </w:r>
      <w:r>
        <w:rPr>
          <w:rFonts w:asciiTheme="majorHAnsi" w:eastAsia="Cambria" w:hAnsiTheme="majorHAnsi" w:cs="Cambria"/>
          <w:sz w:val="20"/>
          <w:szCs w:val="20"/>
        </w:rPr>
        <w:t xml:space="preserve"> </w:t>
      </w:r>
      <w:r>
        <w:rPr>
          <w:rFonts w:asciiTheme="majorHAnsi" w:hAnsiTheme="majorHAnsi"/>
          <w:sz w:val="20"/>
          <w:szCs w:val="20"/>
        </w:rPr>
        <w:t xml:space="preserve"> </w:t>
      </w:r>
    </w:p>
    <w:p w14:paraId="7E7C4E30" w14:textId="77777777" w:rsidR="00A169DC" w:rsidRDefault="00A169DC" w:rsidP="00A169DC">
      <w:pPr>
        <w:pStyle w:val="ListParagraph"/>
        <w:rPr>
          <w:rFonts w:asciiTheme="majorHAnsi" w:hAnsiTheme="majorHAnsi"/>
          <w:sz w:val="20"/>
          <w:szCs w:val="20"/>
        </w:rPr>
      </w:pPr>
    </w:p>
    <w:p w14:paraId="01D07BCE" w14:textId="77777777" w:rsidR="000157B5" w:rsidRPr="00A169DC" w:rsidRDefault="00653AC7"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A169DC">
        <w:rPr>
          <w:rFonts w:asciiTheme="majorHAnsi" w:eastAsia="Cambria" w:hAnsiTheme="majorHAnsi" w:cs="Cambria"/>
          <w:sz w:val="20"/>
          <w:szCs w:val="20"/>
        </w:rPr>
        <w:t>As the Inter-American Commission has explained, this standard of review is the necessary consequence of the specific penalty at issue and the right to a fair trial and all attendant due process guarantees</w:t>
      </w:r>
      <w:r w:rsidR="00AC7ABA">
        <w:rPr>
          <w:rFonts w:asciiTheme="majorHAnsi" w:eastAsia="Cambria" w:hAnsiTheme="majorHAnsi" w:cs="Cambria"/>
          <w:sz w:val="20"/>
          <w:szCs w:val="20"/>
        </w:rPr>
        <w:t>:</w:t>
      </w:r>
      <w:r w:rsidRPr="009F1B62">
        <w:rPr>
          <w:rStyle w:val="FootnoteReference"/>
          <w:rFonts w:asciiTheme="majorHAnsi" w:eastAsia="Cambria" w:hAnsiTheme="majorHAnsi" w:cs="Cambria"/>
          <w:sz w:val="20"/>
          <w:szCs w:val="20"/>
        </w:rPr>
        <w:footnoteReference w:id="51"/>
      </w:r>
    </w:p>
    <w:p w14:paraId="362A44C2" w14:textId="77777777" w:rsidR="000157B5" w:rsidRPr="009F1B62" w:rsidRDefault="000157B5" w:rsidP="000157B5">
      <w:pPr>
        <w:pStyle w:val="ListParagraph"/>
        <w:rPr>
          <w:rFonts w:asciiTheme="majorHAnsi" w:hAnsiTheme="majorHAnsi"/>
          <w:sz w:val="20"/>
          <w:szCs w:val="20"/>
        </w:rPr>
      </w:pPr>
    </w:p>
    <w:p w14:paraId="0E9CA5CB" w14:textId="77777777" w:rsidR="000157B5" w:rsidRPr="004D27DE" w:rsidRDefault="00653AC7" w:rsidP="00AE6157">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rPr>
      </w:pPr>
      <w:r w:rsidRPr="004D27DE">
        <w:rPr>
          <w:rFonts w:asciiTheme="majorHAnsi" w:eastAsia="Cambria" w:hAnsiTheme="majorHAnsi" w:cs="Cambria"/>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4D27DE">
        <w:rPr>
          <w:rFonts w:asciiTheme="majorHAnsi" w:hAnsiTheme="majorHAnsi"/>
          <w:sz w:val="18"/>
          <w:szCs w:val="18"/>
          <w:vertAlign w:val="superscript"/>
        </w:rPr>
        <w:footnoteReference w:id="52"/>
      </w:r>
    </w:p>
    <w:p w14:paraId="2A9102A9" w14:textId="77777777" w:rsidR="00A169DC" w:rsidRPr="00A169DC" w:rsidRDefault="00A169DC" w:rsidP="00A169DC">
      <w:pPr>
        <w:rPr>
          <w:rFonts w:asciiTheme="majorHAnsi" w:hAnsiTheme="majorHAnsi"/>
          <w:sz w:val="20"/>
          <w:szCs w:val="20"/>
        </w:rPr>
      </w:pPr>
    </w:p>
    <w:p w14:paraId="181FE3CA" w14:textId="77777777" w:rsidR="00653AC7" w:rsidRPr="00A169DC" w:rsidRDefault="00653AC7"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A169DC">
        <w:rPr>
          <w:rFonts w:asciiTheme="majorHAnsi" w:eastAsia="Cambria" w:hAnsiTheme="majorHAnsi" w:cs="Cambria"/>
          <w:sz w:val="20"/>
          <w:szCs w:val="20"/>
        </w:rPr>
        <w:t xml:space="preserve">The Inter-American Commission will therefore review the petitioner’s allegations in the present case with a heightened level of scrutiny, to ensure in particular that the rights to life, </w:t>
      </w:r>
      <w:r w:rsidR="005425FB" w:rsidRPr="005425FB">
        <w:rPr>
          <w:rFonts w:asciiTheme="majorHAnsi" w:eastAsia="Cambria" w:hAnsiTheme="majorHAnsi" w:cs="Cambria"/>
          <w:sz w:val="20"/>
          <w:szCs w:val="20"/>
        </w:rPr>
        <w:t>the</w:t>
      </w:r>
      <w:r w:rsidR="005425FB" w:rsidRPr="004A29AF">
        <w:rPr>
          <w:rFonts w:asciiTheme="majorHAnsi" w:eastAsia="Cambria" w:hAnsiTheme="majorHAnsi" w:cs="Cambria"/>
          <w:sz w:val="20"/>
          <w:szCs w:val="20"/>
        </w:rPr>
        <w:t xml:space="preserve"> prohibition of</w:t>
      </w:r>
      <w:r w:rsidR="005425FB" w:rsidRPr="002D5B60">
        <w:rPr>
          <w:rFonts w:asciiTheme="majorHAnsi" w:eastAsia="Cambria" w:hAnsiTheme="majorHAnsi" w:cs="Cambria"/>
          <w:sz w:val="20"/>
          <w:szCs w:val="20"/>
        </w:rPr>
        <w:t xml:space="preserve"> </w:t>
      </w:r>
      <w:r w:rsidR="005425FB" w:rsidRPr="004D27DE">
        <w:rPr>
          <w:rFonts w:asciiTheme="majorHAnsi" w:hAnsiTheme="majorHAnsi"/>
          <w:sz w:val="20"/>
        </w:rPr>
        <w:t>cruel, infamous or unusual punishment</w:t>
      </w:r>
      <w:r w:rsidR="004A29AF">
        <w:rPr>
          <w:rFonts w:asciiTheme="majorHAnsi" w:hAnsiTheme="majorHAnsi"/>
          <w:sz w:val="20"/>
        </w:rPr>
        <w:t>,</w:t>
      </w:r>
      <w:r w:rsidR="005425FB" w:rsidRPr="005425FB">
        <w:rPr>
          <w:rFonts w:asciiTheme="majorHAnsi" w:eastAsia="Cambria" w:hAnsiTheme="majorHAnsi" w:cs="Cambria"/>
          <w:sz w:val="20"/>
          <w:szCs w:val="20"/>
        </w:rPr>
        <w:t xml:space="preserve"> </w:t>
      </w:r>
      <w:r w:rsidRPr="00A169DC">
        <w:rPr>
          <w:rFonts w:asciiTheme="majorHAnsi" w:eastAsia="Cambria" w:hAnsiTheme="majorHAnsi" w:cs="Cambria"/>
          <w:sz w:val="20"/>
          <w:szCs w:val="20"/>
        </w:rPr>
        <w:t>due process, and to a fair trial as prescribed under the American Declaration have been respected by the State.  With regard to the legal status of the American Declaration, the IACHR reiterates that:</w:t>
      </w:r>
    </w:p>
    <w:p w14:paraId="1A72806C" w14:textId="77777777" w:rsidR="00653AC7" w:rsidRPr="009F1B62" w:rsidRDefault="00653AC7" w:rsidP="00653AC7">
      <w:pPr>
        <w:pStyle w:val="Body"/>
        <w:tabs>
          <w:tab w:val="left" w:pos="630"/>
          <w:tab w:val="left" w:pos="810"/>
        </w:tabs>
        <w:jc w:val="both"/>
        <w:rPr>
          <w:rFonts w:asciiTheme="majorHAnsi" w:eastAsia="Cambria" w:hAnsiTheme="majorHAnsi" w:cs="Cambria"/>
          <w:sz w:val="20"/>
          <w:szCs w:val="20"/>
        </w:rPr>
      </w:pPr>
    </w:p>
    <w:p w14:paraId="35B56003" w14:textId="77777777" w:rsidR="00DE5D25" w:rsidRPr="004D27DE" w:rsidRDefault="00653AC7" w:rsidP="00AE6157">
      <w:pPr>
        <w:pStyle w:val="Body"/>
        <w:tabs>
          <w:tab w:val="left" w:pos="630"/>
          <w:tab w:val="left" w:pos="810"/>
        </w:tabs>
        <w:ind w:left="360" w:right="360"/>
        <w:jc w:val="both"/>
        <w:rPr>
          <w:rFonts w:asciiTheme="majorHAnsi" w:eastAsia="Cambria" w:hAnsiTheme="majorHAnsi" w:cs="Cambria"/>
          <w:sz w:val="18"/>
          <w:szCs w:val="18"/>
        </w:rPr>
      </w:pPr>
      <w:r w:rsidRPr="004D27DE">
        <w:rPr>
          <w:rFonts w:asciiTheme="majorHAnsi" w:eastAsia="Cambria" w:hAnsiTheme="majorHAnsi" w:cs="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r w:rsidRPr="004D27DE">
        <w:rPr>
          <w:rFonts w:asciiTheme="majorHAnsi" w:eastAsia="Cambria" w:hAnsiTheme="majorHAnsi" w:cs="Cambria"/>
          <w:sz w:val="18"/>
          <w:szCs w:val="18"/>
          <w:vertAlign w:val="superscript"/>
        </w:rPr>
        <w:footnoteReference w:id="53"/>
      </w:r>
    </w:p>
    <w:p w14:paraId="0A313673" w14:textId="77777777" w:rsidR="00B07DF4" w:rsidRPr="00935091" w:rsidRDefault="00B07DF4" w:rsidP="00B07DF4">
      <w:pPr>
        <w:suppressAutoHyphens/>
        <w:rPr>
          <w:rFonts w:asciiTheme="majorHAnsi" w:hAnsiTheme="majorHAnsi"/>
          <w:sz w:val="20"/>
          <w:szCs w:val="20"/>
        </w:rPr>
      </w:pPr>
    </w:p>
    <w:p w14:paraId="1D0287B6" w14:textId="77777777" w:rsidR="006F1491" w:rsidRPr="00B83E63" w:rsidRDefault="00E24EEF" w:rsidP="00AE6157">
      <w:pPr>
        <w:pStyle w:val="Heading2"/>
        <w:numPr>
          <w:ilvl w:val="0"/>
          <w:numId w:val="64"/>
        </w:numPr>
        <w:spacing w:before="0"/>
        <w:ind w:left="360"/>
        <w:rPr>
          <w:rFonts w:eastAsia="Arial Unicode MS"/>
          <w:color w:val="auto"/>
          <w:sz w:val="20"/>
          <w:szCs w:val="20"/>
        </w:rPr>
      </w:pPr>
      <w:bookmarkStart w:id="19" w:name="_Toc90300520"/>
      <w:r w:rsidRPr="00082F7D">
        <w:rPr>
          <w:color w:val="auto"/>
          <w:sz w:val="20"/>
          <w:szCs w:val="20"/>
        </w:rPr>
        <w:t>Right</w:t>
      </w:r>
      <w:r w:rsidRPr="009E075C">
        <w:rPr>
          <w:rFonts w:eastAsia="Arial Unicode MS"/>
          <w:color w:val="auto"/>
          <w:sz w:val="20"/>
          <w:szCs w:val="20"/>
        </w:rPr>
        <w:t xml:space="preserve"> to a fair trial</w:t>
      </w:r>
      <w:r w:rsidRPr="009E075C">
        <w:rPr>
          <w:rStyle w:val="FootnoteReference"/>
          <w:rFonts w:eastAsia="Arial Unicode MS"/>
          <w:color w:val="auto"/>
          <w:sz w:val="20"/>
          <w:szCs w:val="20"/>
        </w:rPr>
        <w:footnoteReference w:id="54"/>
      </w:r>
      <w:r w:rsidRPr="009E075C">
        <w:rPr>
          <w:rFonts w:eastAsia="Arial Unicode MS"/>
          <w:color w:val="auto"/>
          <w:sz w:val="20"/>
          <w:szCs w:val="20"/>
        </w:rPr>
        <w:t xml:space="preserve"> </w:t>
      </w:r>
      <w:r w:rsidRPr="00B83E63">
        <w:rPr>
          <w:rFonts w:eastAsia="Arial Unicode MS"/>
          <w:color w:val="auto"/>
          <w:sz w:val="20"/>
          <w:szCs w:val="20"/>
        </w:rPr>
        <w:t>and to due process of law</w:t>
      </w:r>
      <w:r w:rsidRPr="00B83E63">
        <w:rPr>
          <w:rStyle w:val="FootnoteReference"/>
          <w:rFonts w:eastAsia="Arial Unicode MS"/>
          <w:color w:val="auto"/>
          <w:sz w:val="20"/>
          <w:szCs w:val="20"/>
        </w:rPr>
        <w:footnoteReference w:id="55"/>
      </w:r>
      <w:bookmarkEnd w:id="19"/>
      <w:r w:rsidRPr="00B83E63">
        <w:rPr>
          <w:rFonts w:eastAsia="Arial Unicode MS"/>
          <w:color w:val="auto"/>
          <w:sz w:val="20"/>
          <w:szCs w:val="20"/>
        </w:rPr>
        <w:t xml:space="preserve">  </w:t>
      </w:r>
      <w:r w:rsidR="009B7A99" w:rsidRPr="00B83E63">
        <w:t xml:space="preserve"> </w:t>
      </w:r>
    </w:p>
    <w:p w14:paraId="051D11DC" w14:textId="77777777" w:rsidR="00FF4C3A" w:rsidRPr="00B83E63" w:rsidRDefault="00272597" w:rsidP="00AE6157">
      <w:pPr>
        <w:pStyle w:val="Heading2"/>
        <w:numPr>
          <w:ilvl w:val="1"/>
          <w:numId w:val="53"/>
        </w:numPr>
        <w:ind w:left="360"/>
        <w:rPr>
          <w:rFonts w:eastAsia="Arial Unicode MS"/>
          <w:color w:val="auto"/>
          <w:sz w:val="20"/>
          <w:szCs w:val="20"/>
        </w:rPr>
      </w:pPr>
      <w:bookmarkStart w:id="20" w:name="_Toc90300521"/>
      <w:r w:rsidRPr="00B83E63">
        <w:rPr>
          <w:rFonts w:eastAsia="Arial Unicode MS"/>
          <w:color w:val="auto"/>
          <w:sz w:val="20"/>
          <w:szCs w:val="20"/>
        </w:rPr>
        <w:t>General considerations on i</w:t>
      </w:r>
      <w:r w:rsidR="003148C2" w:rsidRPr="00B83E63">
        <w:rPr>
          <w:rFonts w:eastAsia="Arial Unicode MS"/>
          <w:color w:val="auto"/>
          <w:sz w:val="20"/>
          <w:szCs w:val="20"/>
        </w:rPr>
        <w:t>neffective assistance of court-</w:t>
      </w:r>
      <w:r w:rsidR="00BD356C" w:rsidRPr="00B83E63">
        <w:rPr>
          <w:rFonts w:eastAsia="Arial Unicode MS"/>
          <w:color w:val="auto"/>
          <w:sz w:val="20"/>
          <w:szCs w:val="20"/>
        </w:rPr>
        <w:t>appointed counsel</w:t>
      </w:r>
      <w:bookmarkEnd w:id="20"/>
    </w:p>
    <w:p w14:paraId="4742D600" w14:textId="77777777" w:rsidR="00DF76CC" w:rsidRPr="00B83E63" w:rsidRDefault="00DF76CC" w:rsidP="00DF76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A1896DD" w14:textId="77777777" w:rsidR="00E80E04" w:rsidRPr="00B83E63" w:rsidRDefault="00E80E04" w:rsidP="00E80E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B83E63">
        <w:rPr>
          <w:sz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B83E63">
        <w:rPr>
          <w:rStyle w:val="FootnoteReference"/>
          <w:sz w:val="20"/>
        </w:rPr>
        <w:footnoteReference w:id="56"/>
      </w:r>
      <w:r w:rsidRPr="00B83E63">
        <w:rPr>
          <w:sz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w:t>
      </w:r>
      <w:r w:rsidRPr="00B83E63">
        <w:rPr>
          <w:sz w:val="20"/>
        </w:rPr>
        <w:lastRenderedPageBreak/>
        <w:t>manifest or sufficiently brought to their attention. Rigorous compliance with the defendant’s right to competent counsel is compelled by the possibility of the application of the death penalty.”</w:t>
      </w:r>
      <w:r w:rsidRPr="00B83E63">
        <w:rPr>
          <w:rStyle w:val="FootnoteReference"/>
          <w:sz w:val="20"/>
        </w:rPr>
        <w:footnoteReference w:id="57"/>
      </w:r>
    </w:p>
    <w:p w14:paraId="4C608675" w14:textId="77777777" w:rsidR="00E80E04" w:rsidRPr="00B83E63" w:rsidRDefault="00E80E04" w:rsidP="00E80E0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2E131F1B" w14:textId="77777777" w:rsidR="00E80E04" w:rsidRPr="00B83E63" w:rsidRDefault="00E80E04" w:rsidP="00E80E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pPr>
      <w:r w:rsidRPr="00B83E63">
        <w:rPr>
          <w:sz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w:t>
      </w:r>
      <w:r w:rsidRPr="00B83E63">
        <w:rPr>
          <w:rStyle w:val="FootnoteReference"/>
          <w:sz w:val="20"/>
        </w:rPr>
        <w:footnoteReference w:id="58"/>
      </w:r>
      <w:r w:rsidRPr="00B83E63">
        <w:rPr>
          <w:rStyle w:val="FootnoteReference"/>
        </w:rPr>
        <w:t xml:space="preserve"> </w:t>
      </w:r>
    </w:p>
    <w:p w14:paraId="2E9D182A" w14:textId="77777777" w:rsidR="00E80E04" w:rsidRPr="00B83E63" w:rsidRDefault="00E80E04" w:rsidP="00E80E0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5BB4D66D" w14:textId="77777777" w:rsidR="00E80E04" w:rsidRPr="00B83E63" w:rsidRDefault="00E80E04" w:rsidP="00E80E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B83E63">
        <w:rPr>
          <w:sz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B83E63">
        <w:rPr>
          <w:rStyle w:val="FootnoteReference"/>
          <w:sz w:val="20"/>
        </w:rPr>
        <w:footnoteReference w:id="59"/>
      </w:r>
      <w:r w:rsidRPr="00B83E63">
        <w:rPr>
          <w:rStyle w:val="FootnoteReference"/>
        </w:rPr>
        <w:t xml:space="preserve"> </w:t>
      </w:r>
      <w:r w:rsidRPr="00B83E63">
        <w:rPr>
          <w:sz w:val="20"/>
        </w:rPr>
        <w:t xml:space="preserve">The Commission has also indicated that due process protections, under the Declaration: </w:t>
      </w:r>
    </w:p>
    <w:p w14:paraId="43930544" w14:textId="77777777" w:rsidR="00E80E04" w:rsidRPr="00B83E63" w:rsidRDefault="00E80E04" w:rsidP="00E80E0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7A3DCA3B" w14:textId="77777777" w:rsidR="00E80E04" w:rsidRPr="00B83E63" w:rsidRDefault="00E80E04" w:rsidP="00E80E0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sz w:val="18"/>
          <w:szCs w:val="18"/>
        </w:rPr>
      </w:pPr>
      <w:r w:rsidRPr="00B83E63">
        <w:rPr>
          <w:sz w:val="18"/>
          <w:szCs w:val="18"/>
        </w:rPr>
        <w:t>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readaptation of the offender.</w:t>
      </w:r>
      <w:r w:rsidRPr="00B83E63">
        <w:rPr>
          <w:rStyle w:val="FootnoteReference"/>
          <w:sz w:val="18"/>
          <w:szCs w:val="18"/>
        </w:rPr>
        <w:footnoteReference w:id="60"/>
      </w:r>
    </w:p>
    <w:p w14:paraId="2F84330B" w14:textId="77777777" w:rsidR="00E80E04" w:rsidRPr="00B83E63" w:rsidRDefault="00E80E04" w:rsidP="00E80E0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7DA6FF57" w14:textId="77777777" w:rsidR="00E80E04" w:rsidRPr="00B83E63" w:rsidRDefault="00E80E04" w:rsidP="00E80E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B83E63">
        <w:rPr>
          <w:sz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B83E63">
        <w:rPr>
          <w:rStyle w:val="FootnoteReference"/>
          <w:sz w:val="20"/>
        </w:rPr>
        <w:footnoteReference w:id="61"/>
      </w:r>
      <w:r w:rsidRPr="00B83E63">
        <w:rPr>
          <w:rStyle w:val="FootnoteReference"/>
        </w:rPr>
        <w:t xml:space="preserve"> </w:t>
      </w:r>
      <w:r w:rsidRPr="00B83E63">
        <w:rPr>
          <w:sz w:val="20"/>
        </w:rPr>
        <w:t>According to these guidelines, the duty of counsel in the United States to investigate and present mitigating evidence is now well-established and “[b]ecause the sentencer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B83E63">
        <w:rPr>
          <w:rStyle w:val="FootnoteReference"/>
          <w:sz w:val="20"/>
        </w:rPr>
        <w:footnoteReference w:id="62"/>
      </w:r>
      <w:r w:rsidRPr="00B83E63">
        <w:rPr>
          <w:rStyle w:val="FootnoteReference"/>
        </w:rPr>
        <w:t xml:space="preserve"> </w:t>
      </w:r>
      <w:r w:rsidRPr="00B83E63">
        <w:rPr>
          <w:sz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B83E63">
        <w:rPr>
          <w:rStyle w:val="FootnoteReference"/>
          <w:sz w:val="20"/>
        </w:rPr>
        <w:footnoteReference w:id="63"/>
      </w:r>
      <w:r w:rsidR="00BF0C65" w:rsidRPr="00B83E63">
        <w:rPr>
          <w:sz w:val="20"/>
        </w:rPr>
        <w:t xml:space="preserve"> </w:t>
      </w:r>
    </w:p>
    <w:p w14:paraId="0A9E9E5A" w14:textId="77777777" w:rsidR="00BB73EB" w:rsidRPr="00B83E63" w:rsidRDefault="00BB73EB" w:rsidP="00BB73E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14:paraId="022D8BFC" w14:textId="77777777" w:rsidR="00A53C80" w:rsidRPr="00BE5F6B" w:rsidRDefault="00E922C4" w:rsidP="00A53C8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B83E63">
        <w:rPr>
          <w:sz w:val="20"/>
        </w:rPr>
        <w:t>Further, a</w:t>
      </w:r>
      <w:r w:rsidR="007C7743" w:rsidRPr="00B83E63">
        <w:rPr>
          <w:sz w:val="20"/>
        </w:rPr>
        <w:t>ccording to the said guidelines, the defense team should consist of no fewer than two attorneys qualified in accordance with Guideline 5.1, an investigator, and a mitigation specialist.</w:t>
      </w:r>
      <w:r w:rsidR="00BB73EB" w:rsidRPr="00B83E63">
        <w:rPr>
          <w:sz w:val="20"/>
        </w:rPr>
        <w:t xml:space="preserve"> It should also contain at least one member qualified by training and experience to screen individuals for the presence of mental or psychological </w:t>
      </w:r>
      <w:r w:rsidR="00BB73EB" w:rsidRPr="00BE5F6B">
        <w:rPr>
          <w:sz w:val="20"/>
        </w:rPr>
        <w:t>disorders or impairments.</w:t>
      </w:r>
      <w:r w:rsidR="00BF0C65" w:rsidRPr="00BE5F6B">
        <w:rPr>
          <w:rStyle w:val="FootnoteReference"/>
          <w:sz w:val="20"/>
        </w:rPr>
        <w:footnoteReference w:id="64"/>
      </w:r>
      <w:r w:rsidR="00BB73EB" w:rsidRPr="00BE5F6B">
        <w:rPr>
          <w:sz w:val="20"/>
        </w:rPr>
        <w:t xml:space="preserve"> </w:t>
      </w:r>
    </w:p>
    <w:p w14:paraId="285FF93F" w14:textId="77777777" w:rsidR="00272597" w:rsidRPr="00BE5F6B" w:rsidRDefault="00272597" w:rsidP="00272597">
      <w:pPr>
        <w:pStyle w:val="Heading2"/>
        <w:numPr>
          <w:ilvl w:val="1"/>
          <w:numId w:val="53"/>
        </w:numPr>
        <w:ind w:left="360"/>
        <w:rPr>
          <w:rFonts w:eastAsia="Arial Unicode MS"/>
          <w:color w:val="auto"/>
          <w:sz w:val="20"/>
          <w:szCs w:val="20"/>
        </w:rPr>
      </w:pPr>
      <w:bookmarkStart w:id="21" w:name="_Toc90300522"/>
      <w:r w:rsidRPr="00BE5F6B">
        <w:rPr>
          <w:rFonts w:eastAsia="Arial Unicode MS"/>
          <w:color w:val="auto"/>
          <w:sz w:val="20"/>
          <w:szCs w:val="20"/>
        </w:rPr>
        <w:t>Analysis of the case</w:t>
      </w:r>
      <w:bookmarkEnd w:id="21"/>
    </w:p>
    <w:p w14:paraId="04E9B04C" w14:textId="77777777" w:rsidR="00A53C80" w:rsidRPr="00BE5F6B" w:rsidRDefault="00A53C80" w:rsidP="00A53C80">
      <w:pPr>
        <w:pStyle w:val="ListParagraph"/>
        <w:rPr>
          <w:sz w:val="20"/>
        </w:rPr>
      </w:pPr>
    </w:p>
    <w:p w14:paraId="141D05E4" w14:textId="77777777" w:rsidR="00CB0811" w:rsidRPr="00BE5F6B" w:rsidRDefault="00A53C80" w:rsidP="008F469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rPr>
      </w:pPr>
      <w:r w:rsidRPr="00BE5F6B">
        <w:rPr>
          <w:sz w:val="20"/>
        </w:rPr>
        <w:t xml:space="preserve">According to the information available and the record before the IACHR, </w:t>
      </w:r>
      <w:r w:rsidR="008F4691" w:rsidRPr="00BE5F6B">
        <w:rPr>
          <w:sz w:val="20"/>
        </w:rPr>
        <w:t>Mr. Thompson was appointed two trial attorneys</w:t>
      </w:r>
      <w:r w:rsidR="00CB0811" w:rsidRPr="00BE5F6B">
        <w:rPr>
          <w:sz w:val="20"/>
        </w:rPr>
        <w:t>, Mr. Rollins and Mr. Parsons,</w:t>
      </w:r>
      <w:r w:rsidR="008F4691" w:rsidRPr="00BE5F6B">
        <w:rPr>
          <w:sz w:val="20"/>
        </w:rPr>
        <w:t xml:space="preserve"> who </w:t>
      </w:r>
      <w:r w:rsidR="00106C74" w:rsidRPr="00BE5F6B">
        <w:rPr>
          <w:sz w:val="20"/>
        </w:rPr>
        <w:t>quickly</w:t>
      </w:r>
      <w:r w:rsidR="008F4691" w:rsidRPr="00BE5F6B">
        <w:rPr>
          <w:sz w:val="20"/>
        </w:rPr>
        <w:t xml:space="preserve"> moved to withdraw </w:t>
      </w:r>
      <w:r w:rsidR="00106C74" w:rsidRPr="00BE5F6B">
        <w:rPr>
          <w:sz w:val="20"/>
        </w:rPr>
        <w:t xml:space="preserve">because of conflict of interest. </w:t>
      </w:r>
      <w:r w:rsidR="00CB0811" w:rsidRPr="00BE5F6B">
        <w:rPr>
          <w:sz w:val="20"/>
        </w:rPr>
        <w:t xml:space="preserve">Mr. Richardon was substituted as co-counsel and moved to have Mr. Parsons re-appointed. Also, according to the available information not controverted by the State, defense counsel had no prior experience in death penalty </w:t>
      </w:r>
      <w:r w:rsidR="00CB0811" w:rsidRPr="00BE5F6B">
        <w:rPr>
          <w:sz w:val="20"/>
        </w:rPr>
        <w:lastRenderedPageBreak/>
        <w:t xml:space="preserve">cases. Once trial began, </w:t>
      </w:r>
      <w:r w:rsidR="00FE67A2" w:rsidRPr="00BE5F6B">
        <w:rPr>
          <w:sz w:val="20"/>
        </w:rPr>
        <w:t xml:space="preserve">Mr. Thompson’s defense presented no proof in the </w:t>
      </w:r>
      <w:r w:rsidR="00CB0811" w:rsidRPr="00BE5F6B">
        <w:rPr>
          <w:sz w:val="20"/>
        </w:rPr>
        <w:t>guilt</w:t>
      </w:r>
      <w:r w:rsidR="00FE67A2" w:rsidRPr="00BE5F6B">
        <w:rPr>
          <w:sz w:val="20"/>
        </w:rPr>
        <w:t xml:space="preserve"> phase. At the sentencing hearing, defense counsel presented several witnesses who </w:t>
      </w:r>
      <w:r w:rsidR="00B17931" w:rsidRPr="00BE5F6B">
        <w:rPr>
          <w:sz w:val="20"/>
        </w:rPr>
        <w:t>offered</w:t>
      </w:r>
      <w:r w:rsidR="00FE67A2" w:rsidRPr="00BE5F6B">
        <w:rPr>
          <w:sz w:val="20"/>
        </w:rPr>
        <w:t xml:space="preserve"> an “unchallenged picture of Mr. Thompson as a non-violent, cooperative, responsible young person through his schools years, until he joined the Navy, and rather ambiguous behavior during his military service</w:t>
      </w:r>
      <w:r w:rsidR="008F4691" w:rsidRPr="00BE5F6B">
        <w:rPr>
          <w:sz w:val="20"/>
        </w:rPr>
        <w:t>.</w:t>
      </w:r>
      <w:r w:rsidR="00FE67A2" w:rsidRPr="00BE5F6B">
        <w:rPr>
          <w:sz w:val="20"/>
        </w:rPr>
        <w:t>”</w:t>
      </w:r>
      <w:r w:rsidR="008F4691" w:rsidRPr="00BE5F6B">
        <w:rPr>
          <w:sz w:val="20"/>
        </w:rPr>
        <w:t xml:space="preserve"> Defense attorneys also presented the testimony of a clinical psychologist who testified about Mr. Thompson’s personality and capabilities for employment in prison. </w:t>
      </w:r>
      <w:r w:rsidR="00CB0811" w:rsidRPr="00BE5F6B">
        <w:rPr>
          <w:sz w:val="20"/>
        </w:rPr>
        <w:t xml:space="preserve">Further, at the </w:t>
      </w:r>
      <w:r w:rsidR="00A127E6" w:rsidRPr="00BE5F6B">
        <w:rPr>
          <w:sz w:val="20"/>
        </w:rPr>
        <w:t xml:space="preserve">post-conviction </w:t>
      </w:r>
      <w:r w:rsidR="00CB0811" w:rsidRPr="00BE5F6B">
        <w:rPr>
          <w:sz w:val="20"/>
        </w:rPr>
        <w:t xml:space="preserve">evidentiary hearing, </w:t>
      </w:r>
      <w:r w:rsidR="00A127E6" w:rsidRPr="00BE5F6B">
        <w:rPr>
          <w:sz w:val="20"/>
        </w:rPr>
        <w:t xml:space="preserve">trial counsel conceded that they could have probably found a psychiatrist to say Mr. Thompson had brain damage. </w:t>
      </w:r>
    </w:p>
    <w:p w14:paraId="3877AABC" w14:textId="77777777" w:rsidR="00A127E6" w:rsidRPr="00BE5F6B" w:rsidRDefault="00A127E6" w:rsidP="00A127E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szCs w:val="20"/>
        </w:rPr>
      </w:pPr>
    </w:p>
    <w:p w14:paraId="61DDBCE5" w14:textId="77777777" w:rsidR="00946782" w:rsidRPr="00BE5F6B" w:rsidRDefault="00A127E6" w:rsidP="00E80E0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szCs w:val="20"/>
        </w:rPr>
      </w:pPr>
      <w:r w:rsidRPr="00BE5F6B">
        <w:rPr>
          <w:sz w:val="20"/>
          <w:szCs w:val="20"/>
        </w:rPr>
        <w:t>Based on this information</w:t>
      </w:r>
      <w:r w:rsidR="00C94DFF" w:rsidRPr="00BE5F6B">
        <w:rPr>
          <w:sz w:val="20"/>
          <w:szCs w:val="20"/>
        </w:rPr>
        <w:t xml:space="preserve"> and on the above-mentioned standards</w:t>
      </w:r>
      <w:r w:rsidRPr="00BE5F6B">
        <w:rPr>
          <w:sz w:val="20"/>
          <w:szCs w:val="20"/>
        </w:rPr>
        <w:t>, th</w:t>
      </w:r>
      <w:r w:rsidR="00C94DFF" w:rsidRPr="00BE5F6B">
        <w:rPr>
          <w:sz w:val="20"/>
          <w:szCs w:val="20"/>
        </w:rPr>
        <w:t xml:space="preserve">e Commission concludes that legal representation afforded to Mr. Thompson did not comport to the high quality standard required in capital cases.  </w:t>
      </w:r>
      <w:r w:rsidR="009C44D0" w:rsidRPr="00BE5F6B">
        <w:rPr>
          <w:sz w:val="20"/>
          <w:szCs w:val="20"/>
        </w:rPr>
        <w:t>According to the ABA Guidelines, p</w:t>
      </w:r>
      <w:r w:rsidR="00C94DFF" w:rsidRPr="00BE5F6B">
        <w:rPr>
          <w:rFonts w:cs="CNPBOL+TimesNewRoman"/>
          <w:sz w:val="20"/>
          <w:szCs w:val="20"/>
        </w:rPr>
        <w:t>roviding quality representation in capital cases requires counsel to undertake broad investigation and preparation.</w:t>
      </w:r>
      <w:r w:rsidR="009C44D0" w:rsidRPr="00BE5F6B">
        <w:rPr>
          <w:rFonts w:cs="CNPBOL+TimesNewRoman"/>
          <w:sz w:val="20"/>
          <w:szCs w:val="20"/>
        </w:rPr>
        <w:t xml:space="preserve"> Counsel must promptly obtain the investigative resources necessary to prepare for both phases, including at minimum the assistance of a professional investigator and a mitigation specialist, as well as all professional expertise appropriate to the case.</w:t>
      </w:r>
      <w:r w:rsidR="009C44D0" w:rsidRPr="00BE5F6B">
        <w:rPr>
          <w:rStyle w:val="FootnoteReference"/>
          <w:sz w:val="20"/>
          <w:szCs w:val="20"/>
        </w:rPr>
        <w:footnoteReference w:id="65"/>
      </w:r>
      <w:r w:rsidR="009E1313" w:rsidRPr="00BE5F6B">
        <w:rPr>
          <w:rFonts w:cs="CNPBOL+TimesNewRoman"/>
          <w:sz w:val="20"/>
          <w:szCs w:val="20"/>
        </w:rPr>
        <w:t xml:space="preserve"> </w:t>
      </w:r>
    </w:p>
    <w:p w14:paraId="12A48BCA" w14:textId="77777777" w:rsidR="00946782" w:rsidRPr="00BE5F6B" w:rsidRDefault="00946782" w:rsidP="00946782">
      <w:pPr>
        <w:pStyle w:val="ListParagraph"/>
        <w:rPr>
          <w:rFonts w:cs="CNPBOL+TimesNewRoman"/>
          <w:sz w:val="20"/>
          <w:szCs w:val="20"/>
        </w:rPr>
      </w:pPr>
    </w:p>
    <w:p w14:paraId="4D937BC1" w14:textId="77777777" w:rsidR="004C38AC" w:rsidRPr="00BE5F6B" w:rsidRDefault="009E1313" w:rsidP="00CB7D8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szCs w:val="20"/>
        </w:rPr>
      </w:pPr>
      <w:r w:rsidRPr="00BE5F6B">
        <w:rPr>
          <w:sz w:val="20"/>
          <w:szCs w:val="20"/>
        </w:rPr>
        <w:t xml:space="preserve">In the instant case, </w:t>
      </w:r>
      <w:r w:rsidR="00946782" w:rsidRPr="00BE5F6B">
        <w:rPr>
          <w:sz w:val="20"/>
          <w:szCs w:val="20"/>
        </w:rPr>
        <w:t>trial counsel had never litigated a death penalty case before, presented no evidence at the guilt phase, and</w:t>
      </w:r>
      <w:r w:rsidR="00CB7D84" w:rsidRPr="00BE5F6B">
        <w:rPr>
          <w:sz w:val="20"/>
          <w:szCs w:val="20"/>
        </w:rPr>
        <w:t xml:space="preserve"> presented only positive character witnesses at the sentencing phase. In a capital case, the defendant’s psychological and social history and his emotional and mental health are often of vital importance to the jury’s decision at the punishment phase. In order to create a competent and reliable mental health evaluation consistent with prevailing standards of practice, counsel must compile extensive historical data, as well as obtain a thorough physical and neurological examination.</w:t>
      </w:r>
      <w:r w:rsidR="00CB7D84" w:rsidRPr="00BE5F6B">
        <w:rPr>
          <w:rStyle w:val="FootnoteReference"/>
          <w:sz w:val="20"/>
          <w:szCs w:val="20"/>
        </w:rPr>
        <w:footnoteReference w:id="66"/>
      </w:r>
      <w:r w:rsidR="00CB7D84" w:rsidRPr="00BE5F6B">
        <w:rPr>
          <w:sz w:val="20"/>
          <w:szCs w:val="20"/>
        </w:rPr>
        <w:t xml:space="preserve"> </w:t>
      </w:r>
    </w:p>
    <w:p w14:paraId="2DFF7DDF" w14:textId="77777777" w:rsidR="004C38AC" w:rsidRPr="00BE5F6B" w:rsidRDefault="004C38AC" w:rsidP="004C38AC">
      <w:pPr>
        <w:pStyle w:val="ListParagraph"/>
        <w:rPr>
          <w:sz w:val="20"/>
          <w:szCs w:val="20"/>
        </w:rPr>
      </w:pPr>
    </w:p>
    <w:p w14:paraId="3D8C96EC" w14:textId="77777777" w:rsidR="00946782" w:rsidRPr="00BE5F6B" w:rsidRDefault="00CB7D84" w:rsidP="00CB7D8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s>
        <w:autoSpaceDE w:val="0"/>
        <w:autoSpaceDN w:val="0"/>
        <w:adjustRightInd w:val="0"/>
        <w:ind w:left="0" w:firstLine="0"/>
        <w:jc w:val="both"/>
        <w:rPr>
          <w:sz w:val="20"/>
          <w:szCs w:val="20"/>
        </w:rPr>
      </w:pPr>
      <w:r w:rsidRPr="00BE5F6B">
        <w:rPr>
          <w:sz w:val="20"/>
          <w:szCs w:val="20"/>
        </w:rPr>
        <w:t>T</w:t>
      </w:r>
      <w:r w:rsidR="009E1313" w:rsidRPr="00BE5F6B">
        <w:rPr>
          <w:sz w:val="20"/>
          <w:szCs w:val="20"/>
        </w:rPr>
        <w:t xml:space="preserve">he Commission notes that, although one of the main issues at stake </w:t>
      </w:r>
      <w:r w:rsidR="007C033D" w:rsidRPr="00BE5F6B">
        <w:rPr>
          <w:sz w:val="20"/>
          <w:szCs w:val="20"/>
        </w:rPr>
        <w:t>in</w:t>
      </w:r>
      <w:r w:rsidR="009E1313" w:rsidRPr="00BE5F6B">
        <w:rPr>
          <w:sz w:val="20"/>
          <w:szCs w:val="20"/>
        </w:rPr>
        <w:t xml:space="preserve"> Mr. Thompson’s </w:t>
      </w:r>
      <w:r w:rsidR="007C033D" w:rsidRPr="00BE5F6B">
        <w:rPr>
          <w:sz w:val="20"/>
          <w:szCs w:val="20"/>
        </w:rPr>
        <w:t xml:space="preserve">case was his </w:t>
      </w:r>
      <w:r w:rsidR="009E1313" w:rsidRPr="00BE5F6B">
        <w:rPr>
          <w:sz w:val="20"/>
          <w:szCs w:val="20"/>
        </w:rPr>
        <w:t>mental health, the only health professional hired by trial counsel was a psychologist who performed vocational evaluations to establish if he could perform a job in prison.</w:t>
      </w:r>
      <w:r w:rsidR="0089560B" w:rsidRPr="00BE5F6B">
        <w:rPr>
          <w:sz w:val="20"/>
          <w:szCs w:val="20"/>
        </w:rPr>
        <w:t xml:space="preserve"> </w:t>
      </w:r>
      <w:r w:rsidR="00ED00FB">
        <w:rPr>
          <w:sz w:val="20"/>
          <w:szCs w:val="20"/>
        </w:rPr>
        <w:t xml:space="preserve">The petitioners highlighted that it was a industrial psychologist who performed the evaluation. </w:t>
      </w:r>
      <w:r w:rsidR="0030287F" w:rsidRPr="00BE5F6B">
        <w:rPr>
          <w:sz w:val="20"/>
          <w:szCs w:val="20"/>
        </w:rPr>
        <w:t>Th</w:t>
      </w:r>
      <w:r w:rsidR="00ED00FB">
        <w:rPr>
          <w:sz w:val="20"/>
          <w:szCs w:val="20"/>
        </w:rPr>
        <w:t>is</w:t>
      </w:r>
      <w:r w:rsidR="0030287F" w:rsidRPr="00BE5F6B">
        <w:rPr>
          <w:sz w:val="20"/>
          <w:szCs w:val="20"/>
        </w:rPr>
        <w:t xml:space="preserve"> psychologist could not answer important questions on key issues relevant to Mr. Thompson’s defense. </w:t>
      </w:r>
      <w:r w:rsidR="00A90222" w:rsidRPr="00BE5F6B">
        <w:rPr>
          <w:sz w:val="20"/>
          <w:szCs w:val="20"/>
        </w:rPr>
        <w:t>T</w:t>
      </w:r>
      <w:r w:rsidR="00C130E2" w:rsidRPr="00BE5F6B">
        <w:rPr>
          <w:sz w:val="20"/>
          <w:szCs w:val="20"/>
        </w:rPr>
        <w:t>herefore, based on the</w:t>
      </w:r>
      <w:r w:rsidR="00272597" w:rsidRPr="00BE5F6B">
        <w:rPr>
          <w:sz w:val="20"/>
          <w:szCs w:val="20"/>
        </w:rPr>
        <w:t xml:space="preserve"> above-mentioned </w:t>
      </w:r>
      <w:r w:rsidR="00C130E2" w:rsidRPr="00BE5F6B">
        <w:rPr>
          <w:sz w:val="20"/>
          <w:szCs w:val="20"/>
        </w:rPr>
        <w:t>standards, t</w:t>
      </w:r>
      <w:r w:rsidR="00A90222" w:rsidRPr="00BE5F6B">
        <w:rPr>
          <w:sz w:val="20"/>
          <w:szCs w:val="20"/>
        </w:rPr>
        <w:t xml:space="preserve">rial counsel failed to deploy all efforts in order to hire a psychiatrist to evaluate Mr. Thompson’s alleged brain injuries </w:t>
      </w:r>
      <w:r w:rsidR="001256C8" w:rsidRPr="00BE5F6B">
        <w:rPr>
          <w:sz w:val="20"/>
          <w:szCs w:val="20"/>
        </w:rPr>
        <w:t xml:space="preserve">and to obtain all </w:t>
      </w:r>
      <w:r w:rsidR="001256C8" w:rsidRPr="00BE5F6B">
        <w:rPr>
          <w:rFonts w:cs="CNPBOL+TimesNewRoman"/>
          <w:sz w:val="20"/>
          <w:szCs w:val="20"/>
        </w:rPr>
        <w:t>professional expertise appropriate to the case,</w:t>
      </w:r>
      <w:r w:rsidR="001256C8" w:rsidRPr="00BE5F6B">
        <w:rPr>
          <w:sz w:val="20"/>
          <w:szCs w:val="20"/>
        </w:rPr>
        <w:t xml:space="preserve"> </w:t>
      </w:r>
      <w:r w:rsidR="00A90222" w:rsidRPr="00BE5F6B">
        <w:rPr>
          <w:sz w:val="20"/>
          <w:szCs w:val="20"/>
        </w:rPr>
        <w:t xml:space="preserve">as required in capital cases.  </w:t>
      </w:r>
    </w:p>
    <w:p w14:paraId="5586BD71" w14:textId="77777777" w:rsidR="00946782" w:rsidRPr="00BE5F6B" w:rsidRDefault="00946782" w:rsidP="00946782">
      <w:pPr>
        <w:pStyle w:val="ListParagraph"/>
        <w:rPr>
          <w:sz w:val="20"/>
          <w:szCs w:val="20"/>
        </w:rPr>
      </w:pPr>
    </w:p>
    <w:p w14:paraId="2D1E6C7F" w14:textId="77777777" w:rsidR="00E80E04" w:rsidRPr="00BE5F6B" w:rsidRDefault="00537880" w:rsidP="0054349C">
      <w:pPr>
        <w:pStyle w:val="NormalWeb"/>
        <w:numPr>
          <w:ilvl w:val="0"/>
          <w:numId w:val="55"/>
        </w:numPr>
        <w:shd w:val="clear" w:color="auto" w:fill="FFFFFF"/>
        <w:tabs>
          <w:tab w:val="left" w:pos="360"/>
          <w:tab w:val="left" w:pos="540"/>
        </w:tabs>
        <w:autoSpaceDE w:val="0"/>
        <w:autoSpaceDN w:val="0"/>
        <w:adjustRightInd w:val="0"/>
        <w:spacing w:before="0" w:beforeAutospacing="0" w:after="0" w:afterAutospacing="0"/>
        <w:ind w:left="0" w:firstLine="0"/>
        <w:jc w:val="both"/>
        <w:rPr>
          <w:sz w:val="20"/>
        </w:rPr>
      </w:pPr>
      <w:r w:rsidRPr="00BE5F6B">
        <w:rPr>
          <w:rFonts w:ascii="Cambria" w:hAnsi="Cambria"/>
          <w:sz w:val="20"/>
          <w:szCs w:val="20"/>
        </w:rPr>
        <w:t xml:space="preserve">Considering that </w:t>
      </w:r>
      <w:r w:rsidRPr="00BE5F6B">
        <w:rPr>
          <w:rFonts w:ascii="Cambria" w:hAnsi="Cambria" w:cs="Arial"/>
          <w:sz w:val="20"/>
          <w:szCs w:val="20"/>
        </w:rPr>
        <w:t xml:space="preserve">the fundamental due process and fair trial requirements for capital trials include the obligation to afford adequate legal representation, and that the failure to adequately investigate would constitute inadequate representation, the Inter-American Commission concludes that the United States violated Mr. </w:t>
      </w:r>
      <w:r w:rsidR="00E70357" w:rsidRPr="00BE5F6B">
        <w:rPr>
          <w:rFonts w:ascii="Cambria" w:hAnsi="Cambria" w:cs="Arial"/>
          <w:sz w:val="20"/>
          <w:szCs w:val="20"/>
        </w:rPr>
        <w:t>Thompson</w:t>
      </w:r>
      <w:r w:rsidRPr="00BE5F6B">
        <w:rPr>
          <w:rFonts w:ascii="Cambria" w:hAnsi="Cambria" w:cs="Arial"/>
          <w:sz w:val="20"/>
          <w:szCs w:val="20"/>
        </w:rPr>
        <w:t xml:space="preserve">’s right to due process and to a fair trial under Articles XVIII and XXVI of the American Declaration. </w:t>
      </w:r>
    </w:p>
    <w:p w14:paraId="033512D1" w14:textId="77777777" w:rsidR="00710E0F" w:rsidRPr="0099559E" w:rsidRDefault="00E70357" w:rsidP="0099559E">
      <w:pPr>
        <w:pStyle w:val="Heading2"/>
        <w:numPr>
          <w:ilvl w:val="1"/>
          <w:numId w:val="53"/>
        </w:numPr>
        <w:ind w:left="360"/>
        <w:rPr>
          <w:rFonts w:eastAsia="Arial Unicode MS"/>
          <w:color w:val="auto"/>
          <w:sz w:val="20"/>
          <w:szCs w:val="20"/>
        </w:rPr>
      </w:pPr>
      <w:bookmarkStart w:id="22" w:name="_Toc90300523"/>
      <w:r w:rsidRPr="0099559E">
        <w:rPr>
          <w:rFonts w:eastAsia="Arial Unicode MS"/>
          <w:color w:val="auto"/>
          <w:sz w:val="20"/>
          <w:szCs w:val="20"/>
        </w:rPr>
        <w:t>Prosecutorial m</w:t>
      </w:r>
      <w:r w:rsidR="00CC10C8">
        <w:rPr>
          <w:rFonts w:eastAsia="Arial Unicode MS"/>
          <w:color w:val="auto"/>
          <w:sz w:val="20"/>
          <w:szCs w:val="20"/>
        </w:rPr>
        <w:t>isconduct</w:t>
      </w:r>
      <w:bookmarkEnd w:id="22"/>
      <w:r w:rsidR="00CC10C8">
        <w:rPr>
          <w:rFonts w:eastAsia="Arial Unicode MS"/>
          <w:color w:val="auto"/>
          <w:sz w:val="20"/>
          <w:szCs w:val="20"/>
        </w:rPr>
        <w:t xml:space="preserve"> </w:t>
      </w:r>
    </w:p>
    <w:p w14:paraId="261F84C3" w14:textId="77777777" w:rsidR="00710E0F" w:rsidRPr="00DF76CC" w:rsidRDefault="00710E0F" w:rsidP="00710E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22350675" w14:textId="77777777" w:rsidR="00C17EE9" w:rsidRPr="00C204F6" w:rsidRDefault="002C5044"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2"/>
        </w:rPr>
      </w:pPr>
      <w:r w:rsidRPr="00C204F6">
        <w:rPr>
          <w:rFonts w:asciiTheme="majorHAnsi" w:hAnsiTheme="majorHAnsi"/>
          <w:sz w:val="20"/>
          <w:szCs w:val="22"/>
        </w:rPr>
        <w:t>In previous cases</w:t>
      </w:r>
      <w:r w:rsidR="00C204F6" w:rsidRPr="00C204F6">
        <w:rPr>
          <w:rFonts w:asciiTheme="majorHAnsi" w:hAnsiTheme="majorHAnsi"/>
          <w:sz w:val="20"/>
          <w:szCs w:val="22"/>
        </w:rPr>
        <w:t>,</w:t>
      </w:r>
      <w:r w:rsidRPr="00C204F6">
        <w:rPr>
          <w:rFonts w:asciiTheme="majorHAnsi" w:hAnsiTheme="majorHAnsi"/>
          <w:sz w:val="20"/>
          <w:szCs w:val="22"/>
        </w:rPr>
        <w:t xml:space="preserve"> t</w:t>
      </w:r>
      <w:r w:rsidR="00710E0F" w:rsidRPr="00C204F6">
        <w:rPr>
          <w:rFonts w:asciiTheme="majorHAnsi" w:hAnsiTheme="majorHAnsi"/>
          <w:sz w:val="20"/>
          <w:szCs w:val="22"/>
        </w:rPr>
        <w:t>he Commission underscore</w:t>
      </w:r>
      <w:r w:rsidRPr="00C204F6">
        <w:rPr>
          <w:rFonts w:asciiTheme="majorHAnsi" w:hAnsiTheme="majorHAnsi"/>
          <w:sz w:val="20"/>
          <w:szCs w:val="22"/>
        </w:rPr>
        <w:t>d</w:t>
      </w:r>
      <w:r w:rsidR="00710E0F" w:rsidRPr="00C204F6">
        <w:rPr>
          <w:rFonts w:asciiTheme="majorHAnsi" w:hAnsiTheme="majorHAnsi"/>
          <w:sz w:val="20"/>
          <w:szCs w:val="22"/>
        </w:rPr>
        <w:t xml:space="preserve"> the State</w:t>
      </w:r>
      <w:r w:rsidRPr="00C204F6">
        <w:rPr>
          <w:rFonts w:asciiTheme="majorHAnsi" w:hAnsiTheme="majorHAnsi"/>
          <w:sz w:val="20"/>
          <w:szCs w:val="22"/>
        </w:rPr>
        <w:t>’s</w:t>
      </w:r>
      <w:r w:rsidR="00710E0F" w:rsidRPr="00C204F6">
        <w:rPr>
          <w:rFonts w:asciiTheme="majorHAnsi" w:hAnsiTheme="majorHAnsi"/>
          <w:sz w:val="20"/>
          <w:szCs w:val="22"/>
        </w:rPr>
        <w:t xml:space="preserve"> duty to disclose all exculpatory evidence in its possession as well as information favorable to the accused.  In particular, in cases involving the death penalty, the State has an enhanced obligation to guarantee that no evidence favorable to the accused is withheld, as this could change the outcome of the trial and give rise to an arbitrary deprivation of life</w:t>
      </w:r>
      <w:r w:rsidR="00710E0F">
        <w:rPr>
          <w:rStyle w:val="FootnoteReference"/>
          <w:rFonts w:asciiTheme="majorHAnsi" w:hAnsiTheme="majorHAnsi"/>
          <w:sz w:val="20"/>
          <w:szCs w:val="22"/>
        </w:rPr>
        <w:footnoteReference w:id="67"/>
      </w:r>
      <w:r w:rsidR="00710E0F" w:rsidRPr="00C204F6">
        <w:rPr>
          <w:rFonts w:asciiTheme="majorHAnsi" w:hAnsiTheme="majorHAnsi"/>
          <w:sz w:val="20"/>
          <w:szCs w:val="22"/>
        </w:rPr>
        <w:t>.</w:t>
      </w:r>
      <w:r w:rsidR="00C204F6" w:rsidRPr="00C204F6">
        <w:rPr>
          <w:rFonts w:asciiTheme="majorHAnsi" w:hAnsiTheme="majorHAnsi"/>
          <w:sz w:val="20"/>
          <w:szCs w:val="22"/>
        </w:rPr>
        <w:t xml:space="preserve"> Further, </w:t>
      </w:r>
      <w:r w:rsidR="00AB59BA" w:rsidRPr="00C204F6">
        <w:rPr>
          <w:rFonts w:asciiTheme="majorHAnsi" w:hAnsiTheme="majorHAnsi"/>
          <w:sz w:val="20"/>
          <w:szCs w:val="22"/>
        </w:rPr>
        <w:t>S</w:t>
      </w:r>
      <w:r w:rsidR="00C17EE9" w:rsidRPr="00C204F6">
        <w:rPr>
          <w:rFonts w:asciiTheme="majorHAnsi" w:hAnsiTheme="majorHAnsi"/>
          <w:sz w:val="20"/>
          <w:szCs w:val="22"/>
        </w:rPr>
        <w:t>tates have an o</w:t>
      </w:r>
      <w:r w:rsidR="000B17A8" w:rsidRPr="00C204F6">
        <w:rPr>
          <w:rFonts w:asciiTheme="majorHAnsi" w:hAnsiTheme="majorHAnsi"/>
          <w:sz w:val="20"/>
          <w:szCs w:val="22"/>
        </w:rPr>
        <w:t>bligation to survey all records</w:t>
      </w:r>
      <w:r w:rsidR="00C17EE9" w:rsidRPr="00C204F6">
        <w:rPr>
          <w:rFonts w:asciiTheme="majorHAnsi" w:hAnsiTheme="majorHAnsi"/>
          <w:sz w:val="20"/>
          <w:szCs w:val="22"/>
        </w:rPr>
        <w:t xml:space="preserve"> and information in their possession concerning the mental health of a person accused of a capital offense</w:t>
      </w:r>
      <w:r w:rsidR="00392F3A">
        <w:rPr>
          <w:rFonts w:asciiTheme="majorHAnsi" w:hAnsiTheme="majorHAnsi"/>
          <w:sz w:val="20"/>
          <w:szCs w:val="22"/>
        </w:rPr>
        <w:t>.</w:t>
      </w:r>
      <w:r w:rsidR="00392F3A">
        <w:rPr>
          <w:rStyle w:val="FootnoteReference"/>
          <w:rFonts w:asciiTheme="majorHAnsi" w:hAnsiTheme="majorHAnsi"/>
          <w:sz w:val="20"/>
          <w:szCs w:val="22"/>
        </w:rPr>
        <w:footnoteReference w:id="68"/>
      </w:r>
      <w:r w:rsidR="00C17EE9" w:rsidRPr="00C204F6">
        <w:rPr>
          <w:rFonts w:asciiTheme="majorHAnsi" w:hAnsiTheme="majorHAnsi"/>
          <w:sz w:val="20"/>
          <w:szCs w:val="22"/>
        </w:rPr>
        <w:t xml:space="preserve"> </w:t>
      </w:r>
      <w:r w:rsidR="00392F3A">
        <w:rPr>
          <w:rFonts w:asciiTheme="majorHAnsi" w:hAnsiTheme="majorHAnsi"/>
          <w:sz w:val="20"/>
          <w:szCs w:val="22"/>
        </w:rPr>
        <w:t xml:space="preserve">Therefore, all exculpatory information in the prosecution’s possession related to the mental health of the accused, should be disclosed.  </w:t>
      </w:r>
    </w:p>
    <w:p w14:paraId="67458A46" w14:textId="77777777" w:rsidR="00AB59BA" w:rsidRDefault="00AB59BA" w:rsidP="00AB59BA">
      <w:pPr>
        <w:pStyle w:val="ListParagraph"/>
        <w:rPr>
          <w:rFonts w:asciiTheme="majorHAnsi" w:hAnsiTheme="majorHAnsi"/>
          <w:sz w:val="20"/>
          <w:szCs w:val="22"/>
        </w:rPr>
      </w:pPr>
    </w:p>
    <w:p w14:paraId="71D67C1D" w14:textId="77777777" w:rsidR="00AB59BA" w:rsidRDefault="00CF3484"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 w:val="left" w:pos="720"/>
          <w:tab w:val="left" w:pos="1440"/>
        </w:tabs>
        <w:ind w:left="0" w:firstLine="0"/>
        <w:jc w:val="both"/>
        <w:rPr>
          <w:rFonts w:asciiTheme="majorHAnsi" w:hAnsiTheme="majorHAnsi"/>
          <w:sz w:val="20"/>
          <w:szCs w:val="22"/>
        </w:rPr>
      </w:pPr>
      <w:r>
        <w:rPr>
          <w:rFonts w:asciiTheme="majorHAnsi" w:hAnsiTheme="majorHAnsi"/>
          <w:sz w:val="20"/>
          <w:szCs w:val="22"/>
        </w:rPr>
        <w:t>The p</w:t>
      </w:r>
      <w:r w:rsidR="00AB59BA">
        <w:rPr>
          <w:rFonts w:asciiTheme="majorHAnsi" w:hAnsiTheme="majorHAnsi"/>
          <w:sz w:val="20"/>
          <w:szCs w:val="22"/>
        </w:rPr>
        <w:t xml:space="preserve">etitioners claim that </w:t>
      </w:r>
      <w:r w:rsidR="00392F3A">
        <w:rPr>
          <w:rFonts w:asciiTheme="majorHAnsi" w:hAnsiTheme="majorHAnsi"/>
          <w:sz w:val="20"/>
          <w:szCs w:val="22"/>
        </w:rPr>
        <w:t>the p</w:t>
      </w:r>
      <w:r w:rsidR="001B6BCF">
        <w:rPr>
          <w:rFonts w:asciiTheme="majorHAnsi" w:hAnsiTheme="majorHAnsi"/>
          <w:sz w:val="20"/>
          <w:szCs w:val="22"/>
        </w:rPr>
        <w:t xml:space="preserve">rosecutors in Mr. Thompson’s trial withheld information </w:t>
      </w:r>
      <w:r w:rsidR="00BE0B2E">
        <w:rPr>
          <w:rFonts w:asciiTheme="majorHAnsi" w:hAnsiTheme="majorHAnsi"/>
          <w:sz w:val="20"/>
          <w:szCs w:val="22"/>
        </w:rPr>
        <w:t>from the courts and the defense about the existence and severity of his mental illness</w:t>
      </w:r>
      <w:r w:rsidR="006306FF">
        <w:rPr>
          <w:rFonts w:asciiTheme="majorHAnsi" w:hAnsiTheme="majorHAnsi"/>
          <w:sz w:val="20"/>
          <w:szCs w:val="22"/>
        </w:rPr>
        <w:t>, and that they</w:t>
      </w:r>
      <w:r w:rsidR="00255B6E" w:rsidRPr="00AB2836">
        <w:rPr>
          <w:rFonts w:asciiTheme="majorHAnsi" w:hAnsiTheme="majorHAnsi" w:cs="Arial"/>
          <w:sz w:val="20"/>
          <w:szCs w:val="20"/>
        </w:rPr>
        <w:t xml:space="preserve"> misled the jury by failing to disclose </w:t>
      </w:r>
      <w:r w:rsidR="006306FF">
        <w:rPr>
          <w:rFonts w:asciiTheme="majorHAnsi" w:hAnsiTheme="majorHAnsi" w:cs="Arial"/>
          <w:sz w:val="20"/>
          <w:szCs w:val="20"/>
        </w:rPr>
        <w:t xml:space="preserve">such </w:t>
      </w:r>
      <w:r w:rsidR="00255B6E" w:rsidRPr="00AB2836">
        <w:rPr>
          <w:rFonts w:asciiTheme="majorHAnsi" w:hAnsiTheme="majorHAnsi" w:cs="Arial"/>
          <w:sz w:val="20"/>
          <w:szCs w:val="20"/>
        </w:rPr>
        <w:t>available evidence</w:t>
      </w:r>
      <w:r w:rsidR="006306FF">
        <w:rPr>
          <w:rFonts w:asciiTheme="majorHAnsi" w:hAnsiTheme="majorHAnsi" w:cs="Arial"/>
          <w:sz w:val="20"/>
          <w:szCs w:val="20"/>
        </w:rPr>
        <w:t xml:space="preserve">. </w:t>
      </w:r>
      <w:r w:rsidR="006E43F5">
        <w:rPr>
          <w:rFonts w:asciiTheme="majorHAnsi" w:hAnsiTheme="majorHAnsi"/>
          <w:sz w:val="20"/>
          <w:szCs w:val="22"/>
        </w:rPr>
        <w:t xml:space="preserve"> </w:t>
      </w:r>
    </w:p>
    <w:p w14:paraId="4C6458D3" w14:textId="77777777" w:rsidR="00575E8C" w:rsidRDefault="00575E8C" w:rsidP="00575E8C">
      <w:pPr>
        <w:pStyle w:val="ListParagraph"/>
        <w:rPr>
          <w:rFonts w:asciiTheme="majorHAnsi" w:hAnsiTheme="majorHAnsi"/>
          <w:sz w:val="20"/>
          <w:szCs w:val="22"/>
        </w:rPr>
      </w:pPr>
    </w:p>
    <w:p w14:paraId="40B06CE5" w14:textId="77777777" w:rsidR="00575E8C" w:rsidRPr="001E7EEF" w:rsidRDefault="00575E8C"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 w:val="left" w:pos="720"/>
          <w:tab w:val="left" w:pos="1440"/>
        </w:tabs>
        <w:ind w:left="0" w:firstLine="0"/>
        <w:jc w:val="both"/>
        <w:rPr>
          <w:rFonts w:asciiTheme="majorHAnsi" w:hAnsiTheme="majorHAnsi"/>
          <w:sz w:val="20"/>
          <w:szCs w:val="22"/>
        </w:rPr>
      </w:pPr>
      <w:r w:rsidRPr="001E7EEF">
        <w:rPr>
          <w:rFonts w:asciiTheme="majorHAnsi" w:hAnsiTheme="majorHAnsi"/>
          <w:sz w:val="20"/>
          <w:szCs w:val="22"/>
        </w:rPr>
        <w:t xml:space="preserve">According to the findings of fact, </w:t>
      </w:r>
      <w:r w:rsidR="00D25B45" w:rsidRPr="001E7EEF">
        <w:rPr>
          <w:rFonts w:asciiTheme="majorHAnsi" w:hAnsiTheme="majorHAnsi"/>
          <w:sz w:val="20"/>
          <w:szCs w:val="22"/>
        </w:rPr>
        <w:t xml:space="preserve">at the sentencing phase the prosecutors </w:t>
      </w:r>
      <w:r w:rsidR="00D25B45" w:rsidRPr="001E7EEF">
        <w:rPr>
          <w:rFonts w:asciiTheme="majorHAnsi" w:hAnsiTheme="majorHAnsi"/>
          <w:sz w:val="20"/>
          <w:szCs w:val="20"/>
        </w:rPr>
        <w:t>presented the deposition of a clinical psychologist who had participated in a staff evaluation of Mr. Thompson shortly after his arrest, who opined that Mr. Thompson exhibited an adult anti-social behavior and that he appeared to ‘malinger’ schizophrenia.</w:t>
      </w:r>
      <w:r w:rsidR="00D25B45" w:rsidRPr="001E7EEF">
        <w:rPr>
          <w:rFonts w:asciiTheme="majorHAnsi" w:eastAsia="Cambria" w:hAnsiTheme="majorHAnsi" w:cs="Cambria"/>
          <w:sz w:val="20"/>
          <w:szCs w:val="20"/>
        </w:rPr>
        <w:t xml:space="preserve"> However,</w:t>
      </w:r>
      <w:r w:rsidR="001E7EEF" w:rsidRPr="001E7EEF">
        <w:rPr>
          <w:rFonts w:asciiTheme="majorHAnsi" w:eastAsia="Cambria" w:hAnsiTheme="majorHAnsi" w:cs="Cambria"/>
          <w:sz w:val="20"/>
          <w:szCs w:val="20"/>
        </w:rPr>
        <w:t xml:space="preserve"> </w:t>
      </w:r>
      <w:r w:rsidRPr="001E7EEF">
        <w:rPr>
          <w:rFonts w:asciiTheme="majorHAnsi" w:eastAsia="Cambria" w:hAnsiTheme="majorHAnsi" w:cs="Cambria"/>
          <w:sz w:val="20"/>
          <w:szCs w:val="20"/>
        </w:rPr>
        <w:t>Mr. Thompson’s petition for post-conviction proceedings referenced evidence</w:t>
      </w:r>
      <w:r w:rsidR="001E7EEF" w:rsidRPr="001E7EEF">
        <w:rPr>
          <w:rFonts w:asciiTheme="majorHAnsi" w:eastAsia="Cambria" w:hAnsiTheme="majorHAnsi" w:cs="Cambria"/>
          <w:sz w:val="20"/>
          <w:szCs w:val="20"/>
        </w:rPr>
        <w:t xml:space="preserve"> </w:t>
      </w:r>
      <w:r w:rsidRPr="001E7EEF">
        <w:rPr>
          <w:rFonts w:asciiTheme="majorHAnsi" w:eastAsia="Cambria" w:hAnsiTheme="majorHAnsi" w:cs="Cambria"/>
          <w:sz w:val="20"/>
          <w:szCs w:val="20"/>
        </w:rPr>
        <w:t>within State custody</w:t>
      </w:r>
      <w:r w:rsidR="001E7EEF" w:rsidRPr="001E7EEF">
        <w:rPr>
          <w:rFonts w:asciiTheme="majorHAnsi" w:eastAsia="Cambria" w:hAnsiTheme="majorHAnsi" w:cs="Cambria"/>
          <w:sz w:val="20"/>
          <w:szCs w:val="20"/>
        </w:rPr>
        <w:t xml:space="preserve"> during trial</w:t>
      </w:r>
      <w:r w:rsidRPr="001E7EEF">
        <w:rPr>
          <w:rFonts w:asciiTheme="majorHAnsi" w:eastAsia="Cambria" w:hAnsiTheme="majorHAnsi" w:cs="Cambria"/>
          <w:sz w:val="20"/>
          <w:szCs w:val="20"/>
        </w:rPr>
        <w:t xml:space="preserve">, in particular </w:t>
      </w:r>
      <w:r w:rsidR="007A5975" w:rsidRPr="001E7EEF">
        <w:rPr>
          <w:rFonts w:asciiTheme="majorHAnsi" w:eastAsia="Cambria" w:hAnsiTheme="majorHAnsi" w:cs="Cambria"/>
          <w:sz w:val="20"/>
          <w:szCs w:val="20"/>
        </w:rPr>
        <w:t>his</w:t>
      </w:r>
      <w:r w:rsidRPr="001E7EEF">
        <w:rPr>
          <w:rFonts w:asciiTheme="majorHAnsi" w:eastAsia="Cambria" w:hAnsiTheme="majorHAnsi" w:cs="Cambria"/>
          <w:sz w:val="20"/>
          <w:szCs w:val="20"/>
        </w:rPr>
        <w:t xml:space="preserve"> medical records</w:t>
      </w:r>
      <w:r w:rsidR="00A74D35" w:rsidRPr="001E7EEF">
        <w:rPr>
          <w:rFonts w:asciiTheme="majorHAnsi" w:eastAsia="Cambria" w:hAnsiTheme="majorHAnsi" w:cs="Cambria"/>
          <w:sz w:val="20"/>
          <w:szCs w:val="20"/>
        </w:rPr>
        <w:t xml:space="preserve"> while in prison</w:t>
      </w:r>
      <w:r w:rsidRPr="001E7EEF">
        <w:rPr>
          <w:rFonts w:asciiTheme="majorHAnsi" w:eastAsia="Cambria" w:hAnsiTheme="majorHAnsi" w:cs="Cambria"/>
          <w:sz w:val="20"/>
          <w:szCs w:val="20"/>
        </w:rPr>
        <w:t>. These records showed</w:t>
      </w:r>
      <w:r w:rsidR="00C53C90" w:rsidRPr="001E7EEF">
        <w:rPr>
          <w:rFonts w:asciiTheme="majorHAnsi" w:eastAsia="Cambria" w:hAnsiTheme="majorHAnsi" w:cs="Cambria"/>
          <w:sz w:val="20"/>
          <w:szCs w:val="20"/>
        </w:rPr>
        <w:t>,</w:t>
      </w:r>
      <w:r w:rsidRPr="001E7EEF">
        <w:rPr>
          <w:rFonts w:asciiTheme="majorHAnsi" w:eastAsia="Cambria" w:hAnsiTheme="majorHAnsi" w:cs="Cambria"/>
          <w:sz w:val="20"/>
          <w:szCs w:val="20"/>
        </w:rPr>
        <w:t xml:space="preserve"> </w:t>
      </w:r>
      <w:r w:rsidR="00A74D35" w:rsidRPr="001E7EEF">
        <w:rPr>
          <w:rFonts w:asciiTheme="majorHAnsi" w:eastAsia="Cambria" w:hAnsiTheme="majorHAnsi" w:cs="Cambria"/>
          <w:i/>
          <w:sz w:val="20"/>
          <w:szCs w:val="20"/>
        </w:rPr>
        <w:t>inter alia</w:t>
      </w:r>
      <w:r w:rsidR="00C53C90" w:rsidRPr="001E7EEF">
        <w:rPr>
          <w:rFonts w:asciiTheme="majorHAnsi" w:eastAsia="Cambria" w:hAnsiTheme="majorHAnsi" w:cs="Cambria"/>
          <w:sz w:val="20"/>
          <w:szCs w:val="20"/>
        </w:rPr>
        <w:t xml:space="preserve">, </w:t>
      </w:r>
      <w:r w:rsidR="00A74D35" w:rsidRPr="001E7EEF">
        <w:rPr>
          <w:rFonts w:asciiTheme="majorHAnsi" w:eastAsia="Cambria" w:hAnsiTheme="majorHAnsi" w:cs="Cambria"/>
          <w:sz w:val="20"/>
          <w:szCs w:val="20"/>
        </w:rPr>
        <w:t xml:space="preserve">that </w:t>
      </w:r>
      <w:r w:rsidR="00C53C90" w:rsidRPr="001E7EEF">
        <w:rPr>
          <w:rFonts w:asciiTheme="majorHAnsi" w:eastAsia="Cambria" w:hAnsiTheme="majorHAnsi" w:cs="Cambria"/>
          <w:sz w:val="20"/>
          <w:szCs w:val="20"/>
        </w:rPr>
        <w:t>Mr. Thomson was</w:t>
      </w:r>
      <w:r w:rsidRPr="001E7EEF">
        <w:rPr>
          <w:rFonts w:asciiTheme="majorHAnsi" w:eastAsia="Cambria" w:hAnsiTheme="majorHAnsi" w:cs="Cambria"/>
          <w:sz w:val="20"/>
          <w:szCs w:val="20"/>
        </w:rPr>
        <w:t xml:space="preserve"> treated with</w:t>
      </w:r>
      <w:r w:rsidR="00C53C90" w:rsidRPr="001E7EEF">
        <w:rPr>
          <w:rFonts w:asciiTheme="majorHAnsi" w:eastAsia="Cambria" w:hAnsiTheme="majorHAnsi" w:cs="Cambria"/>
          <w:sz w:val="20"/>
          <w:szCs w:val="20"/>
        </w:rPr>
        <w:t xml:space="preserve"> anti-psychotic medication by three different psychiatrists, was diagnosed with several mental health conditions, </w:t>
      </w:r>
      <w:r w:rsidR="00A74D35" w:rsidRPr="001E7EEF">
        <w:rPr>
          <w:rFonts w:asciiTheme="majorHAnsi" w:eastAsia="Cambria" w:hAnsiTheme="majorHAnsi" w:cs="Cambria"/>
          <w:sz w:val="20"/>
          <w:szCs w:val="20"/>
        </w:rPr>
        <w:t xml:space="preserve">and experienced auditory hallucinations, delusions and paranoia. </w:t>
      </w:r>
      <w:r w:rsidR="001E7EEF" w:rsidRPr="001E7EEF">
        <w:rPr>
          <w:rFonts w:asciiTheme="majorHAnsi" w:eastAsia="Cambria" w:hAnsiTheme="majorHAnsi" w:cs="Cambria"/>
          <w:sz w:val="20"/>
          <w:szCs w:val="20"/>
        </w:rPr>
        <w:t>Also, the three psychiatrists discounted the possibility of malingering.</w:t>
      </w:r>
      <w:r w:rsidR="001E7EEF">
        <w:rPr>
          <w:rFonts w:asciiTheme="majorHAnsi" w:eastAsia="Cambria" w:hAnsiTheme="majorHAnsi" w:cs="Cambria"/>
          <w:sz w:val="20"/>
          <w:szCs w:val="20"/>
        </w:rPr>
        <w:t xml:space="preserve"> </w:t>
      </w:r>
      <w:r w:rsidR="00A0739A" w:rsidRPr="001E7EEF">
        <w:rPr>
          <w:rFonts w:asciiTheme="majorHAnsi" w:eastAsia="Cambria" w:hAnsiTheme="majorHAnsi" w:cs="Cambria"/>
          <w:sz w:val="20"/>
          <w:szCs w:val="20"/>
        </w:rPr>
        <w:t xml:space="preserve">According to the available information, however, the prosecutors did not disclose </w:t>
      </w:r>
      <w:r w:rsidR="001E7EEF">
        <w:rPr>
          <w:rFonts w:asciiTheme="majorHAnsi" w:eastAsia="Cambria" w:hAnsiTheme="majorHAnsi" w:cs="Cambria"/>
          <w:sz w:val="20"/>
          <w:szCs w:val="20"/>
        </w:rPr>
        <w:t>these medical records during trial.</w:t>
      </w:r>
      <w:r w:rsidR="00A0739A" w:rsidRPr="001E7EEF">
        <w:rPr>
          <w:rFonts w:asciiTheme="majorHAnsi" w:eastAsia="Cambria" w:hAnsiTheme="majorHAnsi" w:cs="Cambria"/>
          <w:sz w:val="20"/>
          <w:szCs w:val="20"/>
        </w:rPr>
        <w:t xml:space="preserve"> </w:t>
      </w:r>
    </w:p>
    <w:p w14:paraId="4B4E69A7" w14:textId="77777777" w:rsidR="00AB59BA" w:rsidRDefault="00AB59BA" w:rsidP="00AB59B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2"/>
        </w:rPr>
      </w:pPr>
    </w:p>
    <w:p w14:paraId="1A380B0E" w14:textId="77777777" w:rsidR="001D3189" w:rsidRPr="001E7EEF" w:rsidRDefault="00A81637" w:rsidP="001E7EE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4A2ADA">
        <w:rPr>
          <w:rFonts w:ascii="Cambria" w:hAnsi="Cambria" w:cs="Arial"/>
          <w:sz w:val="20"/>
          <w:szCs w:val="20"/>
        </w:rPr>
        <w:t>Based on the above considerations, the</w:t>
      </w:r>
      <w:r w:rsidR="004C0671" w:rsidRPr="004A2ADA">
        <w:rPr>
          <w:rFonts w:ascii="Cambria" w:hAnsi="Cambria" w:cs="Arial"/>
          <w:sz w:val="20"/>
          <w:szCs w:val="20"/>
        </w:rPr>
        <w:t xml:space="preserve"> Inter-American Commission concludes that</w:t>
      </w:r>
      <w:r w:rsidR="004A2ADA" w:rsidRPr="004A2ADA">
        <w:rPr>
          <w:rFonts w:ascii="Cambria" w:hAnsi="Cambria" w:cs="Arial"/>
          <w:sz w:val="20"/>
          <w:szCs w:val="20"/>
        </w:rPr>
        <w:t xml:space="preserve">, by failing to </w:t>
      </w:r>
      <w:r w:rsidR="004A2ADA" w:rsidRPr="004A2ADA">
        <w:rPr>
          <w:rFonts w:asciiTheme="majorHAnsi" w:hAnsiTheme="majorHAnsi"/>
          <w:sz w:val="20"/>
          <w:szCs w:val="22"/>
        </w:rPr>
        <w:t>disclose all evidence in its possession related to Mr. Thompson’s mental health, t</w:t>
      </w:r>
      <w:r w:rsidR="004C0671" w:rsidRPr="004A2ADA">
        <w:rPr>
          <w:rFonts w:ascii="Cambria" w:hAnsi="Cambria" w:cs="Arial"/>
          <w:sz w:val="20"/>
          <w:szCs w:val="20"/>
        </w:rPr>
        <w:t>he United States violated Mr. Thompson’s right to due process and to a fair trial under Articles XVIII and XXVI of the American Declaration.</w:t>
      </w:r>
      <w:r w:rsidR="004A2ADA" w:rsidRPr="004A2ADA">
        <w:rPr>
          <w:rFonts w:ascii="Cambria" w:hAnsi="Cambria" w:cs="Arial"/>
          <w:sz w:val="20"/>
          <w:szCs w:val="20"/>
        </w:rPr>
        <w:t xml:space="preserve"> </w:t>
      </w:r>
    </w:p>
    <w:p w14:paraId="730CD453" w14:textId="77777777" w:rsidR="001E7EEF" w:rsidRPr="00BE5F6B" w:rsidRDefault="001E7EEF" w:rsidP="001E7EE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4E3A75DA" w14:textId="77777777" w:rsidR="00710E0F" w:rsidRPr="00BE5F6B" w:rsidRDefault="00710E0F" w:rsidP="00501A7C">
      <w:pPr>
        <w:pStyle w:val="Heading2"/>
        <w:numPr>
          <w:ilvl w:val="0"/>
          <w:numId w:val="64"/>
        </w:numPr>
        <w:spacing w:before="0"/>
        <w:ind w:left="360"/>
        <w:rPr>
          <w:color w:val="auto"/>
          <w:sz w:val="20"/>
          <w:szCs w:val="20"/>
        </w:rPr>
      </w:pPr>
      <w:bookmarkStart w:id="23" w:name="_Toc90300524"/>
      <w:r w:rsidRPr="00BE5F6B">
        <w:rPr>
          <w:color w:val="auto"/>
          <w:sz w:val="20"/>
          <w:szCs w:val="20"/>
        </w:rPr>
        <w:t xml:space="preserve">Right of </w:t>
      </w:r>
      <w:r w:rsidR="006524E5" w:rsidRPr="00BE5F6B">
        <w:rPr>
          <w:color w:val="auto"/>
          <w:sz w:val="20"/>
          <w:szCs w:val="20"/>
        </w:rPr>
        <w:t>protection against cruel, infamous or unusual</w:t>
      </w:r>
      <w:r w:rsidRPr="00BE5F6B">
        <w:rPr>
          <w:color w:val="auto"/>
          <w:sz w:val="20"/>
          <w:szCs w:val="20"/>
        </w:rPr>
        <w:t xml:space="preserve"> punishment</w:t>
      </w:r>
      <w:r w:rsidRPr="00BE5F6B">
        <w:rPr>
          <w:rStyle w:val="FootnoteReference"/>
          <w:rFonts w:eastAsia="Arial Unicode MS"/>
          <w:bCs w:val="0"/>
          <w:color w:val="auto"/>
          <w:sz w:val="20"/>
          <w:szCs w:val="20"/>
        </w:rPr>
        <w:footnoteReference w:id="69"/>
      </w:r>
      <w:bookmarkEnd w:id="23"/>
      <w:r w:rsidRPr="00BE5F6B">
        <w:rPr>
          <w:rStyle w:val="FootnoteReference"/>
          <w:rFonts w:eastAsia="Arial Unicode MS"/>
          <w:bCs w:val="0"/>
        </w:rPr>
        <w:t xml:space="preserve"> </w:t>
      </w:r>
    </w:p>
    <w:p w14:paraId="33C81638" w14:textId="77777777" w:rsidR="00710E0F" w:rsidRPr="00BE5F6B" w:rsidRDefault="00710E0F" w:rsidP="00710E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1E093D02" w14:textId="77777777" w:rsidR="006524E5" w:rsidRPr="00BE5F6B" w:rsidRDefault="00116ABE" w:rsidP="003142B7">
      <w:pPr>
        <w:pStyle w:val="Heading3"/>
        <w:numPr>
          <w:ilvl w:val="0"/>
          <w:numId w:val="67"/>
        </w:numPr>
        <w:spacing w:before="0"/>
        <w:ind w:left="360"/>
        <w:jc w:val="both"/>
        <w:rPr>
          <w:rFonts w:eastAsia="Arial Unicode MS"/>
          <w:color w:val="auto"/>
          <w:sz w:val="20"/>
          <w:szCs w:val="20"/>
        </w:rPr>
      </w:pPr>
      <w:bookmarkStart w:id="24" w:name="_Toc10792019"/>
      <w:bookmarkStart w:id="25" w:name="_Toc90300525"/>
      <w:r w:rsidRPr="00BE5F6B">
        <w:rPr>
          <w:rFonts w:eastAsia="Arial Unicode MS"/>
          <w:color w:val="auto"/>
          <w:sz w:val="20"/>
          <w:szCs w:val="20"/>
        </w:rPr>
        <w:t>General considerations on the r</w:t>
      </w:r>
      <w:r w:rsidR="006524E5" w:rsidRPr="00BE5F6B">
        <w:rPr>
          <w:rFonts w:eastAsia="Arial Unicode MS"/>
          <w:color w:val="auto"/>
          <w:sz w:val="20"/>
          <w:szCs w:val="20"/>
        </w:rPr>
        <w:t>ight of every person with mental disabilities not to be subjected to the death penalty</w:t>
      </w:r>
      <w:bookmarkEnd w:id="24"/>
      <w:bookmarkEnd w:id="25"/>
    </w:p>
    <w:p w14:paraId="63764752" w14:textId="77777777" w:rsidR="006524E5" w:rsidRPr="00BE5F6B" w:rsidRDefault="006524E5" w:rsidP="00710E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B9B0D93" w14:textId="77777777" w:rsidR="00B8441C" w:rsidRPr="00BE5F6B" w:rsidRDefault="00B8441C" w:rsidP="00B8441C">
      <w:pPr>
        <w:pStyle w:val="ListParagraph"/>
        <w:numPr>
          <w:ilvl w:val="0"/>
          <w:numId w:val="55"/>
        </w:numPr>
        <w:shd w:val="clear" w:color="auto" w:fill="FFFFFF"/>
        <w:tabs>
          <w:tab w:val="left" w:pos="360"/>
        </w:tabs>
        <w:ind w:left="0" w:firstLine="0"/>
        <w:jc w:val="both"/>
        <w:rPr>
          <w:rFonts w:asciiTheme="majorHAnsi" w:hAnsiTheme="majorHAnsi"/>
          <w:bCs/>
          <w:sz w:val="20"/>
          <w:szCs w:val="20"/>
        </w:rPr>
      </w:pPr>
      <w:r w:rsidRPr="00BE5F6B">
        <w:rPr>
          <w:rFonts w:asciiTheme="majorHAnsi" w:hAnsiTheme="majorHAnsi"/>
          <w:bCs/>
          <w:sz w:val="20"/>
          <w:szCs w:val="20"/>
        </w:rPr>
        <w:t>The IACHR has established that, while the American Declaration does not expressly prohibit the imposition of the death penalty in the case of persons with mental and intellectual disabilities, such a practice is in violation of the rights and basic principles recognized in Articles I and XXVI of the American Declaration.</w:t>
      </w:r>
      <w:r w:rsidRPr="00BE5F6B">
        <w:rPr>
          <w:rStyle w:val="FootnoteReference"/>
          <w:rFonts w:asciiTheme="majorHAnsi" w:hAnsiTheme="majorHAnsi"/>
          <w:bCs/>
          <w:sz w:val="20"/>
          <w:szCs w:val="20"/>
        </w:rPr>
        <w:footnoteReference w:id="70"/>
      </w:r>
      <w:r w:rsidRPr="00BE5F6B">
        <w:rPr>
          <w:rFonts w:asciiTheme="majorHAnsi" w:hAnsiTheme="majorHAnsi"/>
          <w:bCs/>
          <w:sz w:val="20"/>
          <w:szCs w:val="20"/>
        </w:rPr>
        <w:t xml:space="preserve"> The IACHR has also ruled that:</w:t>
      </w:r>
    </w:p>
    <w:p w14:paraId="166492C0" w14:textId="77777777" w:rsidR="00B8441C" w:rsidRPr="00BE5F6B" w:rsidRDefault="00B8441C" w:rsidP="00B8441C">
      <w:pPr>
        <w:pStyle w:val="ListParagraph"/>
        <w:shd w:val="clear" w:color="auto" w:fill="FFFFFF"/>
        <w:ind w:left="0"/>
        <w:jc w:val="both"/>
        <w:rPr>
          <w:rFonts w:asciiTheme="majorHAnsi" w:hAnsiTheme="majorHAnsi"/>
          <w:bCs/>
          <w:sz w:val="20"/>
          <w:szCs w:val="20"/>
        </w:rPr>
      </w:pPr>
    </w:p>
    <w:p w14:paraId="2B5E9B21" w14:textId="77777777" w:rsidR="00B8441C" w:rsidRPr="00BE5F6B" w:rsidRDefault="00B8441C" w:rsidP="00B8441C">
      <w:pPr>
        <w:pStyle w:val="ListParagraph"/>
        <w:shd w:val="clear" w:color="auto" w:fill="FFFFFF"/>
        <w:ind w:left="360" w:right="360"/>
        <w:jc w:val="both"/>
        <w:rPr>
          <w:rFonts w:asciiTheme="majorHAnsi" w:hAnsiTheme="majorHAnsi"/>
          <w:bCs/>
          <w:sz w:val="18"/>
          <w:szCs w:val="18"/>
        </w:rPr>
      </w:pPr>
      <w:r w:rsidRPr="00BE5F6B">
        <w:rPr>
          <w:rFonts w:eastAsia="Times New Roman"/>
          <w:sz w:val="18"/>
          <w:szCs w:val="18"/>
          <w:bdr w:val="none" w:sz="0" w:space="0" w:color="auto"/>
        </w:rPr>
        <w:t>States have a special duty to protect persons with mental and intellectual disabilities, a duty that is reinforced in the case of persons under State custody.  Moreover, it is a principle of international law that persons with mental and intellectual disabilities, either at the time of the commission of the crime or during trial, cannot be sentenced to the death penalty.  Likewise, international law also prohibits the execution of a person sentenced to death if that person has a mental or intellectual disability at the time of the execution.</w:t>
      </w:r>
      <w:r w:rsidRPr="00BE5F6B">
        <w:rPr>
          <w:rFonts w:eastAsia="Times New Roman"/>
          <w:sz w:val="18"/>
          <w:szCs w:val="18"/>
          <w:bdr w:val="none" w:sz="0" w:space="0" w:color="auto"/>
          <w:vertAlign w:val="superscript"/>
        </w:rPr>
        <w:footnoteReference w:id="71"/>
      </w:r>
    </w:p>
    <w:p w14:paraId="6772107C" w14:textId="77777777" w:rsidR="00B8441C" w:rsidRPr="00BE5F6B" w:rsidRDefault="00B8441C" w:rsidP="00B8441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Cambria" w:eastAsia="Times New Roman" w:hAnsi="Cambria"/>
          <w:bCs/>
          <w:sz w:val="20"/>
          <w:szCs w:val="20"/>
          <w:bdr w:val="none" w:sz="0" w:space="0" w:color="auto"/>
        </w:rPr>
      </w:pPr>
    </w:p>
    <w:p w14:paraId="1DEF5A89" w14:textId="77777777" w:rsidR="006524E5" w:rsidRPr="00BE5F6B" w:rsidRDefault="006524E5" w:rsidP="00652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0506A">
        <w:rPr>
          <w:rFonts w:asciiTheme="majorHAnsi" w:hAnsiTheme="majorHAnsi"/>
          <w:sz w:val="20"/>
          <w:szCs w:val="20"/>
        </w:rPr>
        <w:t xml:space="preserve">Furthermore, because of its special duty to protect persons with mental disabilities, in death penalty cases the State has an obligation to have some procedures in place to identify those accused or convicted persons who have a mental disability.  States also have an obligation to survey all records and information in their possession concerning the mental health of a person accused of a capital offense. The State must provide any indigent </w:t>
      </w:r>
      <w:r w:rsidRPr="00BE5F6B">
        <w:rPr>
          <w:rFonts w:asciiTheme="majorHAnsi" w:hAnsiTheme="majorHAnsi"/>
          <w:sz w:val="20"/>
          <w:szCs w:val="20"/>
        </w:rPr>
        <w:t>person with the means necessary to have an independent evaluation done of his or her mental health, which evaluation must be done in a timely manner.</w:t>
      </w:r>
      <w:r w:rsidRPr="00BE5F6B">
        <w:rPr>
          <w:rStyle w:val="FootnoteReference"/>
          <w:rFonts w:asciiTheme="majorHAnsi" w:hAnsiTheme="majorHAnsi"/>
          <w:sz w:val="20"/>
          <w:szCs w:val="20"/>
        </w:rPr>
        <w:footnoteReference w:id="72"/>
      </w:r>
      <w:r w:rsidRPr="00BE5F6B">
        <w:rPr>
          <w:rFonts w:asciiTheme="majorHAnsi" w:hAnsiTheme="majorHAnsi" w:cs="TimesNewRoman"/>
          <w:sz w:val="20"/>
          <w:szCs w:val="20"/>
        </w:rPr>
        <w:t xml:space="preserve"> </w:t>
      </w:r>
    </w:p>
    <w:p w14:paraId="02710C6B" w14:textId="77777777" w:rsidR="006524E5" w:rsidRPr="00BE5F6B" w:rsidRDefault="006524E5" w:rsidP="006524E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jc w:val="both"/>
        <w:rPr>
          <w:rFonts w:eastAsia="Times New Roman"/>
          <w:bCs/>
          <w:sz w:val="20"/>
          <w:szCs w:val="20"/>
          <w:bdr w:val="none" w:sz="0" w:space="0" w:color="auto"/>
        </w:rPr>
      </w:pPr>
    </w:p>
    <w:p w14:paraId="45F625C2" w14:textId="77777777" w:rsidR="00B8441C" w:rsidRPr="00BE5F6B" w:rsidRDefault="00B8441C" w:rsidP="00B8441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BE5F6B">
        <w:rPr>
          <w:rFonts w:eastAsia="Times New Roman"/>
          <w:sz w:val="20"/>
          <w:szCs w:val="20"/>
          <w:bdr w:val="none" w:sz="0" w:space="0" w:color="auto"/>
        </w:rPr>
        <w:t>In a case involving Trinidad and Tobago, the Human Rights Committee held that the reading of a death warrant to a person with a mental disability, even if that person had been competent at the time of his or her conviction, is a violation of the right not to be subjected to torture or to cruel, inhuman or degrading treatment or punishment.</w:t>
      </w:r>
      <w:r w:rsidRPr="00BE5F6B">
        <w:rPr>
          <w:rStyle w:val="FootnoteReference"/>
          <w:rFonts w:asciiTheme="majorHAnsi" w:hAnsiTheme="majorHAnsi"/>
          <w:bCs/>
          <w:sz w:val="20"/>
          <w:szCs w:val="20"/>
        </w:rPr>
        <w:footnoteReference w:id="73"/>
      </w:r>
      <w:r w:rsidRPr="00BE5F6B">
        <w:rPr>
          <w:rFonts w:eastAsia="Times New Roman"/>
          <w:sz w:val="20"/>
          <w:szCs w:val="20"/>
          <w:bdr w:val="none" w:sz="0" w:space="0" w:color="auto"/>
        </w:rPr>
        <w:t xml:space="preserve"> The United Nations “Safeguards Guaranteeing Protection of the Rights of Those Facing the Death Penalty” provide that a death sentence shall not be carried out on […] “persons who have become insane.”</w:t>
      </w:r>
      <w:r w:rsidRPr="00BE5F6B">
        <w:rPr>
          <w:rStyle w:val="FootnoteReference"/>
          <w:rFonts w:asciiTheme="majorHAnsi" w:hAnsiTheme="majorHAnsi"/>
          <w:bCs/>
          <w:sz w:val="20"/>
          <w:szCs w:val="20"/>
        </w:rPr>
        <w:footnoteReference w:id="74"/>
      </w:r>
      <w:r w:rsidRPr="00BE5F6B">
        <w:rPr>
          <w:rFonts w:eastAsia="Times New Roman"/>
          <w:sz w:val="20"/>
          <w:szCs w:val="20"/>
          <w:bdr w:val="none" w:sz="0" w:space="0" w:color="auto"/>
        </w:rPr>
        <w:t xml:space="preserve"> The United Nations Commission on Human Rights called upon all States that still have the death </w:t>
      </w:r>
      <w:r w:rsidRPr="00BE5F6B">
        <w:rPr>
          <w:rFonts w:eastAsia="Times New Roman"/>
          <w:sz w:val="20"/>
          <w:szCs w:val="20"/>
          <w:bdr w:val="none" w:sz="0" w:space="0" w:color="auto"/>
        </w:rPr>
        <w:lastRenderedPageBreak/>
        <w:t>penalty “[n]ot to impose the death penalty on a person suffering from any mental or intellectual disabilities or to execute any such person.”</w:t>
      </w:r>
      <w:r w:rsidRPr="00BE5F6B">
        <w:rPr>
          <w:rStyle w:val="FootnoteReference"/>
          <w:rFonts w:asciiTheme="majorHAnsi" w:hAnsiTheme="majorHAnsi"/>
          <w:bCs/>
          <w:sz w:val="20"/>
          <w:szCs w:val="20"/>
        </w:rPr>
        <w:footnoteReference w:id="75"/>
      </w:r>
    </w:p>
    <w:p w14:paraId="0F1368DC" w14:textId="77777777" w:rsidR="00B8441C" w:rsidRPr="00BE5F6B" w:rsidRDefault="00B8441C" w:rsidP="00B8441C">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jc w:val="both"/>
        <w:rPr>
          <w:rFonts w:eastAsia="Times New Roman"/>
          <w:bCs/>
          <w:sz w:val="20"/>
          <w:szCs w:val="20"/>
          <w:bdr w:val="none" w:sz="0" w:space="0" w:color="auto"/>
        </w:rPr>
      </w:pPr>
    </w:p>
    <w:p w14:paraId="76AA812E" w14:textId="77777777" w:rsidR="00B8441C" w:rsidRPr="00BE5F6B" w:rsidRDefault="00B8441C" w:rsidP="00B8441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BE5F6B">
        <w:rPr>
          <w:rFonts w:eastAsia="Times New Roman"/>
          <w:sz w:val="20"/>
          <w:szCs w:val="20"/>
          <w:bdr w:val="none" w:sz="0" w:space="0" w:color="auto"/>
        </w:rPr>
        <w:t>Also, the U.N. Special Rapporteur on torture and other cruel, inhuman or degrading treatment or punishment indicated that international law considers the imposition and enforcement of the death penalty in the case of persons with mental disabilities as particularly cruel, inhuman and degrading, and in violation of Article 7 of the International Covenant on Civil and Political Rights and Articles 1 and 16 of the Convention against Torture.</w:t>
      </w:r>
      <w:r w:rsidRPr="00BE5F6B">
        <w:rPr>
          <w:rStyle w:val="FootnoteReference"/>
          <w:rFonts w:asciiTheme="majorHAnsi" w:hAnsiTheme="majorHAnsi"/>
          <w:bCs/>
          <w:sz w:val="20"/>
          <w:szCs w:val="20"/>
        </w:rPr>
        <w:footnoteReference w:id="76"/>
      </w:r>
      <w:r w:rsidRPr="00BE5F6B">
        <w:rPr>
          <w:rFonts w:eastAsia="Times New Roman"/>
          <w:sz w:val="20"/>
          <w:szCs w:val="20"/>
          <w:bdr w:val="none" w:sz="0" w:space="0" w:color="auto"/>
        </w:rPr>
        <w:t xml:space="preserve"> Likewise, the U.N. Special Rapporteur on arbitrary executions stated that “[i]</w:t>
      </w:r>
      <w:r w:rsidRPr="00BE5F6B">
        <w:rPr>
          <w:rFonts w:eastAsia="Times New Roman"/>
          <w:sz w:val="20"/>
          <w:szCs w:val="20"/>
          <w:bdr w:val="none" w:sz="0" w:space="0" w:color="auto"/>
          <w:shd w:val="clear" w:color="auto" w:fill="FFFFFF"/>
        </w:rPr>
        <w:t>t is a violation of death penalty safeguards to impose capital punishment on individuals suffering from psychosocial disabilities.”</w:t>
      </w:r>
      <w:r w:rsidRPr="00BE5F6B">
        <w:rPr>
          <w:rStyle w:val="FootnoteReference"/>
          <w:rFonts w:asciiTheme="majorHAnsi" w:hAnsiTheme="majorHAnsi"/>
          <w:bCs/>
          <w:sz w:val="20"/>
          <w:szCs w:val="20"/>
        </w:rPr>
        <w:footnoteReference w:id="77"/>
      </w:r>
    </w:p>
    <w:p w14:paraId="062AC9EF" w14:textId="77777777" w:rsidR="00B8441C" w:rsidRPr="00BE5F6B" w:rsidRDefault="00B8441C" w:rsidP="00B8441C">
      <w:pPr>
        <w:pStyle w:val="ListParagraph"/>
        <w:rPr>
          <w:rFonts w:eastAsia="Times New Roman"/>
          <w:sz w:val="20"/>
          <w:szCs w:val="20"/>
          <w:bdr w:val="none" w:sz="0" w:space="0" w:color="auto"/>
        </w:rPr>
      </w:pPr>
    </w:p>
    <w:p w14:paraId="329191FE" w14:textId="77777777" w:rsidR="00116ABE" w:rsidRPr="00BE5F6B" w:rsidRDefault="00116ABE" w:rsidP="00116A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Pr>
          <w:rFonts w:asciiTheme="majorHAnsi" w:hAnsiTheme="majorHAnsi"/>
          <w:sz w:val="20"/>
          <w:szCs w:val="20"/>
        </w:rPr>
        <w:t xml:space="preserve">The European Union Policy on the death penalty and mental illness is set out fully in the European Union Council’s guidelines on </w:t>
      </w:r>
      <w:r w:rsidRPr="00BE5F6B">
        <w:rPr>
          <w:rFonts w:asciiTheme="majorHAnsi" w:hAnsiTheme="majorHAnsi"/>
          <w:sz w:val="20"/>
          <w:szCs w:val="20"/>
        </w:rPr>
        <w:t xml:space="preserve">the death penalty, in which the Council sets out minimum standards for those countries that retain the death penalty and specifically states within Section III, subsection (iv) that capital punishment “shall not be imposed on </w:t>
      </w:r>
      <w:r w:rsidR="00C819B4" w:rsidRPr="00BE5F6B">
        <w:rPr>
          <w:rFonts w:asciiTheme="majorHAnsi" w:hAnsiTheme="majorHAnsi"/>
          <w:sz w:val="20"/>
          <w:szCs w:val="20"/>
        </w:rPr>
        <w:t xml:space="preserve">[…] </w:t>
      </w:r>
      <w:r w:rsidRPr="00BE5F6B">
        <w:rPr>
          <w:rFonts w:asciiTheme="majorHAnsi" w:hAnsiTheme="majorHAnsi"/>
          <w:sz w:val="20"/>
          <w:szCs w:val="20"/>
        </w:rPr>
        <w:t>persons suffering from any mental illness or having an intellectual disability</w:t>
      </w:r>
      <w:r w:rsidR="00C819B4" w:rsidRPr="00BE5F6B">
        <w:rPr>
          <w:rFonts w:asciiTheme="majorHAnsi" w:hAnsiTheme="majorHAnsi"/>
          <w:sz w:val="20"/>
          <w:szCs w:val="20"/>
        </w:rPr>
        <w:t>.</w:t>
      </w:r>
      <w:r w:rsidRPr="00BE5F6B">
        <w:rPr>
          <w:rFonts w:asciiTheme="majorHAnsi" w:hAnsiTheme="majorHAnsi"/>
          <w:sz w:val="20"/>
          <w:szCs w:val="20"/>
        </w:rPr>
        <w:t>”</w:t>
      </w:r>
      <w:r w:rsidRPr="00BE5F6B">
        <w:rPr>
          <w:rStyle w:val="FootnoteReference"/>
          <w:rFonts w:asciiTheme="majorHAnsi" w:hAnsiTheme="majorHAnsi"/>
          <w:sz w:val="20"/>
          <w:szCs w:val="20"/>
        </w:rPr>
        <w:footnoteReference w:id="78"/>
      </w:r>
    </w:p>
    <w:p w14:paraId="159A91A5" w14:textId="77777777" w:rsidR="00116ABE" w:rsidRPr="00BE5F6B" w:rsidRDefault="00116ABE" w:rsidP="00116AB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65D22EA5" w14:textId="77777777" w:rsidR="00B8441C" w:rsidRPr="00597FBE" w:rsidRDefault="00B8441C" w:rsidP="00B8441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bCs/>
          <w:sz w:val="20"/>
          <w:szCs w:val="20"/>
          <w:bdr w:val="none" w:sz="0" w:space="0" w:color="auto"/>
        </w:rPr>
      </w:pPr>
      <w:r w:rsidRPr="00BE5F6B">
        <w:rPr>
          <w:rFonts w:eastAsia="Times New Roman"/>
          <w:sz w:val="20"/>
          <w:szCs w:val="20"/>
          <w:bdr w:val="none" w:sz="0" w:space="0" w:color="auto"/>
        </w:rPr>
        <w:t xml:space="preserve">In </w:t>
      </w:r>
      <w:r w:rsidRPr="00BE5F6B">
        <w:rPr>
          <w:rFonts w:eastAsia="Times New Roman"/>
          <w:i/>
          <w:sz w:val="20"/>
          <w:szCs w:val="20"/>
          <w:bdr w:val="none" w:sz="0" w:space="0" w:color="auto"/>
        </w:rPr>
        <w:t>Atkins v. Virginia</w:t>
      </w:r>
      <w:r w:rsidRPr="00BE5F6B">
        <w:rPr>
          <w:rFonts w:eastAsia="Times New Roman"/>
          <w:sz w:val="20"/>
          <w:szCs w:val="20"/>
          <w:bdr w:val="none" w:sz="0" w:space="0" w:color="auto"/>
        </w:rPr>
        <w:t>,</w:t>
      </w:r>
      <w:r w:rsidRPr="00BE5F6B">
        <w:rPr>
          <w:rStyle w:val="FootnoteReference"/>
          <w:rFonts w:asciiTheme="majorHAnsi" w:hAnsiTheme="majorHAnsi"/>
          <w:bCs/>
          <w:sz w:val="20"/>
          <w:szCs w:val="20"/>
        </w:rPr>
        <w:footnoteReference w:id="79"/>
      </w:r>
      <w:r w:rsidRPr="00BE5F6B">
        <w:rPr>
          <w:rFonts w:eastAsia="Times New Roman"/>
          <w:sz w:val="20"/>
          <w:szCs w:val="20"/>
          <w:bdr w:val="none" w:sz="0" w:space="0" w:color="auto"/>
        </w:rPr>
        <w:t xml:space="preserve"> the United States Supreme Court held that “</w:t>
      </w:r>
      <w:r w:rsidRPr="00BE5F6B">
        <w:rPr>
          <w:rFonts w:eastAsia="Times New Roman"/>
          <w:sz w:val="20"/>
          <w:szCs w:val="20"/>
          <w:bdr w:val="none" w:sz="0" w:space="0" w:color="auto"/>
          <w:shd w:val="clear" w:color="auto" w:fill="FFFFFF"/>
        </w:rPr>
        <w:t xml:space="preserve">executions of mentally retarded criminals are cruel and unusual punishments prohibited by the Eighth Amendment” of the U.S. Constitution.  In its ruling, the Supreme Court traced the history of the concept of “excessive” sanctions and underscored the fact that the consensus today </w:t>
      </w:r>
      <w:r w:rsidRPr="00597FBE">
        <w:rPr>
          <w:rFonts w:eastAsia="Times New Roman"/>
          <w:sz w:val="20"/>
          <w:szCs w:val="20"/>
          <w:bdr w:val="none" w:sz="0" w:space="0" w:color="auto"/>
          <w:shd w:val="clear" w:color="auto" w:fill="FFFFFF"/>
        </w:rPr>
        <w:t>unquestionably reflects widespread judgment about the relative culpability of “mentally retarded offenders.”</w:t>
      </w:r>
      <w:r w:rsidRPr="00597FBE">
        <w:rPr>
          <w:rStyle w:val="FootnoteReference"/>
          <w:rFonts w:asciiTheme="majorHAnsi" w:hAnsiTheme="majorHAnsi"/>
          <w:bCs/>
          <w:sz w:val="20"/>
          <w:szCs w:val="20"/>
        </w:rPr>
        <w:footnoteReference w:id="80"/>
      </w:r>
      <w:r w:rsidRPr="00597FBE">
        <w:rPr>
          <w:rFonts w:eastAsia="Times New Roman"/>
          <w:sz w:val="20"/>
          <w:szCs w:val="20"/>
          <w:bdr w:val="none" w:sz="0" w:space="0" w:color="auto"/>
        </w:rPr>
        <w:t xml:space="preserve"> </w:t>
      </w:r>
    </w:p>
    <w:p w14:paraId="4B5469A0" w14:textId="77777777" w:rsidR="00B8441C" w:rsidRPr="00597FBE" w:rsidRDefault="00B8441C" w:rsidP="00B8441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14:paraId="0064F85E" w14:textId="77777777" w:rsidR="00B8441C" w:rsidRPr="00597FBE" w:rsidRDefault="00116ABE" w:rsidP="003142B7">
      <w:pPr>
        <w:pStyle w:val="Heading3"/>
        <w:numPr>
          <w:ilvl w:val="0"/>
          <w:numId w:val="67"/>
        </w:numPr>
        <w:spacing w:before="0"/>
        <w:ind w:left="360"/>
        <w:jc w:val="both"/>
        <w:rPr>
          <w:rFonts w:eastAsia="Arial Unicode MS"/>
          <w:color w:val="auto"/>
          <w:sz w:val="20"/>
          <w:szCs w:val="20"/>
        </w:rPr>
      </w:pPr>
      <w:bookmarkStart w:id="26" w:name="_Toc90300526"/>
      <w:r w:rsidRPr="00597FBE">
        <w:rPr>
          <w:rFonts w:eastAsia="Arial Unicode MS"/>
          <w:color w:val="auto"/>
          <w:sz w:val="20"/>
          <w:szCs w:val="20"/>
        </w:rPr>
        <w:t>Analysis of the case</w:t>
      </w:r>
      <w:bookmarkEnd w:id="26"/>
    </w:p>
    <w:p w14:paraId="3C98EE70" w14:textId="77777777" w:rsidR="001D19F8" w:rsidRPr="00597FBE" w:rsidRDefault="001D19F8" w:rsidP="001D19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520012AF" w14:textId="77777777" w:rsidR="00197E28" w:rsidRPr="00597FBE" w:rsidRDefault="00541BBC" w:rsidP="00541B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 xml:space="preserve">According to the information available before the Commission, </w:t>
      </w:r>
      <w:r w:rsidR="004F4100" w:rsidRPr="00597FBE">
        <w:rPr>
          <w:rFonts w:eastAsia="Times New Roman"/>
          <w:sz w:val="20"/>
          <w:szCs w:val="20"/>
          <w:bdr w:val="none" w:sz="0" w:space="0" w:color="auto"/>
        </w:rPr>
        <w:t xml:space="preserve">since the time of </w:t>
      </w:r>
      <w:r w:rsidR="000F7049" w:rsidRPr="00597FBE">
        <w:rPr>
          <w:rFonts w:eastAsia="Times New Roman"/>
          <w:sz w:val="20"/>
          <w:szCs w:val="20"/>
          <w:bdr w:val="none" w:sz="0" w:space="0" w:color="auto"/>
        </w:rPr>
        <w:t xml:space="preserve">the murder in </w:t>
      </w:r>
      <w:r w:rsidR="006C7D10" w:rsidRPr="00597FBE">
        <w:rPr>
          <w:rFonts w:eastAsia="Times New Roman"/>
          <w:sz w:val="20"/>
          <w:szCs w:val="20"/>
          <w:bdr w:val="none" w:sz="0" w:space="0" w:color="auto"/>
        </w:rPr>
        <w:t xml:space="preserve">1985, </w:t>
      </w:r>
      <w:r w:rsidR="000F7049" w:rsidRPr="00597FBE">
        <w:rPr>
          <w:rFonts w:eastAsia="Times New Roman"/>
          <w:sz w:val="20"/>
          <w:szCs w:val="20"/>
          <w:bdr w:val="none" w:sz="0" w:space="0" w:color="auto"/>
        </w:rPr>
        <w:t>Mr. Thomson had shown a deteriorating mental health. Between 1985 and 1990</w:t>
      </w:r>
      <w:r w:rsidR="001449DF" w:rsidRPr="00597FBE">
        <w:rPr>
          <w:rFonts w:eastAsia="Times New Roman"/>
          <w:sz w:val="20"/>
          <w:szCs w:val="20"/>
          <w:bdr w:val="none" w:sz="0" w:space="0" w:color="auto"/>
        </w:rPr>
        <w:t>,</w:t>
      </w:r>
      <w:r w:rsidR="000F7049" w:rsidRPr="00597FBE">
        <w:rPr>
          <w:rFonts w:eastAsia="Times New Roman"/>
          <w:sz w:val="20"/>
          <w:szCs w:val="20"/>
          <w:bdr w:val="none" w:sz="0" w:space="0" w:color="auto"/>
        </w:rPr>
        <w:t xml:space="preserve"> three different psychiatrists diagnosed him as either having bipolar disorder or a schizo affective disorder or schizophrenia. </w:t>
      </w:r>
      <w:r w:rsidR="00917971" w:rsidRPr="00597FBE">
        <w:rPr>
          <w:rFonts w:eastAsia="Times New Roman"/>
          <w:sz w:val="20"/>
          <w:szCs w:val="20"/>
          <w:bdr w:val="none" w:sz="0" w:space="0" w:color="auto"/>
        </w:rPr>
        <w:t>He had attempted suicide in a couple of occasions and set fire to his cell burning his hands and face. The psychiatrist</w:t>
      </w:r>
      <w:r w:rsidR="006F1083" w:rsidRPr="00597FBE">
        <w:rPr>
          <w:rFonts w:eastAsia="Times New Roman"/>
          <w:sz w:val="20"/>
          <w:szCs w:val="20"/>
          <w:bdr w:val="none" w:sz="0" w:space="0" w:color="auto"/>
        </w:rPr>
        <w:t>s</w:t>
      </w:r>
      <w:r w:rsidR="00917971" w:rsidRPr="00597FBE">
        <w:rPr>
          <w:rFonts w:eastAsia="Times New Roman"/>
          <w:sz w:val="20"/>
          <w:szCs w:val="20"/>
          <w:bdr w:val="none" w:sz="0" w:space="0" w:color="auto"/>
        </w:rPr>
        <w:t xml:space="preserve"> discounted the possibility of malingering. </w:t>
      </w:r>
    </w:p>
    <w:p w14:paraId="67D99D30" w14:textId="77777777" w:rsidR="00197E28" w:rsidRPr="00597FBE" w:rsidRDefault="00197E28" w:rsidP="00197E2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jc w:val="both"/>
        <w:rPr>
          <w:rFonts w:eastAsia="Times New Roman"/>
          <w:sz w:val="20"/>
          <w:szCs w:val="20"/>
          <w:bdr w:val="none" w:sz="0" w:space="0" w:color="auto"/>
        </w:rPr>
      </w:pPr>
    </w:p>
    <w:p w14:paraId="22701D92" w14:textId="77777777" w:rsidR="00197E28" w:rsidRPr="00597FBE" w:rsidRDefault="00917971" w:rsidP="00541BB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In 1991, during post-conviction, defense counsel submitted the affidavit of a licensed psychologist who, based on Mr. Thompson’s medical records, opined that</w:t>
      </w:r>
      <w:r w:rsidR="006C7D10" w:rsidRPr="00597FBE">
        <w:rPr>
          <w:rFonts w:eastAsia="Times New Roman"/>
          <w:sz w:val="20"/>
          <w:szCs w:val="20"/>
          <w:bdr w:val="none" w:sz="0" w:space="0" w:color="auto"/>
        </w:rPr>
        <w:t xml:space="preserve"> he had shown a deteriorating mental status. </w:t>
      </w:r>
      <w:r w:rsidR="004E42F6" w:rsidRPr="00597FBE">
        <w:rPr>
          <w:rFonts w:eastAsia="Times New Roman"/>
          <w:sz w:val="20"/>
          <w:szCs w:val="20"/>
          <w:bdr w:val="none" w:sz="0" w:space="0" w:color="auto"/>
        </w:rPr>
        <w:t xml:space="preserve">The psychologist stated that Mr. Thompson was in need of a full psychological evaluation and defense counsel filed a motion for funds to hire a licensed psychologist or psychiatrist to assist in the preparation of the case for post-conviction relief. </w:t>
      </w:r>
      <w:r w:rsidR="00986A5C" w:rsidRPr="00597FBE">
        <w:rPr>
          <w:rFonts w:eastAsia="Times New Roman"/>
          <w:sz w:val="20"/>
          <w:szCs w:val="20"/>
          <w:bdr w:val="none" w:sz="0" w:space="0" w:color="auto"/>
        </w:rPr>
        <w:t xml:space="preserve">At the evidentiary hearing in 1995 the </w:t>
      </w:r>
      <w:r w:rsidR="00197E28" w:rsidRPr="00597FBE">
        <w:rPr>
          <w:rFonts w:eastAsia="Times New Roman"/>
          <w:sz w:val="20"/>
          <w:szCs w:val="20"/>
          <w:bdr w:val="none" w:sz="0" w:space="0" w:color="auto"/>
        </w:rPr>
        <w:t>psychologist stated that she did not have an opinion about Mr. Thompson’s diagnostic at the time of the offense, and said she would need to have access to his full history and full medical records prior to the commission of the offense, as well as his family history of mental illness, which records were not available. The court denied the petition for post-conviction</w:t>
      </w:r>
      <w:r w:rsidR="00EB3D95" w:rsidRPr="00597FBE">
        <w:rPr>
          <w:rFonts w:eastAsia="Times New Roman"/>
          <w:sz w:val="20"/>
          <w:szCs w:val="20"/>
          <w:bdr w:val="none" w:sz="0" w:space="0" w:color="auto"/>
        </w:rPr>
        <w:t xml:space="preserve"> relief</w:t>
      </w:r>
      <w:r w:rsidR="00197E28" w:rsidRPr="00597FBE">
        <w:rPr>
          <w:rFonts w:eastAsia="Times New Roman"/>
          <w:sz w:val="20"/>
          <w:szCs w:val="20"/>
          <w:bdr w:val="none" w:sz="0" w:space="0" w:color="auto"/>
        </w:rPr>
        <w:t xml:space="preserve"> and the request for funding to hire an expert. The court ruled that “counsel presented no proof of mental problems on the part of Mr. Thompson that would have been a defense to the </w:t>
      </w:r>
      <w:r w:rsidR="00EB3D95" w:rsidRPr="00597FBE">
        <w:rPr>
          <w:rFonts w:eastAsia="Times New Roman"/>
          <w:sz w:val="20"/>
          <w:szCs w:val="20"/>
          <w:bdr w:val="none" w:sz="0" w:space="0" w:color="auto"/>
        </w:rPr>
        <w:t>charge</w:t>
      </w:r>
      <w:r w:rsidR="00197E28" w:rsidRPr="00597FBE">
        <w:rPr>
          <w:rFonts w:eastAsia="Times New Roman"/>
          <w:sz w:val="20"/>
          <w:szCs w:val="20"/>
          <w:bdr w:val="none" w:sz="0" w:space="0" w:color="auto"/>
        </w:rPr>
        <w:t>, or that would constitute a shield against execution.”</w:t>
      </w:r>
    </w:p>
    <w:p w14:paraId="422B296E" w14:textId="77777777" w:rsidR="00197E28" w:rsidRPr="00597FBE" w:rsidRDefault="00197E28" w:rsidP="00197E28">
      <w:pPr>
        <w:pStyle w:val="ListParagraph"/>
        <w:rPr>
          <w:rFonts w:eastAsia="Times New Roman"/>
          <w:sz w:val="20"/>
          <w:szCs w:val="20"/>
          <w:bdr w:val="none" w:sz="0" w:space="0" w:color="auto"/>
        </w:rPr>
      </w:pPr>
    </w:p>
    <w:p w14:paraId="0CE12E11" w14:textId="77777777" w:rsidR="000B3593" w:rsidRPr="00597FBE" w:rsidRDefault="001449DF" w:rsidP="00197E2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After Mr. Thompson’s first execution date was scheduled in 2004, defense counsel raised the issue of</w:t>
      </w:r>
      <w:r w:rsidR="006F1083" w:rsidRPr="00597FBE">
        <w:rPr>
          <w:rFonts w:eastAsia="Times New Roman"/>
          <w:sz w:val="20"/>
          <w:szCs w:val="20"/>
          <w:bdr w:val="none" w:sz="0" w:space="0" w:color="auto"/>
        </w:rPr>
        <w:t xml:space="preserve"> Mr. Thompson’s </w:t>
      </w:r>
      <w:r w:rsidRPr="00597FBE">
        <w:rPr>
          <w:rFonts w:eastAsia="Times New Roman"/>
          <w:sz w:val="20"/>
          <w:szCs w:val="20"/>
          <w:bdr w:val="none" w:sz="0" w:space="0" w:color="auto"/>
        </w:rPr>
        <w:t xml:space="preserve">competency to be executed and requested a hearing. The Tennessee Supreme Court remanded the competency issue to the trial court to determine whether Mr. Thompson had made a threshold showing sufficient to warrant an evidentiary hearing. Defense counsel submitted Mr. Thompson’s medical records, along with the reports of three mental health experts. The records showed that he had engaged in self-destructive </w:t>
      </w:r>
      <w:r w:rsidRPr="00597FBE">
        <w:rPr>
          <w:rFonts w:eastAsia="Times New Roman"/>
          <w:sz w:val="20"/>
          <w:szCs w:val="20"/>
          <w:bdr w:val="none" w:sz="0" w:space="0" w:color="auto"/>
        </w:rPr>
        <w:lastRenderedPageBreak/>
        <w:t xml:space="preserve">acts from the time his incarceration began, including swallowing poison </w:t>
      </w:r>
      <w:r w:rsidR="00253F11" w:rsidRPr="00597FBE">
        <w:rPr>
          <w:rFonts w:eastAsia="Times New Roman"/>
          <w:sz w:val="20"/>
          <w:szCs w:val="20"/>
          <w:bdr w:val="none" w:sz="0" w:space="0" w:color="auto"/>
        </w:rPr>
        <w:t xml:space="preserve">and cutting his wrist and arms. They also showed that in 1995 Mr. Thompson was deemed a “mental health emergency” given that voluntary medication had not been effective, and in 2001 the state petitioned a Tennessee court for the appointment of a conservator to make decisions on Mr. Thompson’s behalf. </w:t>
      </w:r>
      <w:r w:rsidR="000B3593" w:rsidRPr="00597FBE">
        <w:rPr>
          <w:rFonts w:eastAsia="Times New Roman"/>
          <w:sz w:val="20"/>
          <w:szCs w:val="20"/>
          <w:bdr w:val="none" w:sz="0" w:space="0" w:color="auto"/>
        </w:rPr>
        <w:t xml:space="preserve">Also, according to the experts, he had been </w:t>
      </w:r>
      <w:r w:rsidR="00B26410" w:rsidRPr="00597FBE">
        <w:rPr>
          <w:rFonts w:asciiTheme="majorHAnsi" w:hAnsiTheme="majorHAnsi"/>
          <w:sz w:val="20"/>
          <w:szCs w:val="20"/>
        </w:rPr>
        <w:t xml:space="preserve">consistently </w:t>
      </w:r>
      <w:r w:rsidR="000B3593" w:rsidRPr="00597FBE">
        <w:rPr>
          <w:rFonts w:asciiTheme="majorHAnsi" w:hAnsiTheme="majorHAnsi"/>
          <w:sz w:val="20"/>
          <w:szCs w:val="20"/>
        </w:rPr>
        <w:t>psychotic and his delusions persisted in spite of antipsychotic medication.</w:t>
      </w:r>
    </w:p>
    <w:p w14:paraId="35B0F221" w14:textId="77777777" w:rsidR="000B3593" w:rsidRPr="00597FBE" w:rsidRDefault="000B3593" w:rsidP="000B3593">
      <w:pPr>
        <w:pStyle w:val="ListParagraph"/>
        <w:rPr>
          <w:rFonts w:eastAsia="Times New Roman"/>
          <w:sz w:val="20"/>
          <w:szCs w:val="20"/>
          <w:bdr w:val="none" w:sz="0" w:space="0" w:color="auto"/>
        </w:rPr>
      </w:pPr>
    </w:p>
    <w:p w14:paraId="6045BF6B" w14:textId="77777777" w:rsidR="00197E28" w:rsidRPr="00597FBE" w:rsidRDefault="00816BAE" w:rsidP="00197E2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On March 8, 2004, the trial court denied the incompetency petition without holding an evidentiary hearing, finding the requisite threshold had not been met. The Tennessee Supreme Court affirmed the trial court’s decision reasoning that, although the reports indicated that Mr. Thompson suffered from chronic schizophrenia</w:t>
      </w:r>
      <w:r w:rsidR="00CB71D6" w:rsidRPr="00597FBE">
        <w:rPr>
          <w:rFonts w:eastAsia="Times New Roman"/>
          <w:sz w:val="20"/>
          <w:szCs w:val="20"/>
          <w:bdr w:val="none" w:sz="0" w:space="0" w:color="auto"/>
        </w:rPr>
        <w:t xml:space="preserve">, they did not indicate that </w:t>
      </w:r>
      <w:r w:rsidRPr="00597FBE">
        <w:rPr>
          <w:rFonts w:eastAsia="Times New Roman"/>
          <w:sz w:val="20"/>
          <w:szCs w:val="20"/>
          <w:bdr w:val="none" w:sz="0" w:space="0" w:color="auto"/>
        </w:rPr>
        <w:t xml:space="preserve">he was unaware of his impending execution and the reason for it. </w:t>
      </w:r>
    </w:p>
    <w:p w14:paraId="6ECD4722" w14:textId="77777777" w:rsidR="007048C5" w:rsidRPr="00597FBE" w:rsidRDefault="007048C5" w:rsidP="007048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jc w:val="both"/>
        <w:rPr>
          <w:rFonts w:eastAsia="Times New Roman"/>
          <w:sz w:val="20"/>
          <w:szCs w:val="20"/>
          <w:bdr w:val="none" w:sz="0" w:space="0" w:color="auto"/>
        </w:rPr>
      </w:pPr>
    </w:p>
    <w:p w14:paraId="542EC655" w14:textId="77777777" w:rsidR="007048C5" w:rsidRPr="00597FBE" w:rsidRDefault="00CB71D6" w:rsidP="00197E2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 xml:space="preserve">In 2004 the Sixth Circuit Court vacated a District Court’s dismissal of a petition for a writ of habeas corpus and remanded the case for a full evidentiary hearing. According to the last information available, the District Court had stayed the competency hearing until all appeals </w:t>
      </w:r>
      <w:r w:rsidR="00D9508D" w:rsidRPr="00597FBE">
        <w:rPr>
          <w:rFonts w:eastAsia="Times New Roman"/>
          <w:sz w:val="20"/>
          <w:szCs w:val="20"/>
          <w:bdr w:val="none" w:sz="0" w:space="0" w:color="auto"/>
        </w:rPr>
        <w:t>on the ground of ineffective assistance of counsel were completed. However, Mr. Thompson died of natural causes before that.</w:t>
      </w:r>
    </w:p>
    <w:p w14:paraId="217B82C6" w14:textId="77777777" w:rsidR="00D9508D" w:rsidRPr="00597FBE" w:rsidRDefault="00D9508D" w:rsidP="00D9508D">
      <w:pPr>
        <w:pStyle w:val="ListParagraph"/>
        <w:rPr>
          <w:rFonts w:eastAsia="Times New Roman"/>
          <w:sz w:val="20"/>
          <w:szCs w:val="20"/>
          <w:bdr w:val="none" w:sz="0" w:space="0" w:color="auto"/>
        </w:rPr>
      </w:pPr>
    </w:p>
    <w:p w14:paraId="1A549BE1" w14:textId="77777777" w:rsidR="00655223" w:rsidRPr="00597FBE" w:rsidRDefault="00B26410" w:rsidP="00197E2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The Commission</w:t>
      </w:r>
      <w:r w:rsidR="00C819B4" w:rsidRPr="00597FBE">
        <w:rPr>
          <w:rFonts w:eastAsia="Times New Roman"/>
          <w:sz w:val="20"/>
          <w:szCs w:val="20"/>
          <w:bdr w:val="none" w:sz="0" w:space="0" w:color="auto"/>
        </w:rPr>
        <w:t xml:space="preserve"> therefore</w:t>
      </w:r>
      <w:r w:rsidRPr="00597FBE">
        <w:rPr>
          <w:rFonts w:eastAsia="Times New Roman"/>
          <w:sz w:val="20"/>
          <w:szCs w:val="20"/>
          <w:bdr w:val="none" w:sz="0" w:space="0" w:color="auto"/>
        </w:rPr>
        <w:t xml:space="preserve"> notes that, at the time of Mr. Thompson’s death, the courts had not yet reached a final determination concerning Mr. Thompson’s competency to be executed. </w:t>
      </w:r>
      <w:r w:rsidR="006F1083" w:rsidRPr="00597FBE">
        <w:rPr>
          <w:rFonts w:eastAsia="Times New Roman"/>
          <w:sz w:val="20"/>
          <w:szCs w:val="20"/>
          <w:bdr w:val="none" w:sz="0" w:space="0" w:color="auto"/>
        </w:rPr>
        <w:t>The Commission also notes that t</w:t>
      </w:r>
      <w:r w:rsidR="008A1732" w:rsidRPr="00597FBE">
        <w:rPr>
          <w:rFonts w:eastAsia="Times New Roman"/>
          <w:sz w:val="20"/>
          <w:szCs w:val="20"/>
          <w:bdr w:val="none" w:sz="0" w:space="0" w:color="auto"/>
        </w:rPr>
        <w:t xml:space="preserve">he trial court, in its decision </w:t>
      </w:r>
      <w:r w:rsidR="00EC537B" w:rsidRPr="00597FBE">
        <w:rPr>
          <w:rFonts w:eastAsia="Times New Roman"/>
          <w:sz w:val="20"/>
          <w:szCs w:val="20"/>
          <w:bdr w:val="none" w:sz="0" w:space="0" w:color="auto"/>
        </w:rPr>
        <w:t xml:space="preserve">denying post-conviction </w:t>
      </w:r>
      <w:r w:rsidR="008A1732" w:rsidRPr="00597FBE">
        <w:rPr>
          <w:rFonts w:eastAsia="Times New Roman"/>
          <w:sz w:val="20"/>
          <w:szCs w:val="20"/>
          <w:bdr w:val="none" w:sz="0" w:space="0" w:color="auto"/>
        </w:rPr>
        <w:t>relief</w:t>
      </w:r>
      <w:r w:rsidR="00EC537B" w:rsidRPr="00597FBE">
        <w:rPr>
          <w:rFonts w:eastAsia="Times New Roman"/>
          <w:sz w:val="20"/>
          <w:szCs w:val="20"/>
          <w:bdr w:val="none" w:sz="0" w:space="0" w:color="auto"/>
        </w:rPr>
        <w:t xml:space="preserve">, </w:t>
      </w:r>
      <w:r w:rsidR="008A1732" w:rsidRPr="00597FBE">
        <w:rPr>
          <w:rFonts w:eastAsia="Times New Roman"/>
          <w:sz w:val="20"/>
          <w:szCs w:val="20"/>
          <w:bdr w:val="none" w:sz="0" w:space="0" w:color="auto"/>
        </w:rPr>
        <w:t>ruled that counsel did not “present proof of mental problems on the part of Mr. Thompson</w:t>
      </w:r>
      <w:r w:rsidR="00D63998">
        <w:rPr>
          <w:rFonts w:eastAsia="Times New Roman"/>
          <w:sz w:val="20"/>
          <w:szCs w:val="20"/>
          <w:bdr w:val="none" w:sz="0" w:space="0" w:color="auto"/>
        </w:rPr>
        <w:t>.</w:t>
      </w:r>
      <w:r w:rsidR="008A1732" w:rsidRPr="00597FBE">
        <w:rPr>
          <w:rFonts w:eastAsia="Times New Roman"/>
          <w:sz w:val="20"/>
          <w:szCs w:val="20"/>
          <w:bdr w:val="none" w:sz="0" w:space="0" w:color="auto"/>
        </w:rPr>
        <w:t xml:space="preserve">” </w:t>
      </w:r>
      <w:r w:rsidR="00D63998">
        <w:rPr>
          <w:rFonts w:eastAsia="Times New Roman"/>
          <w:sz w:val="20"/>
          <w:szCs w:val="20"/>
          <w:bdr w:val="none" w:sz="0" w:space="0" w:color="auto"/>
        </w:rPr>
        <w:t>However</w:t>
      </w:r>
      <w:r w:rsidR="00255DD3" w:rsidRPr="00597FBE">
        <w:rPr>
          <w:rFonts w:eastAsia="Times New Roman"/>
          <w:sz w:val="20"/>
          <w:szCs w:val="20"/>
          <w:bdr w:val="none" w:sz="0" w:space="0" w:color="auto"/>
        </w:rPr>
        <w:t>, at the same time,</w:t>
      </w:r>
      <w:r w:rsidR="008A1732" w:rsidRPr="00597FBE">
        <w:rPr>
          <w:rFonts w:eastAsia="Times New Roman"/>
          <w:sz w:val="20"/>
          <w:szCs w:val="20"/>
          <w:bdr w:val="none" w:sz="0" w:space="0" w:color="auto"/>
        </w:rPr>
        <w:t xml:space="preserve"> </w:t>
      </w:r>
      <w:r w:rsidR="00D63998">
        <w:rPr>
          <w:rFonts w:eastAsia="Times New Roman"/>
          <w:sz w:val="20"/>
          <w:szCs w:val="20"/>
          <w:bdr w:val="none" w:sz="0" w:space="0" w:color="auto"/>
        </w:rPr>
        <w:t xml:space="preserve">the court </w:t>
      </w:r>
      <w:r w:rsidR="008A1732" w:rsidRPr="00597FBE">
        <w:rPr>
          <w:rFonts w:eastAsia="Times New Roman"/>
          <w:sz w:val="20"/>
          <w:szCs w:val="20"/>
          <w:bdr w:val="none" w:sz="0" w:space="0" w:color="auto"/>
        </w:rPr>
        <w:t xml:space="preserve">denied </w:t>
      </w:r>
      <w:r w:rsidR="00DC5494" w:rsidRPr="00597FBE">
        <w:rPr>
          <w:rFonts w:eastAsia="Times New Roman"/>
          <w:sz w:val="20"/>
          <w:szCs w:val="20"/>
          <w:bdr w:val="none" w:sz="0" w:space="0" w:color="auto"/>
        </w:rPr>
        <w:t>counsel’s</w:t>
      </w:r>
      <w:r w:rsidR="008A1732" w:rsidRPr="00597FBE">
        <w:rPr>
          <w:rFonts w:eastAsia="Times New Roman"/>
          <w:sz w:val="20"/>
          <w:szCs w:val="20"/>
          <w:bdr w:val="none" w:sz="0" w:space="0" w:color="auto"/>
        </w:rPr>
        <w:t xml:space="preserve"> request for funding</w:t>
      </w:r>
      <w:r w:rsidR="00F824C3" w:rsidRPr="00597FBE">
        <w:rPr>
          <w:rFonts w:eastAsia="Times New Roman"/>
          <w:sz w:val="20"/>
          <w:szCs w:val="20"/>
          <w:bdr w:val="none" w:sz="0" w:space="0" w:color="auto"/>
        </w:rPr>
        <w:t xml:space="preserve"> that would have allowed them</w:t>
      </w:r>
      <w:r w:rsidR="008A1732" w:rsidRPr="00597FBE">
        <w:rPr>
          <w:rFonts w:eastAsia="Times New Roman"/>
          <w:sz w:val="20"/>
          <w:szCs w:val="20"/>
          <w:bdr w:val="none" w:sz="0" w:space="0" w:color="auto"/>
        </w:rPr>
        <w:t xml:space="preserve"> to hire an expert in order to present </w:t>
      </w:r>
      <w:r w:rsidR="00255DD3" w:rsidRPr="00597FBE">
        <w:rPr>
          <w:rFonts w:eastAsia="Times New Roman"/>
          <w:sz w:val="20"/>
          <w:szCs w:val="20"/>
          <w:bdr w:val="none" w:sz="0" w:space="0" w:color="auto"/>
        </w:rPr>
        <w:t xml:space="preserve">such </w:t>
      </w:r>
      <w:r w:rsidR="008A1732" w:rsidRPr="00597FBE">
        <w:rPr>
          <w:rFonts w:eastAsia="Times New Roman"/>
          <w:sz w:val="20"/>
          <w:szCs w:val="20"/>
          <w:bdr w:val="none" w:sz="0" w:space="0" w:color="auto"/>
        </w:rPr>
        <w:t>evidence.</w:t>
      </w:r>
      <w:r w:rsidR="00255DD3" w:rsidRPr="00597FBE">
        <w:rPr>
          <w:rFonts w:eastAsia="Times New Roman"/>
          <w:sz w:val="20"/>
          <w:szCs w:val="20"/>
          <w:bdr w:val="none" w:sz="0" w:space="0" w:color="auto"/>
        </w:rPr>
        <w:t xml:space="preserve"> </w:t>
      </w:r>
      <w:r w:rsidR="00D55F4A" w:rsidRPr="00597FBE">
        <w:rPr>
          <w:rFonts w:eastAsia="Times New Roman"/>
          <w:sz w:val="20"/>
          <w:szCs w:val="20"/>
          <w:bdr w:val="none" w:sz="0" w:space="0" w:color="auto"/>
        </w:rPr>
        <w:t>Further</w:t>
      </w:r>
      <w:r w:rsidR="00255DD3" w:rsidRPr="00597FBE">
        <w:rPr>
          <w:rFonts w:eastAsia="Times New Roman"/>
          <w:sz w:val="20"/>
          <w:szCs w:val="20"/>
          <w:bdr w:val="none" w:sz="0" w:space="0" w:color="auto"/>
        </w:rPr>
        <w:t>,</w:t>
      </w:r>
      <w:r w:rsidR="00DC5494" w:rsidRPr="00597FBE">
        <w:rPr>
          <w:rFonts w:eastAsia="Times New Roman"/>
          <w:sz w:val="20"/>
          <w:szCs w:val="20"/>
          <w:bdr w:val="none" w:sz="0" w:space="0" w:color="auto"/>
        </w:rPr>
        <w:t xml:space="preserve"> </w:t>
      </w:r>
      <w:r w:rsidR="006265FB" w:rsidRPr="00597FBE">
        <w:rPr>
          <w:rFonts w:eastAsia="Times New Roman"/>
          <w:sz w:val="20"/>
          <w:szCs w:val="20"/>
          <w:bdr w:val="none" w:sz="0" w:space="0" w:color="auto"/>
        </w:rPr>
        <w:t>on March 8, 2004, the trial court denied the incompetency petition without holding an evidentiary hearing concluding that defense counsel failed to make a threshold showing sufficient to warrant a hearing. Defense counsel</w:t>
      </w:r>
      <w:r w:rsidR="00D55F4A" w:rsidRPr="00597FBE">
        <w:rPr>
          <w:rFonts w:eastAsia="Times New Roman"/>
          <w:sz w:val="20"/>
          <w:szCs w:val="20"/>
          <w:bdr w:val="none" w:sz="0" w:space="0" w:color="auto"/>
        </w:rPr>
        <w:t>, however,</w:t>
      </w:r>
      <w:r w:rsidR="006265FB" w:rsidRPr="00597FBE">
        <w:rPr>
          <w:rFonts w:eastAsia="Times New Roman"/>
          <w:sz w:val="20"/>
          <w:szCs w:val="20"/>
          <w:bdr w:val="none" w:sz="0" w:space="0" w:color="auto"/>
        </w:rPr>
        <w:t xml:space="preserve"> had </w:t>
      </w:r>
      <w:r w:rsidR="006F1083" w:rsidRPr="00597FBE">
        <w:rPr>
          <w:rFonts w:eastAsia="Times New Roman"/>
          <w:sz w:val="20"/>
          <w:szCs w:val="20"/>
          <w:bdr w:val="none" w:sz="0" w:space="0" w:color="auto"/>
        </w:rPr>
        <w:t>submitted</w:t>
      </w:r>
      <w:r w:rsidR="00D55F4A" w:rsidRPr="00597FBE">
        <w:rPr>
          <w:rFonts w:eastAsia="Times New Roman"/>
          <w:sz w:val="20"/>
          <w:szCs w:val="20"/>
          <w:bdr w:val="none" w:sz="0" w:space="0" w:color="auto"/>
        </w:rPr>
        <w:t xml:space="preserve"> abundant information on </w:t>
      </w:r>
      <w:r w:rsidR="006F1083" w:rsidRPr="00597FBE">
        <w:rPr>
          <w:rFonts w:eastAsia="Times New Roman"/>
          <w:sz w:val="20"/>
          <w:szCs w:val="20"/>
          <w:bdr w:val="none" w:sz="0" w:space="0" w:color="auto"/>
        </w:rPr>
        <w:t xml:space="preserve">Mr. Thompson’s </w:t>
      </w:r>
      <w:r w:rsidR="00D55F4A" w:rsidRPr="00597FBE">
        <w:rPr>
          <w:rFonts w:eastAsia="Times New Roman"/>
          <w:sz w:val="20"/>
          <w:szCs w:val="20"/>
          <w:bdr w:val="none" w:sz="0" w:space="0" w:color="auto"/>
        </w:rPr>
        <w:t xml:space="preserve">mental health. </w:t>
      </w:r>
    </w:p>
    <w:p w14:paraId="3AECD830" w14:textId="77777777" w:rsidR="00655223" w:rsidRPr="00597FBE" w:rsidRDefault="00655223" w:rsidP="00655223">
      <w:pPr>
        <w:pStyle w:val="ListParagraph"/>
        <w:rPr>
          <w:rFonts w:eastAsia="Times New Roman"/>
          <w:sz w:val="20"/>
          <w:szCs w:val="20"/>
          <w:bdr w:val="none" w:sz="0" w:space="0" w:color="auto"/>
        </w:rPr>
      </w:pPr>
    </w:p>
    <w:p w14:paraId="2B2E6DEC" w14:textId="77777777" w:rsidR="00240A07" w:rsidRDefault="00655223" w:rsidP="00C07DB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 xml:space="preserve">  </w:t>
      </w:r>
      <w:r w:rsidR="007B47ED" w:rsidRPr="00597FBE">
        <w:rPr>
          <w:rFonts w:eastAsia="Times New Roman"/>
          <w:sz w:val="20"/>
          <w:szCs w:val="20"/>
          <w:bdr w:val="none" w:sz="0" w:space="0" w:color="auto"/>
        </w:rPr>
        <w:t xml:space="preserve">Although the Inter-American Commission has no competence to replace domestic courts in the appraisal of evidence, </w:t>
      </w:r>
      <w:r w:rsidR="001928D4" w:rsidRPr="00597FBE">
        <w:rPr>
          <w:rFonts w:eastAsia="Times New Roman"/>
          <w:sz w:val="20"/>
          <w:szCs w:val="20"/>
          <w:bdr w:val="none" w:sz="0" w:space="0" w:color="auto"/>
        </w:rPr>
        <w:t xml:space="preserve">this </w:t>
      </w:r>
      <w:r w:rsidR="007B47ED" w:rsidRPr="00597FBE">
        <w:rPr>
          <w:rFonts w:eastAsia="Times New Roman"/>
          <w:sz w:val="20"/>
          <w:szCs w:val="20"/>
          <w:bdr w:val="none" w:sz="0" w:space="0" w:color="auto"/>
        </w:rPr>
        <w:t>do</w:t>
      </w:r>
      <w:r w:rsidR="001928D4" w:rsidRPr="00597FBE">
        <w:rPr>
          <w:rFonts w:eastAsia="Times New Roman"/>
          <w:sz w:val="20"/>
          <w:szCs w:val="20"/>
          <w:bdr w:val="none" w:sz="0" w:space="0" w:color="auto"/>
        </w:rPr>
        <w:t>es not</w:t>
      </w:r>
      <w:r w:rsidR="007B47ED" w:rsidRPr="00597FBE">
        <w:rPr>
          <w:rFonts w:eastAsia="Times New Roman"/>
          <w:sz w:val="20"/>
          <w:szCs w:val="20"/>
          <w:bdr w:val="none" w:sz="0" w:space="0" w:color="auto"/>
        </w:rPr>
        <w:t xml:space="preserve"> preclude the Commission from considering possible violation</w:t>
      </w:r>
      <w:r w:rsidR="001928D4" w:rsidRPr="00597FBE">
        <w:rPr>
          <w:rFonts w:eastAsia="Times New Roman"/>
          <w:sz w:val="20"/>
          <w:szCs w:val="20"/>
          <w:bdr w:val="none" w:sz="0" w:space="0" w:color="auto"/>
        </w:rPr>
        <w:t>s</w:t>
      </w:r>
      <w:r w:rsidR="007B47ED" w:rsidRPr="00597FBE">
        <w:rPr>
          <w:rFonts w:eastAsia="Times New Roman"/>
          <w:sz w:val="20"/>
          <w:szCs w:val="20"/>
          <w:bdr w:val="none" w:sz="0" w:space="0" w:color="auto"/>
        </w:rPr>
        <w:t xml:space="preserve"> of any of the rights set forth in the American Declaration</w:t>
      </w:r>
      <w:r w:rsidR="001928D4" w:rsidRPr="00597FBE">
        <w:rPr>
          <w:rFonts w:eastAsia="Times New Roman"/>
          <w:sz w:val="20"/>
          <w:szCs w:val="20"/>
          <w:bdr w:val="none" w:sz="0" w:space="0" w:color="auto"/>
        </w:rPr>
        <w:t>, especially in cases involving the death penalty given the interests at stake</w:t>
      </w:r>
      <w:r w:rsidR="007B47ED" w:rsidRPr="00597FBE">
        <w:rPr>
          <w:rFonts w:eastAsia="Times New Roman"/>
          <w:sz w:val="20"/>
          <w:szCs w:val="20"/>
          <w:bdr w:val="none" w:sz="0" w:space="0" w:color="auto"/>
        </w:rPr>
        <w:t>.</w:t>
      </w:r>
      <w:r w:rsidR="001928D4" w:rsidRPr="00597FBE">
        <w:rPr>
          <w:rFonts w:eastAsia="Times New Roman"/>
          <w:sz w:val="20"/>
          <w:szCs w:val="20"/>
          <w:bdr w:val="none" w:sz="0" w:space="0" w:color="auto"/>
        </w:rPr>
        <w:t xml:space="preserve"> The Commission notes that in the present case </w:t>
      </w:r>
      <w:r w:rsidR="006F1083" w:rsidRPr="00597FBE">
        <w:rPr>
          <w:rFonts w:eastAsia="Times New Roman"/>
          <w:sz w:val="20"/>
          <w:szCs w:val="20"/>
          <w:bdr w:val="none" w:sz="0" w:space="0" w:color="auto"/>
        </w:rPr>
        <w:t xml:space="preserve">domestic courts applied too high a standard to establish whether defense counsel made a threshold showing </w:t>
      </w:r>
      <w:r w:rsidR="009666CD">
        <w:rPr>
          <w:rFonts w:eastAsia="Times New Roman"/>
          <w:sz w:val="20"/>
          <w:szCs w:val="20"/>
          <w:bdr w:val="none" w:sz="0" w:space="0" w:color="auto"/>
        </w:rPr>
        <w:t>sufficient to warrant a hearing in order to prove, according to adequate evidence, that Mr. Thompson had a mental disability.</w:t>
      </w:r>
    </w:p>
    <w:p w14:paraId="2F3BD153" w14:textId="77777777" w:rsidR="00240A07" w:rsidRPr="00240A07" w:rsidRDefault="00240A07" w:rsidP="00240A07">
      <w:pPr>
        <w:pStyle w:val="ListParagraph"/>
        <w:rPr>
          <w:rFonts w:eastAsia="Times New Roman"/>
          <w:sz w:val="20"/>
          <w:szCs w:val="20"/>
          <w:bdr w:val="none" w:sz="0" w:space="0" w:color="auto"/>
        </w:rPr>
      </w:pPr>
    </w:p>
    <w:p w14:paraId="24DA27C8" w14:textId="77777777" w:rsidR="00D418F5" w:rsidRPr="00597FBE" w:rsidRDefault="00971018" w:rsidP="00C07DB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eastAsia="Times New Roman"/>
          <w:sz w:val="20"/>
          <w:szCs w:val="20"/>
          <w:bdr w:val="none" w:sz="0" w:space="0" w:color="auto"/>
        </w:rPr>
        <w:t xml:space="preserve">The Commission understands that a threshold showing of incompetence should exist, as the US Supreme Court held in </w:t>
      </w:r>
      <w:r w:rsidRPr="00597FBE">
        <w:rPr>
          <w:rFonts w:eastAsia="Times New Roman"/>
          <w:i/>
          <w:iCs/>
          <w:sz w:val="20"/>
          <w:szCs w:val="20"/>
          <w:bdr w:val="none" w:sz="0" w:space="0" w:color="auto"/>
        </w:rPr>
        <w:t>Panetti</w:t>
      </w:r>
      <w:r w:rsidRPr="00597FBE">
        <w:rPr>
          <w:rFonts w:eastAsia="Times New Roman"/>
          <w:sz w:val="20"/>
          <w:szCs w:val="20"/>
          <w:bdr w:val="none" w:sz="0" w:space="0" w:color="auto"/>
        </w:rPr>
        <w:t>,</w:t>
      </w:r>
      <w:r w:rsidR="004A5834">
        <w:rPr>
          <w:rStyle w:val="FootnoteReference"/>
          <w:rFonts w:eastAsia="Times New Roman"/>
          <w:sz w:val="20"/>
          <w:szCs w:val="20"/>
          <w:bdr w:val="none" w:sz="0" w:space="0" w:color="auto"/>
        </w:rPr>
        <w:footnoteReference w:id="81"/>
      </w:r>
      <w:r w:rsidRPr="00597FBE">
        <w:rPr>
          <w:rFonts w:eastAsia="Times New Roman"/>
          <w:sz w:val="20"/>
          <w:szCs w:val="20"/>
          <w:bdr w:val="none" w:sz="0" w:space="0" w:color="auto"/>
        </w:rPr>
        <w:t xml:space="preserve"> to avoid last minute filings that are frivolous and designed to delay execution. In this case, however, </w:t>
      </w:r>
      <w:r w:rsidR="00DC5826" w:rsidRPr="00597FBE">
        <w:rPr>
          <w:rFonts w:eastAsia="Times New Roman"/>
          <w:sz w:val="20"/>
          <w:szCs w:val="20"/>
          <w:bdr w:val="none" w:sz="0" w:space="0" w:color="auto"/>
        </w:rPr>
        <w:t>the incompetenc</w:t>
      </w:r>
      <w:r w:rsidR="00D418F5" w:rsidRPr="00597FBE">
        <w:rPr>
          <w:rFonts w:eastAsia="Times New Roman"/>
          <w:sz w:val="20"/>
          <w:szCs w:val="20"/>
          <w:bdr w:val="none" w:sz="0" w:space="0" w:color="auto"/>
        </w:rPr>
        <w:t>e</w:t>
      </w:r>
      <w:r w:rsidR="00DC5826" w:rsidRPr="00597FBE">
        <w:rPr>
          <w:rFonts w:eastAsia="Times New Roman"/>
          <w:sz w:val="20"/>
          <w:szCs w:val="20"/>
          <w:bdr w:val="none" w:sz="0" w:space="0" w:color="auto"/>
        </w:rPr>
        <w:t xml:space="preserve"> claim was based on medical records and several expert </w:t>
      </w:r>
      <w:r w:rsidR="00597FBE" w:rsidRPr="00597FBE">
        <w:rPr>
          <w:rFonts w:eastAsia="Times New Roman"/>
          <w:sz w:val="20"/>
          <w:szCs w:val="20"/>
          <w:bdr w:val="none" w:sz="0" w:space="0" w:color="auto"/>
        </w:rPr>
        <w:t>opinions, but the courts imposition of</w:t>
      </w:r>
      <w:r w:rsidR="00D418F5" w:rsidRPr="00597FBE">
        <w:rPr>
          <w:rFonts w:eastAsia="Times New Roman"/>
          <w:sz w:val="20"/>
          <w:szCs w:val="20"/>
          <w:bdr w:val="none" w:sz="0" w:space="0" w:color="auto"/>
        </w:rPr>
        <w:t xml:space="preserve"> a high standard </w:t>
      </w:r>
      <w:r w:rsidR="00597FBE" w:rsidRPr="00597FBE">
        <w:rPr>
          <w:rFonts w:eastAsia="Times New Roman"/>
          <w:sz w:val="20"/>
          <w:szCs w:val="20"/>
          <w:bdr w:val="none" w:sz="0" w:space="0" w:color="auto"/>
        </w:rPr>
        <w:t xml:space="preserve">to show incompetence did not allow </w:t>
      </w:r>
      <w:r w:rsidR="00D418F5" w:rsidRPr="00597FBE">
        <w:rPr>
          <w:rFonts w:eastAsia="Times New Roman"/>
          <w:sz w:val="20"/>
          <w:szCs w:val="20"/>
          <w:bdr w:val="none" w:sz="0" w:space="0" w:color="auto"/>
        </w:rPr>
        <w:t>counsel the opportunity to have a hearing</w:t>
      </w:r>
      <w:r w:rsidR="00EC22F7">
        <w:rPr>
          <w:rFonts w:eastAsia="Times New Roman"/>
          <w:sz w:val="20"/>
          <w:szCs w:val="20"/>
          <w:bdr w:val="none" w:sz="0" w:space="0" w:color="auto"/>
        </w:rPr>
        <w:t>. Therefore,</w:t>
      </w:r>
      <w:r w:rsidR="00F76854" w:rsidRPr="00597FBE">
        <w:rPr>
          <w:rFonts w:eastAsia="Times New Roman"/>
          <w:sz w:val="20"/>
          <w:szCs w:val="20"/>
          <w:bdr w:val="none" w:sz="0" w:space="0" w:color="auto"/>
        </w:rPr>
        <w:t xml:space="preserve"> substantial doubts remained as to Mr. Thompson’s competency to be executed</w:t>
      </w:r>
      <w:r w:rsidR="00D418F5" w:rsidRPr="00597FBE">
        <w:rPr>
          <w:rFonts w:eastAsia="Times New Roman"/>
          <w:sz w:val="20"/>
          <w:szCs w:val="20"/>
          <w:bdr w:val="none" w:sz="0" w:space="0" w:color="auto"/>
        </w:rPr>
        <w:t xml:space="preserve">. </w:t>
      </w:r>
      <w:r w:rsidR="00EC22F7">
        <w:rPr>
          <w:rFonts w:eastAsia="Times New Roman"/>
          <w:sz w:val="20"/>
          <w:szCs w:val="20"/>
          <w:bdr w:val="none" w:sz="0" w:space="0" w:color="auto"/>
        </w:rPr>
        <w:t>In order to guarantee access to an effective remedy, the threshold required to warrant a hearing cannot be as high as the one required to rule on the merits of the claim.</w:t>
      </w:r>
    </w:p>
    <w:p w14:paraId="6034FA32" w14:textId="77777777" w:rsidR="00D418F5" w:rsidRPr="00597FBE" w:rsidRDefault="00D418F5" w:rsidP="00D418F5">
      <w:pPr>
        <w:pStyle w:val="ListParagraph"/>
        <w:rPr>
          <w:rFonts w:asciiTheme="majorHAnsi" w:hAnsiTheme="majorHAnsi"/>
          <w:sz w:val="20"/>
          <w:szCs w:val="20"/>
        </w:rPr>
      </w:pPr>
    </w:p>
    <w:p w14:paraId="6B6F487F" w14:textId="77777777" w:rsidR="00C07DB9" w:rsidRPr="00597FBE" w:rsidRDefault="00D418F5" w:rsidP="00C07DB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ind w:left="0" w:firstLine="0"/>
        <w:jc w:val="both"/>
        <w:rPr>
          <w:rFonts w:eastAsia="Times New Roman"/>
          <w:sz w:val="20"/>
          <w:szCs w:val="20"/>
          <w:bdr w:val="none" w:sz="0" w:space="0" w:color="auto"/>
        </w:rPr>
      </w:pPr>
      <w:r w:rsidRPr="00597FBE">
        <w:rPr>
          <w:rFonts w:asciiTheme="majorHAnsi" w:hAnsiTheme="majorHAnsi"/>
          <w:sz w:val="20"/>
          <w:szCs w:val="20"/>
        </w:rPr>
        <w:t>Further, as indicated above, t</w:t>
      </w:r>
      <w:r w:rsidR="00C07DB9" w:rsidRPr="00597FBE">
        <w:rPr>
          <w:rFonts w:asciiTheme="majorHAnsi" w:hAnsiTheme="majorHAnsi"/>
          <w:sz w:val="20"/>
          <w:szCs w:val="20"/>
        </w:rPr>
        <w:t xml:space="preserve">he State </w:t>
      </w:r>
      <w:r w:rsidRPr="00597FBE">
        <w:rPr>
          <w:rFonts w:asciiTheme="majorHAnsi" w:hAnsiTheme="majorHAnsi"/>
          <w:sz w:val="20"/>
          <w:szCs w:val="20"/>
        </w:rPr>
        <w:t>has the duty to</w:t>
      </w:r>
      <w:r w:rsidR="00C07DB9" w:rsidRPr="00597FBE">
        <w:rPr>
          <w:rFonts w:asciiTheme="majorHAnsi" w:hAnsiTheme="majorHAnsi"/>
          <w:sz w:val="20"/>
          <w:szCs w:val="20"/>
        </w:rPr>
        <w:t xml:space="preserve"> provide </w:t>
      </w:r>
      <w:r w:rsidRPr="00597FBE">
        <w:rPr>
          <w:rFonts w:asciiTheme="majorHAnsi" w:hAnsiTheme="majorHAnsi"/>
          <w:sz w:val="20"/>
          <w:szCs w:val="20"/>
        </w:rPr>
        <w:t>wit</w:t>
      </w:r>
      <w:r w:rsidR="00C07DB9" w:rsidRPr="00597FBE">
        <w:rPr>
          <w:rFonts w:asciiTheme="majorHAnsi" w:hAnsiTheme="majorHAnsi"/>
          <w:sz w:val="20"/>
          <w:szCs w:val="20"/>
        </w:rPr>
        <w:t xml:space="preserve">h the means necessary to have an independent </w:t>
      </w:r>
      <w:r w:rsidRPr="00597FBE">
        <w:rPr>
          <w:rFonts w:asciiTheme="majorHAnsi" w:hAnsiTheme="majorHAnsi"/>
          <w:sz w:val="20"/>
          <w:szCs w:val="20"/>
        </w:rPr>
        <w:t xml:space="preserve">mental health </w:t>
      </w:r>
      <w:r w:rsidR="00C07DB9" w:rsidRPr="00597FBE">
        <w:rPr>
          <w:rFonts w:asciiTheme="majorHAnsi" w:hAnsiTheme="majorHAnsi"/>
          <w:sz w:val="20"/>
          <w:szCs w:val="20"/>
        </w:rPr>
        <w:t>evaluation done in a timely manner</w:t>
      </w:r>
      <w:r w:rsidRPr="00597FBE">
        <w:rPr>
          <w:rFonts w:asciiTheme="majorHAnsi" w:hAnsiTheme="majorHAnsi"/>
          <w:sz w:val="20"/>
          <w:szCs w:val="20"/>
        </w:rPr>
        <w:t xml:space="preserve">. In this case, </w:t>
      </w:r>
      <w:r w:rsidR="00F76854" w:rsidRPr="00597FBE">
        <w:rPr>
          <w:rFonts w:asciiTheme="majorHAnsi" w:hAnsiTheme="majorHAnsi"/>
          <w:sz w:val="20"/>
          <w:szCs w:val="20"/>
        </w:rPr>
        <w:t xml:space="preserve">however, </w:t>
      </w:r>
      <w:r w:rsidRPr="00597FBE">
        <w:rPr>
          <w:rFonts w:asciiTheme="majorHAnsi" w:hAnsiTheme="majorHAnsi"/>
          <w:sz w:val="20"/>
          <w:szCs w:val="20"/>
        </w:rPr>
        <w:t xml:space="preserve">the information shows that </w:t>
      </w:r>
      <w:r w:rsidR="00F76854" w:rsidRPr="00597FBE">
        <w:rPr>
          <w:rFonts w:asciiTheme="majorHAnsi" w:hAnsiTheme="majorHAnsi"/>
          <w:sz w:val="20"/>
          <w:szCs w:val="20"/>
        </w:rPr>
        <w:t xml:space="preserve">the post-conviction court denied a request for funds to hire an expert even though a licensed psychologist stated the need of a full psychological evaluation. </w:t>
      </w:r>
    </w:p>
    <w:p w14:paraId="273D2567" w14:textId="77777777" w:rsidR="001D19F8" w:rsidRPr="00597FBE" w:rsidRDefault="001D19F8" w:rsidP="001D19F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FD09E3B" w14:textId="77777777" w:rsidR="00710E0F" w:rsidRPr="00597FBE" w:rsidRDefault="00710E0F" w:rsidP="0066775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 w:val="left" w:pos="1440"/>
        </w:tabs>
        <w:ind w:left="0" w:firstLine="0"/>
        <w:jc w:val="both"/>
        <w:rPr>
          <w:rFonts w:asciiTheme="majorHAnsi" w:hAnsiTheme="majorHAnsi"/>
          <w:sz w:val="20"/>
          <w:szCs w:val="20"/>
        </w:rPr>
      </w:pPr>
      <w:r w:rsidRPr="00597FBE">
        <w:rPr>
          <w:rFonts w:asciiTheme="majorHAnsi" w:hAnsiTheme="majorHAnsi"/>
          <w:sz w:val="20"/>
          <w:szCs w:val="20"/>
        </w:rPr>
        <w:t xml:space="preserve">Based on the above considerations, </w:t>
      </w:r>
      <w:r w:rsidR="00F62164" w:rsidRPr="00597FBE">
        <w:rPr>
          <w:rFonts w:eastAsia="Times New Roman"/>
          <w:bCs/>
          <w:sz w:val="20"/>
          <w:szCs w:val="20"/>
          <w:bdr w:val="none" w:sz="0" w:space="0" w:color="auto"/>
        </w:rPr>
        <w:t xml:space="preserve">the available information, </w:t>
      </w:r>
      <w:r w:rsidR="00F62164" w:rsidRPr="00597FBE">
        <w:rPr>
          <w:rFonts w:eastAsia="Times New Roman"/>
          <w:sz w:val="20"/>
          <w:szCs w:val="20"/>
          <w:bdr w:val="none" w:sz="0" w:space="0" w:color="auto"/>
        </w:rPr>
        <w:t>and given the heightened degree of scrutiny that it has applied in death penalty cases,</w:t>
      </w:r>
      <w:r w:rsidR="00F62164" w:rsidRPr="00597FBE">
        <w:rPr>
          <w:rFonts w:eastAsia="Times New Roman"/>
          <w:bCs/>
          <w:sz w:val="20"/>
          <w:szCs w:val="20"/>
          <w:bdr w:val="none" w:sz="0" w:space="0" w:color="auto"/>
        </w:rPr>
        <w:t xml:space="preserve"> the IACHR concludes that the United States </w:t>
      </w:r>
      <w:r w:rsidR="00F62164" w:rsidRPr="00597FBE">
        <w:rPr>
          <w:rFonts w:eastAsia="Times New Roman"/>
          <w:sz w:val="20"/>
          <w:szCs w:val="20"/>
          <w:bdr w:val="none" w:sz="0" w:space="0" w:color="auto"/>
        </w:rPr>
        <w:t xml:space="preserve">violated Articles I and XXVI of the American Declaration to the detriment of Mr. </w:t>
      </w:r>
      <w:r w:rsidR="00F62164" w:rsidRPr="00597FBE">
        <w:rPr>
          <w:rFonts w:eastAsia="Times New Roman"/>
          <w:bCs/>
          <w:sz w:val="20"/>
          <w:szCs w:val="20"/>
          <w:bdr w:val="none" w:sz="0" w:space="0" w:color="auto"/>
        </w:rPr>
        <w:t>Thompson.</w:t>
      </w:r>
    </w:p>
    <w:p w14:paraId="31533804" w14:textId="77777777" w:rsidR="00E76AE8" w:rsidRPr="00597FBE"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6098D196" w14:textId="77777777" w:rsidR="00E76AE8" w:rsidRPr="00597FBE" w:rsidRDefault="00E76AE8" w:rsidP="00501A7C">
      <w:pPr>
        <w:pStyle w:val="Heading2"/>
        <w:numPr>
          <w:ilvl w:val="0"/>
          <w:numId w:val="64"/>
        </w:numPr>
        <w:spacing w:before="0"/>
        <w:ind w:left="360"/>
        <w:jc w:val="both"/>
        <w:rPr>
          <w:color w:val="auto"/>
          <w:sz w:val="20"/>
          <w:szCs w:val="20"/>
        </w:rPr>
      </w:pPr>
      <w:bookmarkStart w:id="27" w:name="_Toc90300527"/>
      <w:r w:rsidRPr="00597FBE">
        <w:rPr>
          <w:color w:val="auto"/>
          <w:sz w:val="20"/>
          <w:szCs w:val="20"/>
        </w:rPr>
        <w:lastRenderedPageBreak/>
        <w:t>The deprivation of liberty on death row and the right of protection against cruel, infamous or unusual punishment</w:t>
      </w:r>
      <w:r w:rsidRPr="00597FBE">
        <w:rPr>
          <w:rStyle w:val="FootnoteReference"/>
          <w:rFonts w:eastAsia="Arial Unicode MS"/>
          <w:bCs w:val="0"/>
          <w:color w:val="auto"/>
          <w:sz w:val="20"/>
          <w:szCs w:val="20"/>
        </w:rPr>
        <w:footnoteReference w:id="82"/>
      </w:r>
      <w:bookmarkEnd w:id="27"/>
    </w:p>
    <w:p w14:paraId="61AD430E" w14:textId="77777777" w:rsidR="00A04BB7" w:rsidRDefault="00A04BB7" w:rsidP="004B2F7D">
      <w:pPr>
        <w:rPr>
          <w:rFonts w:asciiTheme="majorHAnsi" w:hAnsiTheme="majorHAnsi"/>
          <w:sz w:val="20"/>
          <w:szCs w:val="20"/>
        </w:rPr>
      </w:pPr>
    </w:p>
    <w:p w14:paraId="4EF24893" w14:textId="77777777" w:rsidR="009F4AA8" w:rsidRPr="00A04BB7" w:rsidRDefault="009F4AA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A04BB7">
        <w:rPr>
          <w:rFonts w:ascii="Cambria" w:hAnsi="Cambria" w:cs="Arial"/>
          <w:sz w:val="20"/>
          <w:szCs w:val="20"/>
        </w:rPr>
        <w:t xml:space="preserve">It is noted that Mr. </w:t>
      </w:r>
      <w:r w:rsidR="00AA40F4">
        <w:rPr>
          <w:rFonts w:ascii="Cambria" w:hAnsi="Cambria" w:cs="Arial"/>
          <w:sz w:val="20"/>
          <w:szCs w:val="20"/>
        </w:rPr>
        <w:t xml:space="preserve">Thompson </w:t>
      </w:r>
      <w:r w:rsidRPr="00A04BB7">
        <w:rPr>
          <w:rFonts w:ascii="Cambria" w:hAnsi="Cambria" w:cs="Arial"/>
          <w:sz w:val="20"/>
          <w:szCs w:val="20"/>
        </w:rPr>
        <w:t xml:space="preserve">was sentenced to death on </w:t>
      </w:r>
      <w:r w:rsidR="00AA40F4">
        <w:rPr>
          <w:rFonts w:ascii="Cambria" w:hAnsi="Cambria" w:cs="Arial"/>
          <w:sz w:val="20"/>
          <w:szCs w:val="20"/>
        </w:rPr>
        <w:t>August 22, 1985</w:t>
      </w:r>
      <w:r w:rsidR="008B1477">
        <w:rPr>
          <w:rFonts w:ascii="Cambria" w:hAnsi="Cambria" w:cs="Arial"/>
          <w:sz w:val="20"/>
          <w:szCs w:val="20"/>
        </w:rPr>
        <w:t>,</w:t>
      </w:r>
      <w:r w:rsidR="00AA40F4">
        <w:rPr>
          <w:rFonts w:ascii="Cambria" w:hAnsi="Cambria" w:cs="Arial"/>
          <w:sz w:val="20"/>
          <w:szCs w:val="20"/>
        </w:rPr>
        <w:t xml:space="preserve"> and</w:t>
      </w:r>
      <w:r w:rsidRPr="00A04BB7">
        <w:rPr>
          <w:rFonts w:ascii="Cambria" w:hAnsi="Cambria" w:cs="Arial"/>
          <w:sz w:val="20"/>
          <w:szCs w:val="20"/>
        </w:rPr>
        <w:t xml:space="preserve"> thereafter </w:t>
      </w:r>
      <w:r w:rsidR="00AA40F4">
        <w:rPr>
          <w:rFonts w:ascii="Cambria" w:hAnsi="Cambria" w:cs="Arial"/>
          <w:sz w:val="20"/>
          <w:szCs w:val="20"/>
        </w:rPr>
        <w:t>died</w:t>
      </w:r>
      <w:r w:rsidRPr="00A04BB7">
        <w:rPr>
          <w:rFonts w:ascii="Cambria" w:hAnsi="Cambria" w:cs="Arial"/>
          <w:sz w:val="20"/>
          <w:szCs w:val="20"/>
        </w:rPr>
        <w:t xml:space="preserve"> on </w:t>
      </w:r>
      <w:r w:rsidR="007A5265">
        <w:rPr>
          <w:rFonts w:asciiTheme="majorHAnsi" w:eastAsia="Times New Roman" w:hAnsiTheme="majorHAnsi"/>
          <w:sz w:val="20"/>
          <w:szCs w:val="20"/>
          <w:lang w:val="en-GB"/>
        </w:rPr>
        <w:t>November 27, 2014</w:t>
      </w:r>
      <w:r w:rsidRPr="00A04BB7">
        <w:rPr>
          <w:rFonts w:ascii="Cambria" w:hAnsi="Cambria" w:cs="Arial"/>
          <w:sz w:val="20"/>
          <w:szCs w:val="20"/>
        </w:rPr>
        <w:t xml:space="preserve">. </w:t>
      </w:r>
      <w:r w:rsidR="00AA40F4">
        <w:rPr>
          <w:rFonts w:ascii="Cambria" w:hAnsi="Cambria" w:cs="Arial"/>
          <w:sz w:val="20"/>
          <w:szCs w:val="20"/>
        </w:rPr>
        <w:t>Mr. Thompson</w:t>
      </w:r>
      <w:r w:rsidRPr="00A04BB7">
        <w:rPr>
          <w:rFonts w:ascii="Cambria" w:hAnsi="Cambria" w:cs="Arial"/>
          <w:sz w:val="20"/>
          <w:szCs w:val="20"/>
        </w:rPr>
        <w:t xml:space="preserve"> was t</w:t>
      </w:r>
      <w:r w:rsidR="00AA40F4">
        <w:rPr>
          <w:rFonts w:ascii="Cambria" w:hAnsi="Cambria" w:cs="Arial"/>
          <w:sz w:val="20"/>
          <w:szCs w:val="20"/>
        </w:rPr>
        <w:t xml:space="preserve">herefore on death row for </w:t>
      </w:r>
      <w:r w:rsidR="00D52B42">
        <w:rPr>
          <w:rFonts w:ascii="Cambria" w:hAnsi="Cambria" w:cs="Arial"/>
          <w:sz w:val="20"/>
          <w:szCs w:val="20"/>
        </w:rPr>
        <w:t>29</w:t>
      </w:r>
      <w:r w:rsidRPr="00A04BB7">
        <w:rPr>
          <w:rFonts w:ascii="Cambria" w:hAnsi="Cambria" w:cs="Arial"/>
          <w:sz w:val="20"/>
          <w:szCs w:val="20"/>
        </w:rPr>
        <w:t xml:space="preserve"> years. The long term of his deprivation of liberty on death row is referred to within both International human rights and comparative law as the “death row phenomenon”, and infringes on a person’s freedom from cruel, inhuman or degrading punishment. Such treatment violates the prohibition of cruel, inhuman or degrading punishment in Constitutions and in multiple international treaties, including the American Declaration (Articles XXV and XXVI).</w:t>
      </w:r>
      <w:r w:rsidRPr="00A04BB7">
        <w:rPr>
          <w:rStyle w:val="FootnoteReference"/>
          <w:rFonts w:ascii="Cambria" w:hAnsi="Cambria"/>
          <w:sz w:val="20"/>
          <w:szCs w:val="20"/>
        </w:rPr>
        <w:footnoteReference w:id="83"/>
      </w:r>
    </w:p>
    <w:p w14:paraId="3FD71D19" w14:textId="77777777" w:rsidR="00AF6831" w:rsidRDefault="00AF6831" w:rsidP="00E76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3A841EED" w14:textId="77777777" w:rsidR="00E76AE8" w:rsidRPr="003D3CD4"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3D3CD4">
        <w:rPr>
          <w:rFonts w:ascii="Cambria" w:hAnsi="Cambria" w:cs="Arial"/>
          <w:sz w:val="20"/>
          <w:szCs w:val="20"/>
        </w:rPr>
        <w:t>T</w:t>
      </w:r>
      <w:r w:rsidRPr="003D3CD4">
        <w:rPr>
          <w:rFonts w:ascii="Cambria" w:hAnsi="Cambria"/>
          <w:sz w:val="20"/>
        </w:rPr>
        <w:t xml:space="preserve">he Commission takes note  of the concept of the </w:t>
      </w:r>
      <w:r w:rsidRPr="003D3CD4">
        <w:rPr>
          <w:rFonts w:ascii="Cambria" w:hAnsi="Cambria"/>
          <w:i/>
          <w:sz w:val="20"/>
        </w:rPr>
        <w:t>death row phenomenon</w:t>
      </w:r>
      <w:r w:rsidRPr="003D3CD4">
        <w:rPr>
          <w:rFonts w:ascii="Cambria" w:hAnsi="Cambria"/>
          <w:sz w:val="20"/>
        </w:rPr>
        <w:t xml:space="preserve"> of the United Nations Special Rapporteur on torture and other cruel, inhuman or degrading treatment or punishment that: </w:t>
      </w:r>
    </w:p>
    <w:p w14:paraId="79A33193" w14:textId="77777777" w:rsidR="00E76AE8" w:rsidRPr="0097237F" w:rsidRDefault="00E76AE8" w:rsidP="00E76AE8">
      <w:pPr>
        <w:pStyle w:val="ListParagraph"/>
        <w:rPr>
          <w:sz w:val="20"/>
          <w:szCs w:val="20"/>
        </w:rPr>
      </w:pPr>
    </w:p>
    <w:p w14:paraId="04B1DF8C" w14:textId="77777777" w:rsidR="00E76AE8" w:rsidRPr="00AE6157" w:rsidRDefault="00E76AE8" w:rsidP="00AE61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360" w:right="360"/>
        <w:jc w:val="both"/>
        <w:rPr>
          <w:rFonts w:ascii="Cambria" w:hAnsi="Cambria"/>
          <w:sz w:val="18"/>
          <w:szCs w:val="18"/>
        </w:rPr>
      </w:pPr>
      <w:r w:rsidRPr="00AE6157">
        <w:rPr>
          <w:rFonts w:ascii="Cambria" w:hAnsi="Cambria"/>
          <w:sz w:val="18"/>
          <w:szCs w:val="18"/>
        </w:rPr>
        <w:t>(…) it consists of a combination of circumstances that produce severe mental trauma and physical deterioration in prisoners under sentence of death.</w:t>
      </w:r>
      <w:r w:rsidRPr="00AE6157">
        <w:rPr>
          <w:rFonts w:ascii="Cambria" w:hAnsi="Cambria"/>
          <w:sz w:val="18"/>
          <w:szCs w:val="18"/>
          <w:vertAlign w:val="superscript"/>
        </w:rPr>
        <w:footnoteReference w:id="84"/>
      </w:r>
      <w:r w:rsidRPr="00AE6157">
        <w:rPr>
          <w:rFonts w:ascii="Cambria" w:hAnsi="Cambria"/>
          <w:sz w:val="18"/>
          <w:szCs w:val="18"/>
        </w:rPr>
        <w:t xml:space="preserve">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denied many basic human necessities.</w:t>
      </w:r>
      <w:r w:rsidRPr="00AE6157">
        <w:rPr>
          <w:rFonts w:ascii="Cambria" w:hAnsi="Cambria"/>
          <w:sz w:val="18"/>
          <w:szCs w:val="18"/>
          <w:vertAlign w:val="superscript"/>
        </w:rPr>
        <w:footnoteReference w:id="85"/>
      </w:r>
    </w:p>
    <w:p w14:paraId="36D9BD2D" w14:textId="77777777" w:rsidR="00E76AE8"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right="720"/>
        <w:jc w:val="both"/>
        <w:rPr>
          <w:rFonts w:ascii="Cambria" w:hAnsi="Cambria"/>
          <w:bCs/>
          <w:sz w:val="20"/>
          <w:szCs w:val="20"/>
        </w:rPr>
      </w:pPr>
    </w:p>
    <w:p w14:paraId="5A3B2D7B" w14:textId="77777777" w:rsidR="00E76AE8" w:rsidRPr="003D3CD4"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270"/>
          <w:tab w:val="left" w:pos="720"/>
          <w:tab w:val="left" w:pos="1440"/>
        </w:tabs>
        <w:ind w:left="0" w:firstLine="0"/>
        <w:jc w:val="both"/>
        <w:rPr>
          <w:rStyle w:val="sb8d990e2"/>
        </w:rPr>
      </w:pPr>
      <w:r w:rsidRPr="003D3CD4">
        <w:rPr>
          <w:rFonts w:ascii="Cambria" w:hAnsi="Cambria"/>
          <w:sz w:val="20"/>
        </w:rPr>
        <w:t xml:space="preserve">In the case of </w:t>
      </w:r>
      <w:r w:rsidRPr="003D3CD4">
        <w:rPr>
          <w:rFonts w:ascii="Cambria" w:hAnsi="Cambria"/>
          <w:i/>
          <w:sz w:val="20"/>
        </w:rPr>
        <w:t xml:space="preserve">Soering vs.  The United Kingdom, </w:t>
      </w:r>
      <w:r w:rsidRPr="003D3CD4">
        <w:rPr>
          <w:rFonts w:ascii="Cambria" w:hAnsi="Cambria"/>
          <w:sz w:val="20"/>
        </w:rPr>
        <w:t xml:space="preserve">the European Court of Human Rights, in its interpretation of the norm banning cruel, inhuman, and unusual punishment and in reference to </w:t>
      </w:r>
      <w:r w:rsidRPr="003D3CD4">
        <w:rPr>
          <w:rStyle w:val="sb8d990e2"/>
          <w:rFonts w:ascii="Cambria" w:hAnsi="Cambria"/>
          <w:sz w:val="20"/>
        </w:rPr>
        <w:t xml:space="preserve">the death penalty, pointed out that: </w:t>
      </w:r>
    </w:p>
    <w:p w14:paraId="2B4CA220" w14:textId="77777777" w:rsidR="00E76AE8" w:rsidRPr="00505B8A"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Style w:val="sb8d990e2"/>
        </w:rPr>
      </w:pPr>
    </w:p>
    <w:p w14:paraId="35F46251" w14:textId="77777777" w:rsidR="00E76AE8" w:rsidRPr="00AE6157" w:rsidRDefault="00E76AE8" w:rsidP="00AE6157">
      <w:pPr>
        <w:pStyle w:val="ListParagraph"/>
        <w:ind w:left="360" w:right="360"/>
        <w:jc w:val="both"/>
        <w:rPr>
          <w:rStyle w:val="sb8d990e2"/>
          <w:rFonts w:ascii="Times New Roman" w:eastAsia="Arial Unicode MS" w:hAnsi="Times New Roman" w:cs="Times New Roman"/>
          <w:color w:val="auto"/>
          <w:lang w:eastAsia="en-US"/>
        </w:rPr>
      </w:pPr>
      <w:r w:rsidRPr="00AE6157">
        <w:rPr>
          <w:rStyle w:val="sb8d990e2"/>
          <w:sz w:val="18"/>
          <w:szCs w:val="18"/>
        </w:rPr>
        <w:t>The manner in which it is imposed or executed, the personal circumstances of the condemned person and a disproportionality to the gravity of the crime committed, as well as the conditions of detention awaiting execution, are examples of factors capable of bringing the treatment or punishment received by the condemned person within the proscription under Article 3.</w:t>
      </w:r>
      <w:r w:rsidRPr="00AE6157">
        <w:rPr>
          <w:rStyle w:val="FootnoteReference"/>
          <w:sz w:val="18"/>
          <w:szCs w:val="18"/>
        </w:rPr>
        <w:t xml:space="preserve"> </w:t>
      </w:r>
      <w:r w:rsidRPr="00AE6157">
        <w:rPr>
          <w:rStyle w:val="FootnoteReference"/>
          <w:sz w:val="18"/>
          <w:szCs w:val="18"/>
        </w:rPr>
        <w:footnoteReference w:id="86"/>
      </w:r>
      <w:r w:rsidRPr="00AE6157">
        <w:rPr>
          <w:rStyle w:val="sb8d990e2"/>
          <w:sz w:val="18"/>
          <w:szCs w:val="18"/>
        </w:rPr>
        <w:t xml:space="preserve"> </w:t>
      </w:r>
    </w:p>
    <w:p w14:paraId="7B6C9C35" w14:textId="77777777" w:rsidR="00E76AE8"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jc w:val="both"/>
        <w:rPr>
          <w:rStyle w:val="sb8d990e2"/>
          <w:rFonts w:ascii="Cambria" w:eastAsia="Cambria" w:hAnsi="Cambria" w:cs="Cambria"/>
          <w:color w:val="000000"/>
          <w:u w:color="000000"/>
          <w:lang w:eastAsia="es-ES"/>
        </w:rPr>
      </w:pPr>
    </w:p>
    <w:p w14:paraId="10B194D8" w14:textId="77777777" w:rsidR="00E76AE8" w:rsidRPr="003D3CD4"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3D3CD4">
        <w:rPr>
          <w:rFonts w:ascii="Cambria" w:eastAsia="Cambria" w:hAnsi="Cambria" w:cs="Cambria"/>
          <w:bCs/>
          <w:sz w:val="20"/>
          <w:szCs w:val="20"/>
        </w:rPr>
        <w:t>The European Court found that  the  "death  row  phenomenon"  is  a  cruel,  inhuman  and  degrading  treatment, and is characterized by a prolonged period of detention while  awaiting execution, during which prisoners sentenced to death suffer  severe  mental  anxiety,  extreme psychological tension and trauma.</w:t>
      </w:r>
      <w:r w:rsidRPr="0097237F">
        <w:rPr>
          <w:rStyle w:val="FootnoteReference"/>
          <w:rFonts w:ascii="Cambria" w:eastAsia="Cambria" w:hAnsi="Cambria" w:cs="Cambria"/>
          <w:bCs/>
          <w:sz w:val="20"/>
          <w:szCs w:val="20"/>
        </w:rPr>
        <w:footnoteReference w:id="87"/>
      </w:r>
    </w:p>
    <w:p w14:paraId="07A7D20D" w14:textId="77777777" w:rsidR="00E76AE8"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4C31FD4F" w14:textId="77777777" w:rsidR="00E76AE8"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3D3CD4">
        <w:rPr>
          <w:rStyle w:val="sb8d990e2"/>
          <w:rFonts w:ascii="Cambria" w:hAnsi="Cambria"/>
          <w:sz w:val="20"/>
        </w:rPr>
        <w:t xml:space="preserve">The European Court was referring to an average of six to eight years on death row from imposition of the penalty </w:t>
      </w:r>
      <w:r w:rsidRPr="003D3CD4">
        <w:rPr>
          <w:rFonts w:ascii="Cambria" w:hAnsi="Cambria"/>
          <w:sz w:val="20"/>
        </w:rPr>
        <w:t>to</w:t>
      </w:r>
      <w:r w:rsidRPr="003D3CD4">
        <w:rPr>
          <w:rStyle w:val="sb8d990e2"/>
          <w:rFonts w:ascii="Cambria" w:hAnsi="Cambria"/>
          <w:sz w:val="20"/>
        </w:rPr>
        <w:t xml:space="preserve"> execution and it mentioned how proceedings and appeals subsequent to the imposition of the death penalty themselves have a bearing on the aforementioned wait time on death row. The court referenced the lapse of time </w:t>
      </w:r>
      <w:r w:rsidRPr="003D3CD4">
        <w:rPr>
          <w:rFonts w:ascii="Cambria" w:hAnsi="Cambria"/>
          <w:sz w:val="20"/>
        </w:rPr>
        <w:t>between sentence and execution is inevitable however, the consequence is that the condemned prisoner has to endure for many years the conditions on death row and the anguish and mounting tension of living in the ever-present shadow of death.</w:t>
      </w:r>
      <w:r w:rsidRPr="003D3CD4">
        <w:rPr>
          <w:rFonts w:ascii="Cambria" w:hAnsi="Cambria"/>
          <w:sz w:val="20"/>
          <w:vertAlign w:val="superscript"/>
        </w:rPr>
        <w:t xml:space="preserve"> </w:t>
      </w:r>
      <w:r w:rsidRPr="0097237F">
        <w:rPr>
          <w:rFonts w:asciiTheme="majorHAnsi" w:hAnsiTheme="majorHAnsi"/>
          <w:sz w:val="20"/>
          <w:szCs w:val="16"/>
          <w:vertAlign w:val="superscript"/>
        </w:rPr>
        <w:footnoteReference w:id="88"/>
      </w:r>
    </w:p>
    <w:p w14:paraId="34CFAF91" w14:textId="77777777" w:rsidR="00E76AE8" w:rsidRDefault="00E76AE8" w:rsidP="00E76AE8">
      <w:pPr>
        <w:pStyle w:val="ListParagraph"/>
        <w:rPr>
          <w:sz w:val="20"/>
        </w:rPr>
      </w:pPr>
    </w:p>
    <w:p w14:paraId="1E8F2EC9" w14:textId="77777777" w:rsidR="00E76AE8"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3D3CD4">
        <w:rPr>
          <w:rFonts w:ascii="Cambria" w:hAnsi="Cambria"/>
          <w:sz w:val="20"/>
        </w:rPr>
        <w:t xml:space="preserve">The court further recognized that some element of delay between imposition and execution of the sentence and the experience of severe stress in conditions necessary for strict incarceration are inevitable and </w:t>
      </w:r>
      <w:r w:rsidRPr="003D3CD4">
        <w:rPr>
          <w:rFonts w:ascii="Cambria" w:hAnsi="Cambria"/>
          <w:sz w:val="20"/>
        </w:rPr>
        <w:lastRenderedPageBreak/>
        <w:t>considered elements like, the very long period of time spent on death row in such extreme conditions, with the ever present and mounting anguish of awaiting execution of the death penalty, which brought the delay into the realm of exposed real risk of treatment going beyond the threshold set by Article 3.</w:t>
      </w:r>
      <w:r w:rsidRPr="0097237F">
        <w:rPr>
          <w:rFonts w:ascii="Cambria" w:hAnsi="Cambria"/>
          <w:sz w:val="20"/>
          <w:vertAlign w:val="superscript"/>
        </w:rPr>
        <w:footnoteReference w:id="89"/>
      </w:r>
    </w:p>
    <w:p w14:paraId="76029814" w14:textId="77777777" w:rsidR="00E76AE8" w:rsidRDefault="00E76AE8" w:rsidP="00E76AE8">
      <w:pPr>
        <w:pStyle w:val="ListParagraph"/>
        <w:rPr>
          <w:sz w:val="20"/>
        </w:rPr>
      </w:pPr>
    </w:p>
    <w:p w14:paraId="5C9126E8" w14:textId="77777777" w:rsidR="00E76AE8" w:rsidRPr="003D3CD4"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3D3CD4">
        <w:rPr>
          <w:rFonts w:ascii="Cambria" w:hAnsi="Cambria"/>
          <w:sz w:val="20"/>
        </w:rPr>
        <w:t xml:space="preserve">Furthermore, in a comparative law context, the Commission notes that the Privy Council of the British House of Lords considered in 1993 on the issue of the </w:t>
      </w:r>
      <w:r w:rsidRPr="003D3CD4">
        <w:rPr>
          <w:rFonts w:ascii="Cambria" w:hAnsi="Cambria"/>
          <w:i/>
          <w:sz w:val="20"/>
        </w:rPr>
        <w:t xml:space="preserve">death row phenomenon </w:t>
      </w:r>
      <w:r w:rsidRPr="003D3CD4">
        <w:rPr>
          <w:rFonts w:ascii="Cambria" w:hAnsi="Cambria"/>
          <w:sz w:val="20"/>
        </w:rPr>
        <w:t xml:space="preserve">in the </w:t>
      </w:r>
      <w:r w:rsidRPr="003D3CD4">
        <w:rPr>
          <w:rFonts w:ascii="Cambria" w:hAnsi="Cambria"/>
          <w:i/>
          <w:sz w:val="20"/>
        </w:rPr>
        <w:t>Pratt and Morgan v. Jamaica</w:t>
      </w:r>
      <w:r w:rsidRPr="003D3CD4">
        <w:rPr>
          <w:rFonts w:ascii="Cambria" w:hAnsi="Cambria"/>
          <w:sz w:val="20"/>
        </w:rPr>
        <w:t xml:space="preserve"> case, that:</w:t>
      </w:r>
    </w:p>
    <w:p w14:paraId="478E84FF" w14:textId="77777777" w:rsidR="00E76AE8" w:rsidRPr="0097237F"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rPr>
      </w:pPr>
    </w:p>
    <w:p w14:paraId="419107FF" w14:textId="77777777" w:rsidR="00E76AE8" w:rsidRPr="00AE6157" w:rsidRDefault="00E76AE8" w:rsidP="00AE61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cs="Tahoma"/>
          <w:sz w:val="18"/>
          <w:szCs w:val="18"/>
          <w:bdr w:val="none" w:sz="0" w:space="0" w:color="auto"/>
        </w:rPr>
      </w:pPr>
      <w:r w:rsidRPr="00AE6157">
        <w:rPr>
          <w:rFonts w:ascii="Cambria" w:eastAsia="Calibri" w:hAnsi="Cambria"/>
          <w:sz w:val="18"/>
          <w:szCs w:val="18"/>
          <w:bdr w:val="none" w:sz="0" w:space="0" w:color="auto"/>
        </w:rPr>
        <w:t>In their Lordships' view a State that wishes to retain capital punishment must accept the responsibility of ensuring that execution follows as swiftly as practicable after sentence, allowing a reasonable time for appeal and consideration of reprieve. It is part of the human condition that a condemned man will take every opportunity to save his life through use of the appellate procedure. If the appellate procedure enables the prisoner to prolong the appellate hearings over a period of years, the fault is to be attributed to the appellate system that permits such delay and not to the prisoner who takes advantage of it. Appellate procedures that echo down the years are not compatible with capital punishment. The death row phenomenon must not become established as a part of our jurisprudence.</w:t>
      </w:r>
    </w:p>
    <w:p w14:paraId="73ECA7E9" w14:textId="77777777" w:rsidR="00E76AE8" w:rsidRDefault="00E76AE8" w:rsidP="00AE615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Cambria" w:eastAsia="Calibri" w:hAnsi="Cambria"/>
          <w:sz w:val="18"/>
          <w:szCs w:val="18"/>
          <w:bdr w:val="none" w:sz="0" w:space="0" w:color="auto"/>
        </w:rPr>
      </w:pPr>
      <w:r w:rsidRPr="00AE6157">
        <w:rPr>
          <w:rFonts w:ascii="Cambria" w:eastAsia="Calibri" w:hAnsi="Cambria"/>
          <w:sz w:val="18"/>
          <w:szCs w:val="18"/>
          <w:bdr w:val="none" w:sz="0" w:space="0" w:color="auto"/>
        </w:rPr>
        <w:t>(…)</w:t>
      </w:r>
    </w:p>
    <w:p w14:paraId="58F29386" w14:textId="77777777" w:rsidR="00E76AE8" w:rsidRPr="00AE6157" w:rsidRDefault="00E76AE8" w:rsidP="00AE6157">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rPr>
      </w:pPr>
      <w:r w:rsidRPr="00AE6157">
        <w:rPr>
          <w:rFonts w:ascii="Cambria" w:eastAsia="Calibri" w:hAnsi="Cambria"/>
          <w:sz w:val="18"/>
          <w:szCs w:val="18"/>
          <w:bdr w:val="none" w:sz="0" w:space="0" w:color="auto"/>
        </w:rPr>
        <w:t>These considerations lead their Lordships to the conclusion that in any case in which execution is to take place more than five years after sentence there will be strong grounds for believing that the delay is such as to constitute "inhuman or degrading punishment or other treatment</w:t>
      </w:r>
      <w:r w:rsidR="00AE6157">
        <w:rPr>
          <w:rFonts w:ascii="Cambria" w:eastAsia="Calibri" w:hAnsi="Cambria"/>
          <w:sz w:val="18"/>
          <w:szCs w:val="18"/>
          <w:bdr w:val="none" w:sz="0" w:space="0" w:color="auto"/>
        </w:rPr>
        <w:t>.</w:t>
      </w:r>
      <w:r w:rsidRPr="00AE6157">
        <w:rPr>
          <w:rFonts w:ascii="Cambria" w:eastAsia="Calibri" w:hAnsi="Cambria"/>
          <w:sz w:val="18"/>
          <w:szCs w:val="18"/>
          <w:bdr w:val="none" w:sz="0" w:space="0" w:color="auto"/>
        </w:rPr>
        <w:t>"</w:t>
      </w:r>
      <w:r w:rsidRPr="00AE6157">
        <w:rPr>
          <w:rFonts w:ascii="Cambria" w:eastAsia="Calibri" w:hAnsi="Cambria"/>
          <w:sz w:val="18"/>
          <w:szCs w:val="18"/>
          <w:bdr w:val="none" w:sz="0" w:space="0" w:color="auto"/>
          <w:vertAlign w:val="superscript"/>
        </w:rPr>
        <w:footnoteReference w:id="90"/>
      </w:r>
    </w:p>
    <w:p w14:paraId="6D125B83" w14:textId="77777777" w:rsidR="00E76AE8" w:rsidRPr="0097237F"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Cambria" w:eastAsia="Calibri" w:hAnsi="Cambria"/>
          <w:sz w:val="20"/>
          <w:szCs w:val="22"/>
          <w:bdr w:val="none" w:sz="0" w:space="0" w:color="auto"/>
        </w:rPr>
      </w:pPr>
    </w:p>
    <w:p w14:paraId="744D96A4" w14:textId="77777777" w:rsidR="00E76AE8" w:rsidRPr="00076D82"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76D82">
        <w:rPr>
          <w:rFonts w:ascii="Cambria" w:hAnsi="Cambria"/>
          <w:sz w:val="20"/>
        </w:rPr>
        <w:t>In the same vein, the Supreme Court of Uganda considered in 2009 that "to execute a person after a delay of three years in conditions that were not acceptable by Ugandan standards would amount to cruel, inhuman punishment.”</w:t>
      </w:r>
      <w:r w:rsidRPr="00052E55">
        <w:rPr>
          <w:rStyle w:val="FootnoteReference"/>
          <w:rFonts w:ascii="Cambria" w:hAnsi="Cambria"/>
          <w:sz w:val="20"/>
        </w:rPr>
        <w:footnoteReference w:id="91"/>
      </w:r>
      <w:r w:rsidRPr="00076D82">
        <w:rPr>
          <w:rFonts w:ascii="Cambria" w:hAnsi="Cambria"/>
          <w:sz w:val="20"/>
        </w:rPr>
        <w:t xml:space="preserve"> For its part, the Supreme Court of Zimbabwe has pointed out since 1993 that "having regard to judicial and academic consensus concerning the death row phenomenon, the prolonged delays and the harsh conditions of incarceration, a sufficient degree of seriousness had been attained to entitle the applicant to invoke the protection concerning the prohibition of torture and inhuman or degrading punishment." That Supreme Court maintained that "52 and 72 months, respectively, on death row constituted a violation of the prohibition of torture and would render an actual execution unconstitutional."</w:t>
      </w:r>
      <w:r w:rsidRPr="00052E55">
        <w:rPr>
          <w:rStyle w:val="FootnoteReference"/>
          <w:rFonts w:ascii="Cambria" w:hAnsi="Cambria"/>
          <w:sz w:val="20"/>
        </w:rPr>
        <w:footnoteReference w:id="92"/>
      </w:r>
      <w:r w:rsidRPr="00076D82">
        <w:rPr>
          <w:rFonts w:ascii="Cambria" w:eastAsia="Calibri" w:hAnsi="Cambria"/>
          <w:bCs/>
          <w:sz w:val="20"/>
          <w:szCs w:val="20"/>
          <w:bdr w:val="none" w:sz="0" w:space="0" w:color="auto"/>
        </w:rPr>
        <w:t xml:space="preserve"> </w:t>
      </w:r>
    </w:p>
    <w:p w14:paraId="5F98FAB3" w14:textId="77777777" w:rsidR="00E76AE8" w:rsidRDefault="00E76AE8" w:rsidP="00E76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14:paraId="0AD69F3D" w14:textId="77777777" w:rsidR="00E76AE8"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76D82">
        <w:rPr>
          <w:rFonts w:ascii="Cambria" w:hAnsi="Cambria"/>
          <w:sz w:val="20"/>
        </w:rPr>
        <w:t>Specifically regarding the matter of prolonged solitary confinement on death row, the Inter-American Commission has determined that deprivation of liberty under certain conditions on death row, including solitary confinement for four years, constituted inhuman treatment.</w:t>
      </w:r>
      <w:r w:rsidRPr="000D47EF">
        <w:rPr>
          <w:rFonts w:ascii="Cambria" w:hAnsi="Cambria"/>
          <w:sz w:val="20"/>
          <w:vertAlign w:val="superscript"/>
        </w:rPr>
        <w:footnoteReference w:id="93"/>
      </w:r>
      <w:r w:rsidRPr="00076D82">
        <w:rPr>
          <w:rFonts w:ascii="Cambria" w:hAnsi="Cambria"/>
          <w:sz w:val="20"/>
        </w:rPr>
        <w:t xml:space="preserve">     </w:t>
      </w:r>
    </w:p>
    <w:p w14:paraId="66A7A473" w14:textId="77777777" w:rsidR="00E76AE8" w:rsidRDefault="00E76AE8" w:rsidP="00E76AE8">
      <w:pPr>
        <w:pStyle w:val="ListParagraph"/>
        <w:rPr>
          <w:sz w:val="20"/>
        </w:rPr>
      </w:pPr>
    </w:p>
    <w:p w14:paraId="485CBFF2" w14:textId="77777777" w:rsidR="00E76AE8" w:rsidRPr="00076D82"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076D82">
        <w:rPr>
          <w:rFonts w:ascii="Cambria" w:hAnsi="Cambria"/>
          <w:sz w:val="20"/>
        </w:rPr>
        <w:t xml:space="preserve">The UN Special Rapporteur on Torture has found that: </w:t>
      </w:r>
    </w:p>
    <w:p w14:paraId="293C7D88" w14:textId="77777777" w:rsidR="00E76AE8" w:rsidRDefault="00E76AE8" w:rsidP="00E76A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ind w:left="1500"/>
        <w:jc w:val="both"/>
        <w:rPr>
          <w:rFonts w:ascii="Cambria" w:hAnsi="Cambria"/>
          <w:b/>
          <w:bCs/>
          <w:sz w:val="20"/>
        </w:rPr>
      </w:pPr>
    </w:p>
    <w:p w14:paraId="10A8A359" w14:textId="77777777" w:rsidR="00E76AE8" w:rsidRPr="00AE6157" w:rsidRDefault="00E76AE8" w:rsidP="00AE6157">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Cambria" w:eastAsia="Calibri" w:hAnsi="Cambria"/>
          <w:sz w:val="18"/>
          <w:szCs w:val="18"/>
          <w:bdr w:val="none" w:sz="0" w:space="0" w:color="auto"/>
        </w:rPr>
      </w:pPr>
      <w:r w:rsidRPr="00AE6157">
        <w:rPr>
          <w:rFonts w:ascii="Cambria" w:eastAsia="Calibri" w:hAnsi="Cambria"/>
          <w:sz w:val="18"/>
          <w:szCs w:val="18"/>
          <w:bdr w:val="none" w:sz="0" w:space="0" w:color="auto"/>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AE6157">
        <w:rPr>
          <w:rFonts w:ascii="Cambria" w:eastAsia="Calibri" w:hAnsi="Cambria"/>
          <w:sz w:val="18"/>
          <w:szCs w:val="18"/>
          <w:bdr w:val="none" w:sz="0" w:space="0" w:color="auto"/>
          <w:vertAlign w:val="superscript"/>
        </w:rPr>
        <w:footnoteReference w:id="94"/>
      </w:r>
    </w:p>
    <w:p w14:paraId="308F581D" w14:textId="77777777" w:rsidR="00E76AE8" w:rsidRPr="000B68C7" w:rsidRDefault="00E76AE8" w:rsidP="000B68C7">
      <w:pPr>
        <w:rPr>
          <w:sz w:val="20"/>
        </w:rPr>
      </w:pPr>
    </w:p>
    <w:p w14:paraId="06340EA8" w14:textId="77777777" w:rsidR="00E76AE8" w:rsidRPr="00AF6831" w:rsidRDefault="00E76AE8"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B7194C">
        <w:rPr>
          <w:rFonts w:ascii="Cambria" w:hAnsi="Cambria"/>
          <w:sz w:val="20"/>
        </w:rPr>
        <w:t>Based on the foregoing considerations, the Commission concludes that the deprivation of liber</w:t>
      </w:r>
      <w:r w:rsidR="00534A1C">
        <w:rPr>
          <w:rFonts w:ascii="Cambria" w:hAnsi="Cambria"/>
          <w:sz w:val="20"/>
        </w:rPr>
        <w:t xml:space="preserve">ty </w:t>
      </w:r>
      <w:r w:rsidR="007A5265">
        <w:rPr>
          <w:rFonts w:ascii="Cambria" w:hAnsi="Cambria"/>
          <w:sz w:val="20"/>
        </w:rPr>
        <w:t>of a</w:t>
      </w:r>
      <w:r w:rsidR="00534A1C">
        <w:rPr>
          <w:rFonts w:ascii="Cambria" w:hAnsi="Cambria"/>
          <w:sz w:val="20"/>
        </w:rPr>
        <w:t xml:space="preserve"> person with a mental disability on death row, for more than 29</w:t>
      </w:r>
      <w:r w:rsidRPr="00B7194C">
        <w:rPr>
          <w:rFonts w:ascii="Cambria" w:hAnsi="Cambria"/>
          <w:sz w:val="20"/>
        </w:rPr>
        <w:t xml:space="preserve"> years</w:t>
      </w:r>
      <w:r w:rsidR="000B68C7">
        <w:rPr>
          <w:rFonts w:ascii="Cambria" w:hAnsi="Cambria"/>
          <w:sz w:val="20"/>
        </w:rPr>
        <w:t>,</w:t>
      </w:r>
      <w:r w:rsidRPr="00B7194C">
        <w:rPr>
          <w:rFonts w:ascii="Cambria" w:hAnsi="Cambria"/>
          <w:sz w:val="20"/>
        </w:rPr>
        <w:t xml:space="preserve"> constituted a form of torture, </w:t>
      </w:r>
      <w:r w:rsidR="00534A1C">
        <w:rPr>
          <w:rFonts w:ascii="Cambria" w:hAnsi="Cambria"/>
          <w:sz w:val="20"/>
        </w:rPr>
        <w:t>to Mr. Thompson’s</w:t>
      </w:r>
      <w:r w:rsidRPr="00B7194C">
        <w:rPr>
          <w:rFonts w:ascii="Cambria" w:hAnsi="Cambria"/>
          <w:sz w:val="20"/>
        </w:rPr>
        <w:t xml:space="preserve"> personal integrity. Consequently, the United States is responsible for having violated, to the detriment of </w:t>
      </w:r>
      <w:r w:rsidR="00534A1C">
        <w:rPr>
          <w:rFonts w:ascii="Cambria" w:hAnsi="Cambria"/>
          <w:sz w:val="20"/>
        </w:rPr>
        <w:t>Gregory Thompson</w:t>
      </w:r>
      <w:r w:rsidRPr="00B7194C">
        <w:rPr>
          <w:rFonts w:ascii="Cambria" w:hAnsi="Cambria"/>
          <w:sz w:val="20"/>
        </w:rPr>
        <w:t>, the rights of protection against arbitrary detention, to humane treatment, and not to receive cruel, infamous, or unusual punishment established in Articles XXV and XXVI of the American Declaration.</w:t>
      </w:r>
    </w:p>
    <w:p w14:paraId="617F114D" w14:textId="77777777" w:rsidR="00EC21F7" w:rsidRDefault="00EC21F7" w:rsidP="00EC21F7">
      <w:pPr>
        <w:pStyle w:val="ListParagraph"/>
        <w:rPr>
          <w:rFonts w:asciiTheme="majorHAnsi" w:hAnsiTheme="majorHAnsi"/>
          <w:sz w:val="20"/>
          <w:szCs w:val="20"/>
        </w:rPr>
      </w:pPr>
    </w:p>
    <w:p w14:paraId="62C79E39" w14:textId="466D7B3A" w:rsidR="00EC21F7" w:rsidRPr="00626DFD" w:rsidRDefault="00EC21F7" w:rsidP="00EC21F7">
      <w:pPr>
        <w:pStyle w:val="Heading1"/>
        <w:tabs>
          <w:tab w:val="left" w:pos="360"/>
        </w:tabs>
        <w:spacing w:before="0"/>
        <w:ind w:hanging="720"/>
        <w:rPr>
          <w:color w:val="auto"/>
          <w:sz w:val="20"/>
          <w:szCs w:val="20"/>
        </w:rPr>
      </w:pPr>
      <w:bookmarkStart w:id="28" w:name="_Toc45105400"/>
      <w:bookmarkStart w:id="29" w:name="_Toc47714178"/>
      <w:bookmarkStart w:id="30" w:name="_Toc87432711"/>
      <w:bookmarkStart w:id="31" w:name="_Toc90300528"/>
      <w:r w:rsidRPr="00626DFD">
        <w:rPr>
          <w:color w:val="auto"/>
          <w:sz w:val="20"/>
          <w:szCs w:val="20"/>
        </w:rPr>
        <w:t xml:space="preserve">REPORT No. </w:t>
      </w:r>
      <w:r w:rsidR="009B3849" w:rsidRPr="00626DFD">
        <w:rPr>
          <w:color w:val="auto"/>
          <w:sz w:val="20"/>
          <w:szCs w:val="20"/>
        </w:rPr>
        <w:t>242</w:t>
      </w:r>
      <w:r w:rsidRPr="00626DFD">
        <w:rPr>
          <w:color w:val="auto"/>
          <w:sz w:val="20"/>
          <w:szCs w:val="20"/>
        </w:rPr>
        <w:t>/19 AND INFORMATION ABOUT COMPLIANCE</w:t>
      </w:r>
      <w:bookmarkEnd w:id="28"/>
      <w:bookmarkEnd w:id="29"/>
      <w:bookmarkEnd w:id="30"/>
      <w:bookmarkEnd w:id="31"/>
    </w:p>
    <w:p w14:paraId="1F0DD616" w14:textId="77777777" w:rsidR="00EC21F7" w:rsidRPr="00626DFD" w:rsidRDefault="00EC21F7" w:rsidP="00EC21F7">
      <w:pPr>
        <w:rPr>
          <w:rFonts w:asciiTheme="majorHAnsi" w:hAnsiTheme="majorHAnsi"/>
          <w:sz w:val="20"/>
          <w:szCs w:val="20"/>
        </w:rPr>
      </w:pPr>
    </w:p>
    <w:p w14:paraId="70DADA9D" w14:textId="7BF59C48" w:rsidR="00EC21F7" w:rsidRPr="00626DFD" w:rsidRDefault="00EC21F7" w:rsidP="00EC21F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626DFD">
        <w:rPr>
          <w:rFonts w:asciiTheme="majorHAnsi" w:hAnsiTheme="majorHAnsi"/>
          <w:sz w:val="20"/>
          <w:szCs w:val="20"/>
        </w:rPr>
        <w:t xml:space="preserve">On </w:t>
      </w:r>
      <w:r w:rsidR="009B3849" w:rsidRPr="00626DFD">
        <w:rPr>
          <w:rFonts w:asciiTheme="majorHAnsi" w:hAnsiTheme="majorHAnsi"/>
          <w:sz w:val="20"/>
          <w:szCs w:val="20"/>
        </w:rPr>
        <w:t>Dec</w:t>
      </w:r>
      <w:r w:rsidRPr="00626DFD">
        <w:rPr>
          <w:rFonts w:asciiTheme="majorHAnsi" w:hAnsiTheme="majorHAnsi"/>
          <w:sz w:val="20"/>
          <w:szCs w:val="20"/>
        </w:rPr>
        <w:t xml:space="preserve">ember </w:t>
      </w:r>
      <w:r w:rsidR="009B3849" w:rsidRPr="00626DFD">
        <w:rPr>
          <w:rFonts w:asciiTheme="majorHAnsi" w:hAnsiTheme="majorHAnsi"/>
          <w:sz w:val="20"/>
          <w:szCs w:val="20"/>
        </w:rPr>
        <w:t>31</w:t>
      </w:r>
      <w:r w:rsidRPr="00626DFD">
        <w:rPr>
          <w:rFonts w:asciiTheme="majorHAnsi" w:hAnsiTheme="majorHAnsi"/>
          <w:sz w:val="20"/>
          <w:szCs w:val="20"/>
        </w:rPr>
        <w:t xml:space="preserve">, 2019, the Commission approved Report No. </w:t>
      </w:r>
      <w:r w:rsidR="009B3849" w:rsidRPr="00626DFD">
        <w:rPr>
          <w:rFonts w:asciiTheme="majorHAnsi" w:hAnsiTheme="majorHAnsi"/>
          <w:sz w:val="20"/>
          <w:szCs w:val="20"/>
        </w:rPr>
        <w:t>242</w:t>
      </w:r>
      <w:r w:rsidRPr="00626DFD">
        <w:rPr>
          <w:rFonts w:asciiTheme="majorHAnsi" w:hAnsiTheme="majorHAnsi"/>
          <w:sz w:val="20"/>
          <w:szCs w:val="20"/>
        </w:rPr>
        <w:t xml:space="preserve">/19 on the merits of the instant case, which encompasses paragraphs 1 to </w:t>
      </w:r>
      <w:r w:rsidR="009B3849" w:rsidRPr="00626DFD">
        <w:rPr>
          <w:rFonts w:asciiTheme="majorHAnsi" w:hAnsiTheme="majorHAnsi"/>
          <w:sz w:val="20"/>
          <w:szCs w:val="20"/>
        </w:rPr>
        <w:t>95</w:t>
      </w:r>
      <w:r w:rsidRPr="00626DFD">
        <w:rPr>
          <w:rFonts w:asciiTheme="majorHAnsi" w:hAnsiTheme="majorHAnsi"/>
          <w:sz w:val="20"/>
          <w:szCs w:val="20"/>
        </w:rPr>
        <w:t xml:space="preserve"> supra, and issued the following recommendations to the State: </w:t>
      </w:r>
    </w:p>
    <w:p w14:paraId="611481EA" w14:textId="77777777" w:rsidR="00EC21F7" w:rsidRPr="00626DFD" w:rsidRDefault="00EC21F7" w:rsidP="00EC21F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14:paraId="0A552BCF" w14:textId="07278BED" w:rsidR="00EC21F7" w:rsidRPr="00626DFD" w:rsidRDefault="00EC21F7" w:rsidP="009B384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r w:rsidRPr="00626DFD">
        <w:rPr>
          <w:rFonts w:asciiTheme="majorHAnsi" w:hAnsiTheme="majorHAnsi"/>
          <w:sz w:val="20"/>
          <w:szCs w:val="20"/>
        </w:rPr>
        <w:t>Provide reparations to the family of Gregory Thompson as a consequence of the violations established in this report.</w:t>
      </w:r>
    </w:p>
    <w:p w14:paraId="007E5FB2" w14:textId="77777777" w:rsidR="00EC21F7" w:rsidRPr="00626DFD" w:rsidRDefault="00EC21F7" w:rsidP="00EC21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asciiTheme="majorHAnsi" w:eastAsia="Times New Roman" w:hAnsiTheme="majorHAnsi" w:cs="Tahoma"/>
          <w:sz w:val="20"/>
          <w:szCs w:val="20"/>
          <w:bdr w:val="none" w:sz="0" w:space="0" w:color="auto"/>
        </w:rPr>
      </w:pPr>
    </w:p>
    <w:p w14:paraId="0B29EBAF" w14:textId="77777777" w:rsidR="00EC21F7" w:rsidRPr="00626DFD" w:rsidRDefault="00EC21F7" w:rsidP="009B384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r w:rsidRPr="00626DFD">
        <w:rPr>
          <w:rFonts w:asciiTheme="majorHAnsi" w:hAnsiTheme="majorHAnsi"/>
          <w:sz w:val="20"/>
          <w:szCs w:val="20"/>
        </w:rPr>
        <w:t>Review its laws, procedures, and practices at the state, and if applicable, at the federal level to ensure that persons accused of capital crimes are tried and, if convicted, sentenced in accordance with the rights established in the American Declaration, including Articles I, XVIII, XXV and XXVI thereof, and, in particular, that court-appointed counsel provide adequate legal representation in death penalty cases and is trained to screen individuals for the presence of mental disabilities.</w:t>
      </w:r>
    </w:p>
    <w:p w14:paraId="62435F02" w14:textId="77777777" w:rsidR="00EC21F7" w:rsidRPr="00626DFD" w:rsidRDefault="00EC21F7" w:rsidP="00EC21F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eastAsia="Times New Roman" w:hAnsiTheme="majorHAnsi" w:cs="Tahoma"/>
          <w:sz w:val="20"/>
          <w:szCs w:val="20"/>
          <w:bdr w:val="none" w:sz="0" w:space="0" w:color="auto"/>
        </w:rPr>
      </w:pPr>
      <w:r w:rsidRPr="00626DFD">
        <w:rPr>
          <w:rFonts w:asciiTheme="majorHAnsi" w:hAnsiTheme="majorHAnsi"/>
          <w:sz w:val="20"/>
          <w:szCs w:val="20"/>
        </w:rPr>
        <w:t xml:space="preserve"> </w:t>
      </w:r>
    </w:p>
    <w:p w14:paraId="4DA0AB2D" w14:textId="77777777" w:rsidR="00EC21F7" w:rsidRPr="00626DFD" w:rsidRDefault="00EC21F7" w:rsidP="009B384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cs="Tahoma"/>
          <w:sz w:val="20"/>
          <w:szCs w:val="20"/>
          <w:bdr w:val="none" w:sz="0" w:space="0" w:color="auto"/>
        </w:rPr>
      </w:pPr>
      <w:r w:rsidRPr="00626DFD">
        <w:rPr>
          <w:rFonts w:asciiTheme="majorHAnsi" w:hAnsiTheme="majorHAnsi"/>
          <w:sz w:val="20"/>
          <w:szCs w:val="20"/>
        </w:rPr>
        <w:t>Ensure</w:t>
      </w:r>
      <w:r w:rsidRPr="00626DFD">
        <w:rPr>
          <w:rFonts w:eastAsia="Times New Roman" w:cs="Tahoma"/>
          <w:sz w:val="20"/>
          <w:szCs w:val="20"/>
          <w:bdr w:val="none" w:sz="0" w:space="0" w:color="auto" w:frame="1"/>
        </w:rPr>
        <w:t xml:space="preserve"> that the death sentence is not imposed on persons with mental disability in accordance with international human rights standards and the right of protection against cruel, infamous or unusual punishment.</w:t>
      </w:r>
    </w:p>
    <w:p w14:paraId="27D3BE9B" w14:textId="77777777" w:rsidR="00EC21F7" w:rsidRPr="00626DFD" w:rsidRDefault="00EC21F7" w:rsidP="00EC21F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p>
    <w:p w14:paraId="0144114F" w14:textId="77777777" w:rsidR="00EC21F7" w:rsidRPr="00626DFD" w:rsidRDefault="00EC21F7" w:rsidP="009B3849">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r w:rsidRPr="00626DFD">
        <w:rPr>
          <w:rFonts w:asciiTheme="majorHAnsi" w:hAnsiTheme="majorHAnsi"/>
          <w:sz w:val="20"/>
          <w:szCs w:val="20"/>
        </w:rPr>
        <w:t>Given</w:t>
      </w:r>
      <w:r w:rsidRPr="00626DFD">
        <w:rPr>
          <w:rFonts w:asciiTheme="majorHAnsi" w:hAnsiTheme="majorHAnsi"/>
          <w:sz w:val="20"/>
        </w:rPr>
        <w:t xml:space="preserve"> the violations of the American Declaration the IACHR has established in the present</w:t>
      </w:r>
      <w:r w:rsidRPr="00626DFD">
        <w:rPr>
          <w:sz w:val="20"/>
        </w:rPr>
        <w:t xml:space="preserve"> case and in others involving application of the death penalty, the Inter-American Commission also recommends to the United States that it adopt a moratorium on executions of persons sentenced to death.</w:t>
      </w:r>
      <w:r w:rsidRPr="00626DFD">
        <w:rPr>
          <w:rStyle w:val="FootnoteReference"/>
          <w:sz w:val="20"/>
        </w:rPr>
        <w:footnoteReference w:id="95"/>
      </w:r>
    </w:p>
    <w:p w14:paraId="1701A3F6" w14:textId="77777777" w:rsidR="00EC21F7" w:rsidRPr="00626DFD" w:rsidRDefault="00EC21F7" w:rsidP="00EC21F7"/>
    <w:p w14:paraId="66148F75" w14:textId="557D4972" w:rsidR="00626DFD" w:rsidRPr="00626DFD" w:rsidRDefault="00EC21F7" w:rsidP="00626D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sz w:val="20"/>
          <w:szCs w:val="20"/>
        </w:rPr>
      </w:pPr>
      <w:r w:rsidRPr="00626DFD">
        <w:rPr>
          <w:sz w:val="20"/>
          <w:szCs w:val="20"/>
        </w:rPr>
        <w:t xml:space="preserve">On </w:t>
      </w:r>
      <w:r w:rsidR="009B3849" w:rsidRPr="00626DFD">
        <w:rPr>
          <w:rFonts w:ascii="Cambria" w:eastAsia="Cambria" w:hAnsi="Cambria" w:cs="Cambria"/>
          <w:color w:val="000000"/>
          <w:sz w:val="20"/>
          <w:szCs w:val="20"/>
          <w:u w:color="000000"/>
          <w:lang w:eastAsia="es-ES"/>
        </w:rPr>
        <w:t>February</w:t>
      </w:r>
      <w:r w:rsidRPr="00626DFD">
        <w:rPr>
          <w:sz w:val="20"/>
          <w:szCs w:val="20"/>
        </w:rPr>
        <w:t xml:space="preserve"> </w:t>
      </w:r>
      <w:r w:rsidR="009B3849" w:rsidRPr="00626DFD">
        <w:rPr>
          <w:sz w:val="20"/>
          <w:szCs w:val="20"/>
        </w:rPr>
        <w:t>24</w:t>
      </w:r>
      <w:r w:rsidRPr="00626DFD">
        <w:rPr>
          <w:sz w:val="20"/>
          <w:szCs w:val="20"/>
        </w:rPr>
        <w:t>, 20</w:t>
      </w:r>
      <w:r w:rsidR="009B3849" w:rsidRPr="00626DFD">
        <w:rPr>
          <w:sz w:val="20"/>
          <w:szCs w:val="20"/>
        </w:rPr>
        <w:t>20</w:t>
      </w:r>
      <w:r w:rsidRPr="00626DFD">
        <w:rPr>
          <w:sz w:val="20"/>
          <w:szCs w:val="20"/>
        </w:rPr>
        <w:t xml:space="preserve"> the IACHR transmitted the report to the State with a time period of two months to inform the Commission on the measures taken to comply with its recommendations. To date, the Commission has not received any response from the United States regarding report No. </w:t>
      </w:r>
      <w:r w:rsidR="009B3849" w:rsidRPr="00626DFD">
        <w:rPr>
          <w:sz w:val="20"/>
          <w:szCs w:val="20"/>
        </w:rPr>
        <w:t>242</w:t>
      </w:r>
      <w:r w:rsidRPr="00626DFD">
        <w:rPr>
          <w:sz w:val="20"/>
          <w:szCs w:val="20"/>
        </w:rPr>
        <w:t>/19.</w:t>
      </w:r>
    </w:p>
    <w:p w14:paraId="3DD07A6F" w14:textId="77777777" w:rsidR="00626DFD" w:rsidRPr="00B645F5" w:rsidRDefault="00626DFD" w:rsidP="00626DF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s>
        <w:jc w:val="both"/>
        <w:rPr>
          <w:rFonts w:asciiTheme="majorHAnsi" w:hAnsiTheme="majorHAnsi"/>
          <w:color w:val="000000" w:themeColor="text1"/>
          <w:sz w:val="20"/>
          <w:szCs w:val="20"/>
        </w:rPr>
      </w:pPr>
    </w:p>
    <w:p w14:paraId="01F5C2A1" w14:textId="2483A4DA" w:rsidR="00626DFD" w:rsidRPr="0027688C" w:rsidRDefault="00626DFD" w:rsidP="00626DFD">
      <w:pPr>
        <w:pStyle w:val="Heading1"/>
        <w:spacing w:before="0"/>
        <w:ind w:hanging="720"/>
        <w:rPr>
          <w:color w:val="auto"/>
          <w:sz w:val="20"/>
          <w:szCs w:val="20"/>
        </w:rPr>
      </w:pPr>
      <w:bookmarkStart w:id="32" w:name="_Toc26550943"/>
      <w:bookmarkStart w:id="33" w:name="_Toc87522016"/>
      <w:bookmarkStart w:id="34" w:name="_Toc90115136"/>
      <w:bookmarkStart w:id="35" w:name="_Toc90283315"/>
      <w:bookmarkStart w:id="36" w:name="_Toc90284149"/>
      <w:bookmarkStart w:id="37" w:name="_Toc90289383"/>
      <w:bookmarkStart w:id="38" w:name="_Toc90291522"/>
      <w:bookmarkStart w:id="39" w:name="_Toc90297887"/>
      <w:bookmarkStart w:id="40" w:name="_Toc90300529"/>
      <w:r w:rsidRPr="0027688C">
        <w:rPr>
          <w:color w:val="auto"/>
          <w:sz w:val="20"/>
          <w:szCs w:val="20"/>
        </w:rPr>
        <w:t>ACTIONS SUBSEQUENT TO REPORT No. 334/</w:t>
      </w:r>
      <w:bookmarkEnd w:id="32"/>
      <w:r w:rsidRPr="0027688C">
        <w:rPr>
          <w:color w:val="auto"/>
          <w:sz w:val="20"/>
          <w:szCs w:val="20"/>
        </w:rPr>
        <w:t>2</w:t>
      </w:r>
      <w:bookmarkEnd w:id="33"/>
      <w:r w:rsidRPr="0027688C">
        <w:rPr>
          <w:color w:val="auto"/>
          <w:sz w:val="20"/>
          <w:szCs w:val="20"/>
        </w:rPr>
        <w:t>1</w:t>
      </w:r>
      <w:bookmarkEnd w:id="34"/>
      <w:bookmarkEnd w:id="35"/>
      <w:bookmarkEnd w:id="36"/>
      <w:bookmarkEnd w:id="37"/>
      <w:bookmarkEnd w:id="38"/>
      <w:bookmarkEnd w:id="39"/>
      <w:bookmarkEnd w:id="40"/>
    </w:p>
    <w:p w14:paraId="4C3846D8" w14:textId="77777777" w:rsidR="00626DFD" w:rsidRPr="0027688C" w:rsidRDefault="00626DFD" w:rsidP="00626DFD">
      <w:pPr>
        <w:rPr>
          <w:sz w:val="20"/>
          <w:szCs w:val="20"/>
        </w:rPr>
      </w:pPr>
    </w:p>
    <w:p w14:paraId="2602BAB1" w14:textId="263B1027" w:rsidR="00626DFD" w:rsidRPr="0027688C" w:rsidRDefault="00626DFD" w:rsidP="00626D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num" w:pos="720"/>
          <w:tab w:val="left" w:pos="1440"/>
        </w:tabs>
        <w:ind w:left="0" w:firstLine="0"/>
        <w:jc w:val="both"/>
        <w:rPr>
          <w:sz w:val="20"/>
          <w:szCs w:val="20"/>
        </w:rPr>
      </w:pPr>
      <w:r w:rsidRPr="0027688C">
        <w:rPr>
          <w:sz w:val="20"/>
          <w:szCs w:val="20"/>
        </w:rPr>
        <w:t>On</w:t>
      </w:r>
      <w:r w:rsidRPr="0027688C">
        <w:rPr>
          <w:rFonts w:ascii="Cambria" w:hAnsi="Cambria"/>
          <w:sz w:val="20"/>
          <w:szCs w:val="20"/>
        </w:rPr>
        <w:t xml:space="preserve"> November 22, 2021, the Commission approved Final Merits Report No. 334/21, which encompasses paragraphs 1 to 97 </w:t>
      </w:r>
      <w:r w:rsidRPr="0027688C">
        <w:rPr>
          <w:rFonts w:ascii="Cambria" w:hAnsi="Cambria"/>
          <w:i/>
          <w:sz w:val="20"/>
          <w:szCs w:val="20"/>
        </w:rPr>
        <w:t>supra</w:t>
      </w:r>
      <w:r w:rsidRPr="0027688C">
        <w:rPr>
          <w:rFonts w:ascii="Cambria" w:hAnsi="Cambria"/>
          <w:sz w:val="20"/>
          <w:szCs w:val="20"/>
        </w:rPr>
        <w:t>, and issued its final conclusions and recommendations to the State. On December 6, 2021, the Commission transmitted the report to the State and the petitioners with a time period of three weeks to inform the Inter-American Commission on the measures taken to comply with its recommendations. To date, the IACHR has not received any response from the United States or the petitioners regarding Report No. 334/21.</w:t>
      </w:r>
    </w:p>
    <w:p w14:paraId="7C8E2974" w14:textId="77777777" w:rsidR="00626DFD" w:rsidRPr="00626DFD" w:rsidRDefault="00626DFD" w:rsidP="00626D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jc w:val="both"/>
        <w:rPr>
          <w:sz w:val="20"/>
          <w:szCs w:val="20"/>
        </w:rPr>
      </w:pPr>
    </w:p>
    <w:p w14:paraId="53EDA6B4" w14:textId="46FCAA0D" w:rsidR="001C4006" w:rsidRPr="00626DFD" w:rsidRDefault="009B3849" w:rsidP="00AE6157">
      <w:pPr>
        <w:pStyle w:val="Heading1"/>
        <w:spacing w:before="0"/>
        <w:ind w:left="360"/>
        <w:rPr>
          <w:color w:val="auto"/>
          <w:sz w:val="20"/>
          <w:szCs w:val="20"/>
        </w:rPr>
      </w:pPr>
      <w:bookmarkStart w:id="41" w:name="_Toc90300530"/>
      <w:r w:rsidRPr="00626DFD">
        <w:rPr>
          <w:color w:val="auto"/>
          <w:sz w:val="20"/>
          <w:szCs w:val="20"/>
        </w:rPr>
        <w:t xml:space="preserve">FINAL </w:t>
      </w:r>
      <w:r w:rsidR="001C4006" w:rsidRPr="00626DFD">
        <w:rPr>
          <w:color w:val="auto"/>
          <w:sz w:val="20"/>
          <w:szCs w:val="20"/>
        </w:rPr>
        <w:t>CONCLUSIONS AND RECOMMENDATIONS</w:t>
      </w:r>
      <w:bookmarkEnd w:id="41"/>
    </w:p>
    <w:p w14:paraId="5F212473" w14:textId="77777777" w:rsidR="00576D19" w:rsidRPr="00626DFD" w:rsidRDefault="00576D19" w:rsidP="00576D19">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20"/>
        </w:tabs>
        <w:jc w:val="both"/>
        <w:rPr>
          <w:rFonts w:asciiTheme="majorHAnsi" w:hAnsiTheme="majorHAnsi"/>
          <w:b/>
          <w:sz w:val="20"/>
          <w:szCs w:val="20"/>
        </w:rPr>
      </w:pPr>
    </w:p>
    <w:p w14:paraId="1580408C" w14:textId="77777777" w:rsidR="0064712F" w:rsidRPr="00626DFD" w:rsidRDefault="00F1763D" w:rsidP="00AE61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626DFD">
        <w:rPr>
          <w:rFonts w:asciiTheme="majorHAnsi" w:hAnsiTheme="majorHAnsi"/>
          <w:color w:val="000000" w:themeColor="text1"/>
          <w:sz w:val="20"/>
          <w:szCs w:val="20"/>
        </w:rPr>
        <w:t>On the basis of determinations of fact and law, the Inter-American Commission conclude</w:t>
      </w:r>
      <w:r w:rsidR="00D80440" w:rsidRPr="00626DFD">
        <w:rPr>
          <w:rFonts w:asciiTheme="majorHAnsi" w:hAnsiTheme="majorHAnsi"/>
          <w:color w:val="000000" w:themeColor="text1"/>
          <w:sz w:val="20"/>
          <w:szCs w:val="20"/>
        </w:rPr>
        <w:t>s</w:t>
      </w:r>
      <w:r w:rsidRPr="00626DFD">
        <w:rPr>
          <w:rFonts w:asciiTheme="majorHAnsi" w:hAnsiTheme="majorHAnsi"/>
          <w:color w:val="000000" w:themeColor="text1"/>
          <w:sz w:val="20"/>
          <w:szCs w:val="20"/>
        </w:rPr>
        <w:t xml:space="preserve"> that the State is responsible for the violation of Articles </w:t>
      </w:r>
      <w:r w:rsidR="00B871DF" w:rsidRPr="00626DFD">
        <w:rPr>
          <w:rFonts w:asciiTheme="majorHAnsi" w:hAnsiTheme="majorHAnsi"/>
          <w:color w:val="000000" w:themeColor="text1"/>
          <w:sz w:val="20"/>
          <w:szCs w:val="20"/>
        </w:rPr>
        <w:t>I (life)</w:t>
      </w:r>
      <w:r w:rsidR="000550C0" w:rsidRPr="00626DFD">
        <w:rPr>
          <w:rFonts w:asciiTheme="majorHAnsi" w:hAnsiTheme="majorHAnsi"/>
          <w:color w:val="000000" w:themeColor="text1"/>
          <w:sz w:val="20"/>
          <w:szCs w:val="20"/>
        </w:rPr>
        <w:t xml:space="preserve">, </w:t>
      </w:r>
      <w:r w:rsidR="00865D73" w:rsidRPr="00626DFD">
        <w:rPr>
          <w:rFonts w:asciiTheme="majorHAnsi" w:hAnsiTheme="majorHAnsi"/>
          <w:color w:val="000000" w:themeColor="text1"/>
          <w:sz w:val="20"/>
          <w:szCs w:val="20"/>
        </w:rPr>
        <w:t xml:space="preserve">XVIII (fair trial), </w:t>
      </w:r>
      <w:r w:rsidR="00C7262E" w:rsidRPr="00626DFD">
        <w:rPr>
          <w:rFonts w:asciiTheme="majorHAnsi" w:hAnsiTheme="majorHAnsi"/>
          <w:color w:val="000000" w:themeColor="text1"/>
          <w:sz w:val="20"/>
          <w:szCs w:val="20"/>
        </w:rPr>
        <w:t>XXV (protection from arbitrary arrest)</w:t>
      </w:r>
      <w:r w:rsidR="008A4398" w:rsidRPr="00626DFD">
        <w:rPr>
          <w:rFonts w:asciiTheme="majorHAnsi" w:hAnsiTheme="majorHAnsi"/>
          <w:color w:val="000000" w:themeColor="text1"/>
          <w:sz w:val="20"/>
          <w:szCs w:val="20"/>
        </w:rPr>
        <w:t xml:space="preserve"> and </w:t>
      </w:r>
      <w:r w:rsidR="000550C0" w:rsidRPr="00626DFD">
        <w:rPr>
          <w:rFonts w:asciiTheme="majorHAnsi" w:hAnsiTheme="majorHAnsi"/>
          <w:color w:val="000000" w:themeColor="text1"/>
          <w:sz w:val="20"/>
          <w:szCs w:val="20"/>
        </w:rPr>
        <w:t>XXV</w:t>
      </w:r>
      <w:r w:rsidR="00865D73" w:rsidRPr="00626DFD">
        <w:rPr>
          <w:rFonts w:asciiTheme="majorHAnsi" w:hAnsiTheme="majorHAnsi"/>
          <w:color w:val="000000" w:themeColor="text1"/>
          <w:sz w:val="20"/>
          <w:szCs w:val="20"/>
        </w:rPr>
        <w:t>I</w:t>
      </w:r>
      <w:r w:rsidR="000550C0" w:rsidRPr="00626DFD">
        <w:rPr>
          <w:rFonts w:asciiTheme="majorHAnsi" w:hAnsiTheme="majorHAnsi"/>
          <w:color w:val="000000" w:themeColor="text1"/>
          <w:sz w:val="20"/>
          <w:szCs w:val="20"/>
        </w:rPr>
        <w:t xml:space="preserve"> (</w:t>
      </w:r>
      <w:r w:rsidR="00865D73" w:rsidRPr="00626DFD">
        <w:rPr>
          <w:rFonts w:asciiTheme="majorHAnsi" w:hAnsiTheme="majorHAnsi"/>
          <w:color w:val="000000" w:themeColor="text1"/>
          <w:sz w:val="20"/>
          <w:szCs w:val="20"/>
        </w:rPr>
        <w:t>due process of law</w:t>
      </w:r>
      <w:r w:rsidR="00985A4B" w:rsidRPr="00626DFD">
        <w:rPr>
          <w:rFonts w:asciiTheme="majorHAnsi" w:hAnsiTheme="majorHAnsi"/>
          <w:color w:val="000000" w:themeColor="text1"/>
          <w:sz w:val="20"/>
          <w:szCs w:val="20"/>
        </w:rPr>
        <w:t>)</w:t>
      </w:r>
      <w:r w:rsidR="008A4398" w:rsidRPr="00626DFD">
        <w:rPr>
          <w:rFonts w:asciiTheme="majorHAnsi" w:hAnsiTheme="majorHAnsi"/>
          <w:color w:val="000000" w:themeColor="text1"/>
          <w:sz w:val="20"/>
          <w:szCs w:val="20"/>
        </w:rPr>
        <w:t xml:space="preserve"> </w:t>
      </w:r>
      <w:r w:rsidRPr="00626DFD">
        <w:rPr>
          <w:rFonts w:asciiTheme="majorHAnsi" w:hAnsiTheme="majorHAnsi"/>
          <w:color w:val="000000" w:themeColor="text1"/>
          <w:sz w:val="20"/>
          <w:szCs w:val="20"/>
        </w:rPr>
        <w:t xml:space="preserve">of the American Declaration. </w:t>
      </w:r>
    </w:p>
    <w:p w14:paraId="7438FC7E" w14:textId="77777777" w:rsidR="00BA7984" w:rsidRPr="00626DFD" w:rsidRDefault="00BA7984" w:rsidP="00085F6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Cambria" w:hAnsi="Cambria"/>
          <w:sz w:val="20"/>
          <w:szCs w:val="20"/>
        </w:rPr>
      </w:pPr>
    </w:p>
    <w:p w14:paraId="493B7279" w14:textId="1A13814A" w:rsidR="001C4006" w:rsidRPr="00143E4B" w:rsidRDefault="001C4006" w:rsidP="001965CC">
      <w:pPr>
        <w:jc w:val="both"/>
        <w:rPr>
          <w:rFonts w:ascii="Cambria" w:hAnsi="Cambria"/>
          <w:b/>
          <w:sz w:val="20"/>
          <w:szCs w:val="20"/>
        </w:rPr>
      </w:pPr>
      <w:r w:rsidRPr="00626DFD">
        <w:rPr>
          <w:rFonts w:ascii="Cambria" w:hAnsi="Cambria"/>
          <w:b/>
          <w:sz w:val="20"/>
          <w:szCs w:val="20"/>
        </w:rPr>
        <w:t>THE INTER-AMERICAN COMMISSION ON HUMAN RIGHTS RE</w:t>
      </w:r>
      <w:r w:rsidR="009B3849" w:rsidRPr="00626DFD">
        <w:rPr>
          <w:rFonts w:ascii="Cambria" w:hAnsi="Cambria"/>
          <w:b/>
          <w:sz w:val="20"/>
          <w:szCs w:val="20"/>
        </w:rPr>
        <w:t>ITERATES</w:t>
      </w:r>
      <w:r w:rsidRPr="00143E4B">
        <w:rPr>
          <w:rFonts w:ascii="Cambria" w:hAnsi="Cambria"/>
          <w:b/>
          <w:sz w:val="20"/>
          <w:szCs w:val="20"/>
        </w:rPr>
        <w:t xml:space="preserve"> THAT THE </w:t>
      </w:r>
      <w:r w:rsidR="002E432F" w:rsidRPr="00143E4B">
        <w:rPr>
          <w:rFonts w:ascii="Cambria" w:hAnsi="Cambria"/>
          <w:b/>
          <w:sz w:val="20"/>
          <w:szCs w:val="20"/>
        </w:rPr>
        <w:t xml:space="preserve">UNITED </w:t>
      </w:r>
      <w:r w:rsidRPr="00143E4B">
        <w:rPr>
          <w:rFonts w:ascii="Cambria" w:hAnsi="Cambria"/>
          <w:b/>
          <w:sz w:val="20"/>
          <w:szCs w:val="20"/>
        </w:rPr>
        <w:t>STATE</w:t>
      </w:r>
      <w:r w:rsidR="002E432F" w:rsidRPr="00143E4B">
        <w:rPr>
          <w:rFonts w:ascii="Cambria" w:hAnsi="Cambria"/>
          <w:b/>
          <w:sz w:val="20"/>
          <w:szCs w:val="20"/>
        </w:rPr>
        <w:t>S</w:t>
      </w:r>
      <w:r w:rsidRPr="00143E4B">
        <w:rPr>
          <w:rFonts w:ascii="Cambria" w:hAnsi="Cambria"/>
          <w:b/>
          <w:sz w:val="20"/>
          <w:szCs w:val="20"/>
        </w:rPr>
        <w:t xml:space="preserve"> OF</w:t>
      </w:r>
      <w:r w:rsidR="002E432F" w:rsidRPr="00143E4B">
        <w:rPr>
          <w:rFonts w:ascii="Cambria" w:hAnsi="Cambria"/>
          <w:b/>
          <w:sz w:val="20"/>
          <w:szCs w:val="20"/>
        </w:rPr>
        <w:t xml:space="preserve"> AMERICA</w:t>
      </w:r>
      <w:r w:rsidRPr="00143E4B">
        <w:rPr>
          <w:rFonts w:ascii="Cambria" w:hAnsi="Cambria"/>
          <w:b/>
          <w:sz w:val="20"/>
          <w:szCs w:val="20"/>
        </w:rPr>
        <w:t>,</w:t>
      </w:r>
    </w:p>
    <w:p w14:paraId="08A359D0" w14:textId="77777777" w:rsidR="001C4006" w:rsidRDefault="001C4006" w:rsidP="001C4006">
      <w:pPr>
        <w:ind w:firstLine="720"/>
        <w:jc w:val="both"/>
        <w:rPr>
          <w:rFonts w:ascii="Cambria" w:hAnsi="Cambria"/>
          <w:b/>
          <w:sz w:val="20"/>
          <w:szCs w:val="20"/>
        </w:rPr>
      </w:pPr>
    </w:p>
    <w:p w14:paraId="7DB92978" w14:textId="77777777" w:rsidR="00133FCF" w:rsidRPr="00957F1D" w:rsidRDefault="00133FCF" w:rsidP="007C227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Theme="majorHAnsi" w:hAnsiTheme="majorHAnsi" w:cs="Arial"/>
          <w:sz w:val="20"/>
          <w:szCs w:val="20"/>
        </w:rPr>
      </w:pPr>
      <w:r w:rsidRPr="00957F1D">
        <w:rPr>
          <w:rFonts w:asciiTheme="majorHAnsi" w:hAnsiTheme="majorHAnsi"/>
          <w:sz w:val="20"/>
          <w:szCs w:val="20"/>
        </w:rPr>
        <w:t xml:space="preserve">Provide reparations to the family of </w:t>
      </w:r>
      <w:r w:rsidR="00957F1D" w:rsidRPr="00957F1D">
        <w:rPr>
          <w:rFonts w:asciiTheme="majorHAnsi" w:hAnsiTheme="majorHAnsi"/>
          <w:sz w:val="20"/>
          <w:szCs w:val="20"/>
        </w:rPr>
        <w:t>Gregory Thompson</w:t>
      </w:r>
      <w:r w:rsidRPr="00957F1D">
        <w:rPr>
          <w:rFonts w:asciiTheme="majorHAnsi" w:hAnsiTheme="majorHAnsi"/>
          <w:sz w:val="20"/>
          <w:szCs w:val="20"/>
        </w:rPr>
        <w:t xml:space="preserve"> as a consequence of the violations established in this report.</w:t>
      </w:r>
    </w:p>
    <w:p w14:paraId="4378E78A" w14:textId="77777777" w:rsidR="00133FCF" w:rsidRPr="0047517F" w:rsidRDefault="00133FCF" w:rsidP="007C227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jc w:val="both"/>
        <w:rPr>
          <w:rFonts w:asciiTheme="majorHAnsi" w:eastAsia="Times New Roman" w:hAnsiTheme="majorHAnsi" w:cs="Tahoma"/>
          <w:sz w:val="20"/>
          <w:szCs w:val="20"/>
          <w:highlight w:val="lightGray"/>
          <w:bdr w:val="none" w:sz="0" w:space="0" w:color="auto"/>
        </w:rPr>
      </w:pPr>
    </w:p>
    <w:p w14:paraId="10577838" w14:textId="77777777" w:rsidR="00FF40C3" w:rsidRPr="002B7EA5" w:rsidRDefault="00133FCF" w:rsidP="002B7E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Theme="majorHAnsi" w:hAnsiTheme="majorHAnsi"/>
          <w:sz w:val="20"/>
          <w:szCs w:val="20"/>
        </w:rPr>
      </w:pPr>
      <w:r w:rsidRPr="00FF40C3">
        <w:rPr>
          <w:rFonts w:asciiTheme="majorHAnsi" w:hAnsiTheme="majorHAnsi"/>
          <w:sz w:val="20"/>
          <w:szCs w:val="20"/>
        </w:rPr>
        <w:t xml:space="preserve">Review its laws, procedures, and practices </w:t>
      </w:r>
      <w:r w:rsidR="00957F1D" w:rsidRPr="002B7EA5">
        <w:rPr>
          <w:rFonts w:asciiTheme="majorHAnsi" w:hAnsiTheme="majorHAnsi"/>
          <w:sz w:val="20"/>
          <w:szCs w:val="20"/>
        </w:rPr>
        <w:t>at the state, and if applicable, at the federal level</w:t>
      </w:r>
      <w:r w:rsidRPr="00FF40C3">
        <w:rPr>
          <w:rFonts w:asciiTheme="majorHAnsi" w:hAnsiTheme="majorHAnsi"/>
          <w:sz w:val="20"/>
          <w:szCs w:val="20"/>
        </w:rPr>
        <w:t xml:space="preserve"> to ensure </w:t>
      </w:r>
      <w:r w:rsidR="00957F1D" w:rsidRPr="002B7EA5">
        <w:rPr>
          <w:rFonts w:asciiTheme="majorHAnsi" w:hAnsiTheme="majorHAnsi"/>
          <w:sz w:val="20"/>
          <w:szCs w:val="20"/>
        </w:rPr>
        <w:t>that persons accused of capital crimes are tried and, if convicted, sentenced in accordance with the rights established</w:t>
      </w:r>
      <w:r w:rsidR="00957F1D" w:rsidRPr="00FF40C3">
        <w:rPr>
          <w:rFonts w:asciiTheme="majorHAnsi" w:hAnsiTheme="majorHAnsi"/>
          <w:sz w:val="20"/>
          <w:szCs w:val="20"/>
        </w:rPr>
        <w:t xml:space="preserve"> in </w:t>
      </w:r>
      <w:r w:rsidRPr="00FF40C3">
        <w:rPr>
          <w:rFonts w:asciiTheme="majorHAnsi" w:hAnsiTheme="majorHAnsi"/>
          <w:sz w:val="20"/>
          <w:szCs w:val="20"/>
        </w:rPr>
        <w:t>the American Declaration, including Articles I, XVIII, XXV and XXVI thereof</w:t>
      </w:r>
      <w:bookmarkStart w:id="42" w:name="_ftn34"/>
      <w:bookmarkEnd w:id="42"/>
      <w:r w:rsidR="00FF40C3" w:rsidRPr="00FF40C3">
        <w:rPr>
          <w:rFonts w:asciiTheme="majorHAnsi" w:hAnsiTheme="majorHAnsi"/>
          <w:sz w:val="20"/>
          <w:szCs w:val="20"/>
        </w:rPr>
        <w:t xml:space="preserve">, and, </w:t>
      </w:r>
      <w:r w:rsidR="00FF40C3" w:rsidRPr="00FF40C3">
        <w:rPr>
          <w:rFonts w:asciiTheme="majorHAnsi" w:hAnsiTheme="majorHAnsi"/>
          <w:sz w:val="20"/>
          <w:szCs w:val="20"/>
        </w:rPr>
        <w:lastRenderedPageBreak/>
        <w:t>in particular</w:t>
      </w:r>
      <w:r w:rsidR="002B7EA5">
        <w:rPr>
          <w:rFonts w:asciiTheme="majorHAnsi" w:hAnsiTheme="majorHAnsi"/>
          <w:sz w:val="20"/>
          <w:szCs w:val="20"/>
        </w:rPr>
        <w:t>,</w:t>
      </w:r>
      <w:r w:rsidR="00FF40C3" w:rsidRPr="00FF40C3">
        <w:rPr>
          <w:rFonts w:asciiTheme="majorHAnsi" w:hAnsiTheme="majorHAnsi"/>
          <w:sz w:val="20"/>
          <w:szCs w:val="20"/>
        </w:rPr>
        <w:t xml:space="preserve"> that court-appointed </w:t>
      </w:r>
      <w:r w:rsidR="002B7EA5">
        <w:rPr>
          <w:rFonts w:asciiTheme="majorHAnsi" w:hAnsiTheme="majorHAnsi"/>
          <w:sz w:val="20"/>
          <w:szCs w:val="20"/>
        </w:rPr>
        <w:t>counse</w:t>
      </w:r>
      <w:r w:rsidR="00FF40C3" w:rsidRPr="002B7EA5">
        <w:rPr>
          <w:rFonts w:asciiTheme="majorHAnsi" w:hAnsiTheme="majorHAnsi"/>
          <w:sz w:val="20"/>
          <w:szCs w:val="20"/>
        </w:rPr>
        <w:t>l provide adequate legal representation in death penalty cases</w:t>
      </w:r>
      <w:r w:rsidR="002B7EA5">
        <w:rPr>
          <w:rFonts w:asciiTheme="majorHAnsi" w:hAnsiTheme="majorHAnsi"/>
          <w:sz w:val="20"/>
          <w:szCs w:val="20"/>
        </w:rPr>
        <w:t xml:space="preserve"> a</w:t>
      </w:r>
      <w:r w:rsidR="00FF40C3" w:rsidRPr="002B7EA5">
        <w:rPr>
          <w:rFonts w:asciiTheme="majorHAnsi" w:hAnsiTheme="majorHAnsi"/>
          <w:sz w:val="20"/>
          <w:szCs w:val="20"/>
        </w:rPr>
        <w:t>nd</w:t>
      </w:r>
      <w:r w:rsidR="002B7EA5">
        <w:rPr>
          <w:rFonts w:asciiTheme="majorHAnsi" w:hAnsiTheme="majorHAnsi"/>
          <w:sz w:val="20"/>
          <w:szCs w:val="20"/>
        </w:rPr>
        <w:t xml:space="preserve"> is trained to screen individuals for the presence of mental disabilities.</w:t>
      </w:r>
    </w:p>
    <w:p w14:paraId="06ABC314" w14:textId="77777777" w:rsidR="00133FCF" w:rsidRPr="00957F1D" w:rsidRDefault="00133FCF" w:rsidP="002B7E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jc w:val="both"/>
        <w:rPr>
          <w:rFonts w:asciiTheme="majorHAnsi" w:eastAsia="Times New Roman" w:hAnsiTheme="majorHAnsi" w:cs="Tahoma"/>
          <w:sz w:val="20"/>
          <w:szCs w:val="20"/>
          <w:bdr w:val="none" w:sz="0" w:space="0" w:color="auto"/>
        </w:rPr>
      </w:pPr>
      <w:r w:rsidRPr="00957F1D">
        <w:rPr>
          <w:rFonts w:asciiTheme="majorHAnsi" w:hAnsiTheme="majorHAnsi"/>
          <w:sz w:val="20"/>
          <w:szCs w:val="20"/>
        </w:rPr>
        <w:t xml:space="preserve"> </w:t>
      </w:r>
    </w:p>
    <w:p w14:paraId="06679BBA" w14:textId="77777777" w:rsidR="00B204E7" w:rsidRPr="00B204E7" w:rsidRDefault="00133FCF" w:rsidP="007C227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asciiTheme="majorHAnsi" w:eastAsia="Times New Roman" w:hAnsiTheme="majorHAnsi" w:cs="Tahoma"/>
          <w:sz w:val="20"/>
          <w:szCs w:val="20"/>
          <w:bdr w:val="none" w:sz="0" w:space="0" w:color="auto"/>
        </w:rPr>
      </w:pPr>
      <w:r w:rsidRPr="00957F1D">
        <w:rPr>
          <w:rFonts w:eastAsia="Times New Roman" w:cs="Tahoma"/>
          <w:sz w:val="20"/>
          <w:szCs w:val="20"/>
          <w:bdr w:val="none" w:sz="0" w:space="0" w:color="auto" w:frame="1"/>
        </w:rPr>
        <w:t xml:space="preserve">Ensure that </w:t>
      </w:r>
      <w:r w:rsidR="00957F1D" w:rsidRPr="00957F1D">
        <w:rPr>
          <w:rFonts w:eastAsia="Times New Roman" w:cs="Tahoma"/>
          <w:sz w:val="20"/>
          <w:szCs w:val="20"/>
          <w:bdr w:val="none" w:sz="0" w:space="0" w:color="auto" w:frame="1"/>
        </w:rPr>
        <w:t>the death sentence is not imposed on persons with mental disability in accordance with international human rights standards and the right of protection against cruel, infamous or unusual punishment</w:t>
      </w:r>
      <w:r w:rsidRPr="00957F1D">
        <w:rPr>
          <w:rFonts w:eastAsia="Times New Roman" w:cs="Tahoma"/>
          <w:sz w:val="20"/>
          <w:szCs w:val="20"/>
          <w:bdr w:val="none" w:sz="0" w:space="0" w:color="auto" w:frame="1"/>
        </w:rPr>
        <w:t>.</w:t>
      </w:r>
    </w:p>
    <w:p w14:paraId="4FCDF0A8" w14:textId="77777777" w:rsidR="00133FCF" w:rsidRPr="00957F1D" w:rsidRDefault="00133FCF" w:rsidP="007C227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p>
    <w:p w14:paraId="4F1F965B" w14:textId="2D7C5697" w:rsidR="009B3849" w:rsidRPr="00626DFD" w:rsidRDefault="00133FCF" w:rsidP="00626DF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720" w:hanging="360"/>
        <w:jc w:val="both"/>
        <w:rPr>
          <w:rFonts w:eastAsia="Times New Roman" w:cs="Tahoma"/>
          <w:sz w:val="20"/>
          <w:szCs w:val="20"/>
          <w:bdr w:val="none" w:sz="0" w:space="0" w:color="auto"/>
        </w:rPr>
      </w:pPr>
      <w:r w:rsidRPr="00CE5561">
        <w:rPr>
          <w:rFonts w:asciiTheme="majorHAnsi" w:hAnsiTheme="majorHAnsi"/>
          <w:sz w:val="20"/>
        </w:rPr>
        <w:t>Given the violations of the American Declaration the IACHR has established in the present</w:t>
      </w:r>
      <w:r w:rsidRPr="00CE5561">
        <w:rPr>
          <w:sz w:val="20"/>
        </w:rPr>
        <w:t xml:space="preserve"> case and in others involving application of the death penalty, the Inter-American Commission also recommends to the United States that it adopt a moratorium on executions of persons sentenced to death.</w:t>
      </w:r>
      <w:r w:rsidRPr="00957F1D">
        <w:rPr>
          <w:rStyle w:val="FootnoteReference"/>
          <w:sz w:val="20"/>
        </w:rPr>
        <w:footnoteReference w:id="96"/>
      </w:r>
    </w:p>
    <w:p w14:paraId="294ACAAB" w14:textId="77777777" w:rsidR="00626DFD" w:rsidRDefault="00626DFD" w:rsidP="00626DF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s="Tahoma"/>
          <w:sz w:val="20"/>
          <w:szCs w:val="20"/>
          <w:bdr w:val="none" w:sz="0" w:space="0" w:color="auto"/>
        </w:rPr>
      </w:pPr>
    </w:p>
    <w:p w14:paraId="354DCE2D" w14:textId="77777777" w:rsidR="00626DFD" w:rsidRPr="0027688C" w:rsidRDefault="00626DFD" w:rsidP="00626DFD">
      <w:pPr>
        <w:pStyle w:val="Heading1"/>
        <w:spacing w:before="0"/>
        <w:ind w:hanging="720"/>
        <w:rPr>
          <w:color w:val="auto"/>
          <w:sz w:val="20"/>
          <w:szCs w:val="20"/>
        </w:rPr>
      </w:pPr>
      <w:bookmarkStart w:id="43" w:name="_Toc26550945"/>
      <w:bookmarkStart w:id="44" w:name="_Toc87522018"/>
      <w:bookmarkStart w:id="45" w:name="_Toc90115138"/>
      <w:bookmarkStart w:id="46" w:name="_Toc90283317"/>
      <w:bookmarkStart w:id="47" w:name="_Toc90284151"/>
      <w:bookmarkStart w:id="48" w:name="_Toc90289385"/>
      <w:bookmarkStart w:id="49" w:name="_Toc90291524"/>
      <w:bookmarkStart w:id="50" w:name="_Toc90297889"/>
      <w:bookmarkStart w:id="51" w:name="_Toc90300531"/>
      <w:r w:rsidRPr="0027688C">
        <w:rPr>
          <w:color w:val="auto"/>
          <w:sz w:val="20"/>
          <w:szCs w:val="20"/>
        </w:rPr>
        <w:t>PUBLICATION</w:t>
      </w:r>
      <w:bookmarkEnd w:id="43"/>
      <w:bookmarkEnd w:id="44"/>
      <w:bookmarkEnd w:id="45"/>
      <w:bookmarkEnd w:id="46"/>
      <w:bookmarkEnd w:id="47"/>
      <w:bookmarkEnd w:id="48"/>
      <w:bookmarkEnd w:id="49"/>
      <w:bookmarkEnd w:id="50"/>
      <w:bookmarkEnd w:id="51"/>
    </w:p>
    <w:p w14:paraId="04EB55D7" w14:textId="77777777" w:rsidR="00626DFD" w:rsidRPr="0027688C" w:rsidRDefault="00626DFD" w:rsidP="00626DFD">
      <w:pPr>
        <w:rPr>
          <w:rFonts w:asciiTheme="majorHAnsi" w:hAnsiTheme="majorHAnsi"/>
          <w:sz w:val="20"/>
          <w:szCs w:val="20"/>
        </w:rPr>
      </w:pPr>
    </w:p>
    <w:p w14:paraId="5348C324" w14:textId="77777777" w:rsidR="00626DFD" w:rsidRPr="0027688C" w:rsidRDefault="00626DFD" w:rsidP="00626D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num" w:pos="720"/>
          <w:tab w:val="left" w:pos="1440"/>
        </w:tabs>
        <w:ind w:left="0" w:firstLine="0"/>
        <w:jc w:val="both"/>
        <w:rPr>
          <w:rFonts w:ascii="Cambria" w:eastAsia="Times New Roman" w:hAnsi="Cambria"/>
          <w:sz w:val="20"/>
          <w:szCs w:val="20"/>
        </w:rPr>
      </w:pPr>
      <w:r w:rsidRPr="0027688C">
        <w:rPr>
          <w:rFonts w:asciiTheme="majorHAnsi" w:hAnsiTheme="majorHAnsi"/>
          <w:color w:val="000000" w:themeColor="text1"/>
          <w:sz w:val="20"/>
          <w:szCs w:val="20"/>
        </w:rPr>
        <w:t>In</w:t>
      </w:r>
      <w:r w:rsidRPr="0027688C">
        <w:rPr>
          <w:rFonts w:ascii="Cambria" w:eastAsia="Times New Roman" w:hAnsi="Cambria"/>
          <w:sz w:val="20"/>
          <w:szCs w:val="20"/>
        </w:rPr>
        <w:t xml:space="preserve">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the United States with respect to the above recommendations until it determines there has been full compliance. </w:t>
      </w:r>
    </w:p>
    <w:p w14:paraId="41CF355D" w14:textId="4C3358B2" w:rsidR="00245B37" w:rsidRDefault="00245B37" w:rsidP="002D0C9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rPr>
      </w:pPr>
    </w:p>
    <w:p w14:paraId="3CFAF1C4" w14:textId="77777777" w:rsidR="00C151E8" w:rsidRPr="00A525CC" w:rsidRDefault="00C151E8" w:rsidP="00171CD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r w:rsidRPr="00A525CC">
        <w:rPr>
          <w:rFonts w:asciiTheme="majorHAnsi" w:eastAsia="Times New Roman" w:hAnsiTheme="majorHAnsi"/>
          <w:sz w:val="20"/>
          <w:szCs w:val="20"/>
        </w:rPr>
        <w:t xml:space="preserve">Approved by the Inter-American Commission on Human Rights on the </w:t>
      </w:r>
      <w:r>
        <w:rPr>
          <w:rFonts w:asciiTheme="majorHAnsi" w:eastAsia="Times New Roman" w:hAnsiTheme="majorHAnsi"/>
          <w:sz w:val="20"/>
          <w:szCs w:val="20"/>
        </w:rPr>
        <w:t>31st</w:t>
      </w:r>
      <w:r w:rsidRPr="00A525CC">
        <w:rPr>
          <w:rFonts w:asciiTheme="majorHAnsi" w:eastAsia="Times New Roman" w:hAnsiTheme="majorHAnsi"/>
          <w:sz w:val="20"/>
          <w:szCs w:val="20"/>
        </w:rPr>
        <w:t xml:space="preserve"> day of </w:t>
      </w:r>
      <w:r>
        <w:rPr>
          <w:rFonts w:asciiTheme="majorHAnsi" w:eastAsia="Times New Roman" w:hAnsiTheme="majorHAnsi"/>
          <w:sz w:val="20"/>
          <w:szCs w:val="20"/>
        </w:rPr>
        <w:t>December</w:t>
      </w:r>
      <w:r w:rsidRPr="00A525CC">
        <w:rPr>
          <w:rFonts w:asciiTheme="majorHAnsi" w:eastAsia="Times New Roman" w:hAnsiTheme="majorHAnsi"/>
          <w:sz w:val="20"/>
          <w:szCs w:val="20"/>
        </w:rPr>
        <w:t xml:space="preserve"> 2021. (Signed):</w:t>
      </w:r>
      <w:r>
        <w:rPr>
          <w:rFonts w:asciiTheme="majorHAnsi" w:eastAsia="Times New Roman" w:hAnsiTheme="majorHAnsi"/>
        </w:rPr>
        <w:t xml:space="preserve"> </w:t>
      </w:r>
      <w:r w:rsidRPr="00A525CC">
        <w:rPr>
          <w:rFonts w:asciiTheme="majorHAnsi" w:eastAsia="Times New Roman" w:hAnsiTheme="majorHAnsi"/>
          <w:sz w:val="20"/>
          <w:szCs w:val="20"/>
        </w:rPr>
        <w:t xml:space="preserve">Antonia Urrejola </w:t>
      </w:r>
      <w:proofErr w:type="spellStart"/>
      <w:r w:rsidRPr="00A525CC">
        <w:rPr>
          <w:rFonts w:asciiTheme="majorHAnsi" w:eastAsia="Times New Roman" w:hAnsiTheme="majorHAnsi"/>
          <w:sz w:val="20"/>
          <w:szCs w:val="20"/>
        </w:rPr>
        <w:t>Noguera</w:t>
      </w:r>
      <w:proofErr w:type="spellEnd"/>
      <w:r w:rsidRPr="00A525CC">
        <w:rPr>
          <w:rFonts w:asciiTheme="majorHAnsi" w:eastAsia="Times New Roman" w:hAnsiTheme="majorHAnsi"/>
          <w:sz w:val="20"/>
          <w:szCs w:val="20"/>
        </w:rPr>
        <w:t>, President; Julissa Mantilla Falcón,</w:t>
      </w:r>
      <w:r>
        <w:rPr>
          <w:rFonts w:asciiTheme="majorHAnsi" w:eastAsia="Times New Roman" w:hAnsiTheme="majorHAnsi"/>
        </w:rPr>
        <w:t xml:space="preserve"> </w:t>
      </w:r>
      <w:r w:rsidRPr="00A525CC">
        <w:rPr>
          <w:rFonts w:asciiTheme="majorHAnsi" w:eastAsia="Times New Roman" w:hAnsiTheme="majorHAnsi"/>
          <w:sz w:val="20"/>
          <w:szCs w:val="20"/>
        </w:rPr>
        <w:t>First Vice President;</w:t>
      </w:r>
      <w:r>
        <w:rPr>
          <w:rFonts w:asciiTheme="majorHAnsi" w:eastAsia="Times New Roman" w:hAnsiTheme="majorHAnsi"/>
        </w:rPr>
        <w:t xml:space="preserve"> </w:t>
      </w:r>
      <w:proofErr w:type="spellStart"/>
      <w:r w:rsidRPr="00A525CC">
        <w:rPr>
          <w:rFonts w:asciiTheme="majorHAnsi" w:eastAsia="Times New Roman" w:hAnsiTheme="majorHAnsi"/>
          <w:sz w:val="20"/>
          <w:szCs w:val="20"/>
        </w:rPr>
        <w:t>Flávia</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Piovesan</w:t>
      </w:r>
      <w:proofErr w:type="spellEnd"/>
      <w:r w:rsidRPr="00A525CC">
        <w:rPr>
          <w:rFonts w:asciiTheme="majorHAnsi" w:eastAsia="Times New Roman" w:hAnsiTheme="majorHAnsi"/>
          <w:sz w:val="20"/>
          <w:szCs w:val="20"/>
        </w:rPr>
        <w:t>, Second Vice President; Margarette May Macaulay,</w:t>
      </w:r>
      <w:r>
        <w:rPr>
          <w:rFonts w:asciiTheme="majorHAnsi" w:eastAsia="Times New Roman" w:hAnsiTheme="majorHAnsi"/>
        </w:rPr>
        <w:t xml:space="preserve"> </w:t>
      </w:r>
      <w:r w:rsidRPr="00A525CC">
        <w:rPr>
          <w:rFonts w:asciiTheme="majorHAnsi" w:eastAsia="Times New Roman" w:hAnsiTheme="majorHAnsi"/>
          <w:sz w:val="20"/>
          <w:szCs w:val="20"/>
        </w:rPr>
        <w:t xml:space="preserve">Esmeralda E. </w:t>
      </w:r>
      <w:proofErr w:type="spellStart"/>
      <w:r w:rsidRPr="00A525CC">
        <w:rPr>
          <w:rFonts w:asciiTheme="majorHAnsi" w:eastAsia="Times New Roman" w:hAnsiTheme="majorHAnsi"/>
          <w:sz w:val="20"/>
          <w:szCs w:val="20"/>
        </w:rPr>
        <w:t>Arosemena</w:t>
      </w:r>
      <w:proofErr w:type="spellEnd"/>
      <w:r w:rsidRPr="00A525CC">
        <w:rPr>
          <w:rFonts w:asciiTheme="majorHAnsi" w:eastAsia="Times New Roman" w:hAnsiTheme="majorHAnsi"/>
          <w:sz w:val="20"/>
          <w:szCs w:val="20"/>
        </w:rPr>
        <w:t xml:space="preserve"> Bernal de </w:t>
      </w:r>
      <w:proofErr w:type="spellStart"/>
      <w:r w:rsidRPr="00A525CC">
        <w:rPr>
          <w:rFonts w:asciiTheme="majorHAnsi" w:eastAsia="Times New Roman" w:hAnsiTheme="majorHAnsi"/>
          <w:sz w:val="20"/>
          <w:szCs w:val="20"/>
        </w:rPr>
        <w:t>Troitiño</w:t>
      </w:r>
      <w:proofErr w:type="spellEnd"/>
      <w:r>
        <w:rPr>
          <w:rFonts w:asciiTheme="majorHAnsi" w:eastAsia="Times New Roman" w:hAnsiTheme="majorHAnsi"/>
          <w:sz w:val="20"/>
          <w:szCs w:val="20"/>
        </w:rPr>
        <w:t xml:space="preserve">, Joel Hernández García </w:t>
      </w:r>
      <w:r w:rsidRPr="00A525CC">
        <w:rPr>
          <w:rFonts w:asciiTheme="majorHAnsi" w:eastAsia="Times New Roman" w:hAnsiTheme="majorHAnsi"/>
          <w:sz w:val="20"/>
          <w:szCs w:val="20"/>
        </w:rPr>
        <w:t>and</w:t>
      </w:r>
      <w:r>
        <w:rPr>
          <w:rFonts w:asciiTheme="majorHAnsi" w:eastAsia="Times New Roman" w:hAnsiTheme="majorHAnsi"/>
        </w:rPr>
        <w:t xml:space="preserve"> </w:t>
      </w:r>
      <w:r w:rsidRPr="00A525CC">
        <w:rPr>
          <w:rFonts w:asciiTheme="majorHAnsi" w:eastAsia="Times New Roman" w:hAnsiTheme="majorHAnsi"/>
          <w:sz w:val="20"/>
          <w:szCs w:val="20"/>
        </w:rPr>
        <w:t xml:space="preserve">Edgar </w:t>
      </w:r>
      <w:proofErr w:type="spellStart"/>
      <w:r w:rsidRPr="00A525CC">
        <w:rPr>
          <w:rFonts w:asciiTheme="majorHAnsi" w:eastAsia="Times New Roman" w:hAnsiTheme="majorHAnsi"/>
          <w:sz w:val="20"/>
          <w:szCs w:val="20"/>
        </w:rPr>
        <w:t>Stuardo</w:t>
      </w:r>
      <w:proofErr w:type="spellEnd"/>
      <w:r w:rsidRPr="00A525CC">
        <w:rPr>
          <w:rFonts w:asciiTheme="majorHAnsi" w:eastAsia="Times New Roman" w:hAnsiTheme="majorHAnsi"/>
          <w:sz w:val="20"/>
          <w:szCs w:val="20"/>
        </w:rPr>
        <w:t xml:space="preserve"> </w:t>
      </w:r>
      <w:proofErr w:type="spellStart"/>
      <w:r w:rsidRPr="00A525CC">
        <w:rPr>
          <w:rFonts w:asciiTheme="majorHAnsi" w:eastAsia="Times New Roman" w:hAnsiTheme="majorHAnsi"/>
          <w:sz w:val="20"/>
          <w:szCs w:val="20"/>
        </w:rPr>
        <w:t>Ralón</w:t>
      </w:r>
      <w:proofErr w:type="spellEnd"/>
      <w:r w:rsidRPr="00A525CC">
        <w:rPr>
          <w:rFonts w:asciiTheme="majorHAnsi" w:eastAsia="Times New Roman" w:hAnsiTheme="majorHAnsi"/>
          <w:sz w:val="20"/>
          <w:szCs w:val="20"/>
        </w:rPr>
        <w:t xml:space="preserve"> Orellana, Commissioners.</w:t>
      </w:r>
    </w:p>
    <w:p w14:paraId="0219BC88" w14:textId="77777777" w:rsidR="00C151E8" w:rsidRPr="00A525CC" w:rsidRDefault="00C151E8" w:rsidP="00C151E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rPr>
      </w:pPr>
    </w:p>
    <w:sectPr w:rsidR="00C151E8" w:rsidRPr="00A525CC"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419E" w14:textId="77777777" w:rsidR="009B4D4E" w:rsidRDefault="009B4D4E" w:rsidP="00036A8A">
      <w:r>
        <w:separator/>
      </w:r>
    </w:p>
  </w:endnote>
  <w:endnote w:type="continuationSeparator" w:id="0">
    <w:p w14:paraId="4D13728E" w14:textId="77777777" w:rsidR="009B4D4E" w:rsidRDefault="009B4D4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8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NPBOL+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TE27CA0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24E42F9D" w14:textId="77777777" w:rsidR="00EC21F7" w:rsidRPr="006311DA" w:rsidRDefault="00EC21F7">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Pr>
            <w:noProof/>
            <w:sz w:val="16"/>
          </w:rPr>
          <w:t>20</w:t>
        </w:r>
        <w:r>
          <w:rPr>
            <w:noProof/>
            <w:sz w:val="16"/>
          </w:rPr>
          <w:fldChar w:fldCharType="end"/>
        </w:r>
      </w:p>
    </w:sdtContent>
  </w:sdt>
  <w:p w14:paraId="61035FF1" w14:textId="77777777" w:rsidR="00EC21F7" w:rsidRDefault="00EC2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E0D5" w14:textId="77777777" w:rsidR="00EC21F7" w:rsidRDefault="00EC21F7">
    <w:pPr>
      <w:pStyle w:val="Footer"/>
      <w:jc w:val="center"/>
    </w:pPr>
  </w:p>
  <w:p w14:paraId="021A290B" w14:textId="77777777" w:rsidR="00EC21F7" w:rsidRDefault="00EC21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1EA53645" w14:textId="77777777" w:rsidR="00EC21F7" w:rsidRDefault="00EC21F7">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31FC70A" w14:textId="77777777" w:rsidR="00EC21F7" w:rsidRDefault="00EC2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2BA9" w14:textId="77777777" w:rsidR="009B4D4E" w:rsidRPr="00036A8A" w:rsidRDefault="009B4D4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C58CF98" w14:textId="77777777" w:rsidR="009B4D4E" w:rsidRPr="00036A8A" w:rsidRDefault="009B4D4E" w:rsidP="00036A8A">
      <w:pPr>
        <w:rPr>
          <w:rFonts w:asciiTheme="majorHAnsi" w:hAnsiTheme="majorHAnsi"/>
          <w:sz w:val="16"/>
          <w:szCs w:val="16"/>
        </w:rPr>
      </w:pPr>
      <w:r w:rsidRPr="00036A8A">
        <w:rPr>
          <w:rFonts w:asciiTheme="majorHAnsi" w:hAnsiTheme="majorHAnsi"/>
          <w:sz w:val="16"/>
          <w:szCs w:val="16"/>
        </w:rPr>
        <w:separator/>
      </w:r>
    </w:p>
    <w:p w14:paraId="6620B75C" w14:textId="77777777" w:rsidR="009B4D4E" w:rsidRPr="00036A8A" w:rsidRDefault="009B4D4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02B387" w14:textId="77777777" w:rsidR="009B4D4E" w:rsidRPr="0093441A" w:rsidRDefault="009B4D4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50FECAE"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On March 31, 2004, the IACHR granted precautionary measures on behalf of Gregory Thompson pursuant to Article 25(1) of its Rules of Procedure and requested the United States to take the measures necessary to preserve his life and physical integrity so as not to hinder the processing of his case before the Inter-American system.</w:t>
      </w:r>
    </w:p>
  </w:footnote>
  <w:footnote w:id="3">
    <w:p w14:paraId="7EF7D182"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rPr>
        <w:footnoteRef/>
      </w:r>
      <w:r w:rsidRPr="0010059B">
        <w:rPr>
          <w:rFonts w:asciiTheme="majorHAnsi" w:hAnsiTheme="majorHAnsi"/>
          <w:sz w:val="16"/>
        </w:rPr>
        <w:t xml:space="preserve"> </w:t>
      </w:r>
      <w:r w:rsidRPr="0010059B">
        <w:rPr>
          <w:rFonts w:asciiTheme="majorHAnsi" w:hAnsiTheme="majorHAnsi"/>
          <w:sz w:val="16"/>
          <w:szCs w:val="16"/>
        </w:rPr>
        <w:t>IACHR. Report No. 132/11. Petition P-194-04. Admissibility. Gregory Thompson. United States. October 19, 2011.</w:t>
      </w:r>
    </w:p>
  </w:footnote>
  <w:footnote w:id="4">
    <w:p w14:paraId="042D63A3"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5">
    <w:p w14:paraId="5C541DFC"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6">
    <w:p w14:paraId="220F281D"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7">
    <w:p w14:paraId="3A8292AA"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8">
    <w:p w14:paraId="3E414B17"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9">
    <w:p w14:paraId="69EA8832"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10">
    <w:p w14:paraId="6577D402"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11">
    <w:p w14:paraId="410D3581"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12">
    <w:p w14:paraId="32CA7B78"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v Thompson, 768 S.W.2d 239 (1989).</w:t>
      </w:r>
    </w:p>
  </w:footnote>
  <w:footnote w:id="13">
    <w:p w14:paraId="1CEF69C3" w14:textId="77777777" w:rsidR="00EC21F7" w:rsidRPr="0010059B" w:rsidRDefault="00EC21F7" w:rsidP="00505B8A">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Tennessee, 497 U.S. 1031 (1990), as quoted in Gregory Thompson v State of Tennessee, No. MI987-00067-SC-DPE-DD, April 8, 2004.</w:t>
      </w:r>
    </w:p>
  </w:footnote>
  <w:footnote w:id="14">
    <w:p w14:paraId="27B9160A" w14:textId="77777777" w:rsidR="00EC21F7" w:rsidRPr="0010059B" w:rsidRDefault="00EC21F7" w:rsidP="0010059B">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Bell. 315 F.3d 566 (2003).</w:t>
      </w:r>
    </w:p>
  </w:footnote>
  <w:footnote w:id="15">
    <w:p w14:paraId="028F39F4" w14:textId="77777777" w:rsidR="00EC21F7" w:rsidRPr="0010059B" w:rsidRDefault="00EC21F7" w:rsidP="0010059B">
      <w:pPr>
        <w:pStyle w:val="FootnoteText"/>
        <w:jc w:val="both"/>
        <w:rPr>
          <w:rStyle w:val="FootnoteReference"/>
          <w:rFonts w:ascii="Times New Roman" w:eastAsia="Arial Unicode MS" w:hAnsi="Times New Roman"/>
          <w:color w:val="auto"/>
          <w:lang w:eastAsia="en-US"/>
        </w:rPr>
      </w:pPr>
      <w:r w:rsidRPr="0010059B">
        <w:rPr>
          <w:rStyle w:val="FootnoteReference"/>
          <w:rFonts w:asciiTheme="majorHAnsi" w:hAnsiTheme="majorHAnsi"/>
          <w:sz w:val="16"/>
          <w:szCs w:val="16"/>
        </w:rPr>
        <w:footnoteRef/>
      </w:r>
      <w:r w:rsidRPr="0010059B">
        <w:rPr>
          <w:rStyle w:val="FootnoteReference"/>
          <w:rFonts w:asciiTheme="majorHAnsi" w:hAnsiTheme="majorHAnsi"/>
          <w:sz w:val="16"/>
          <w:szCs w:val="16"/>
        </w:rPr>
        <w:t xml:space="preserve"> </w:t>
      </w:r>
      <w:r w:rsidRPr="0010059B">
        <w:rPr>
          <w:rFonts w:asciiTheme="majorHAnsi" w:hAnsiTheme="majorHAnsi"/>
          <w:sz w:val="16"/>
          <w:szCs w:val="16"/>
        </w:rPr>
        <w:t>Thompson v. Bell. 315 F.3d 566 (2003).</w:t>
      </w:r>
    </w:p>
  </w:footnote>
  <w:footnote w:id="16">
    <w:p w14:paraId="4BAF0195" w14:textId="77777777" w:rsidR="00EC21F7" w:rsidRPr="0010059B" w:rsidRDefault="00EC21F7" w:rsidP="0010059B">
      <w:pPr>
        <w:pStyle w:val="FootnoteText"/>
      </w:pPr>
      <w:r w:rsidRPr="0010059B">
        <w:rPr>
          <w:rStyle w:val="FootnoteReference"/>
          <w:rFonts w:asciiTheme="majorHAnsi" w:hAnsiTheme="majorHAnsi"/>
          <w:sz w:val="16"/>
          <w:szCs w:val="16"/>
        </w:rPr>
        <w:footnoteRef/>
      </w:r>
      <w:r w:rsidRPr="0010059B">
        <w:rPr>
          <w:rStyle w:val="FootnoteReference"/>
          <w:rFonts w:asciiTheme="majorHAnsi" w:hAnsiTheme="majorHAnsi"/>
          <w:sz w:val="16"/>
          <w:szCs w:val="16"/>
        </w:rPr>
        <w:t xml:space="preserve"> </w:t>
      </w:r>
      <w:r w:rsidRPr="0010059B">
        <w:rPr>
          <w:rFonts w:asciiTheme="majorHAnsi" w:hAnsiTheme="majorHAnsi"/>
          <w:sz w:val="16"/>
          <w:szCs w:val="16"/>
        </w:rPr>
        <w:t>Thompson v. Bell. 315 F.3d 566 (2003).</w:t>
      </w:r>
    </w:p>
  </w:footnote>
  <w:footnote w:id="17">
    <w:p w14:paraId="13DC96F6"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State, 958 S.W.2d 156 (Tenn.Crim.App.1997).</w:t>
      </w:r>
    </w:p>
  </w:footnote>
  <w:footnote w:id="18">
    <w:p w14:paraId="10982014"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t xml:space="preserve"> </w:t>
      </w:r>
      <w:r w:rsidRPr="0010059B">
        <w:rPr>
          <w:rFonts w:asciiTheme="majorHAnsi" w:hAnsiTheme="majorHAnsi"/>
          <w:sz w:val="16"/>
          <w:szCs w:val="16"/>
        </w:rPr>
        <w:t>Thompson v. State, 958 S.W.2d 156 (Tenn.Crim.App.1997).</w:t>
      </w:r>
    </w:p>
  </w:footnote>
  <w:footnote w:id="19">
    <w:p w14:paraId="37136866"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rPr>
          <w:rStyle w:val="FootnoteReference"/>
          <w:rFonts w:asciiTheme="majorHAnsi" w:hAnsiTheme="majorHAnsi"/>
          <w:sz w:val="16"/>
          <w:szCs w:val="16"/>
        </w:rPr>
        <w:t xml:space="preserve"> </w:t>
      </w:r>
      <w:r w:rsidRPr="0010059B">
        <w:rPr>
          <w:rFonts w:asciiTheme="majorHAnsi" w:hAnsiTheme="majorHAnsi"/>
          <w:sz w:val="16"/>
          <w:szCs w:val="16"/>
        </w:rPr>
        <w:t>Thompson v. State, 958 S.W.2d 156 (Tenn.Crim.App.1997).</w:t>
      </w:r>
    </w:p>
  </w:footnote>
  <w:footnote w:id="20">
    <w:p w14:paraId="7E98CF51" w14:textId="77777777" w:rsidR="00EC21F7" w:rsidRPr="0010059B" w:rsidRDefault="00EC21F7">
      <w:pPr>
        <w:pStyle w:val="FootnoteText"/>
      </w:pPr>
      <w:r w:rsidRPr="0010059B">
        <w:rPr>
          <w:rStyle w:val="FootnoteReference"/>
          <w:rFonts w:asciiTheme="majorHAnsi" w:hAnsiTheme="majorHAnsi"/>
          <w:sz w:val="16"/>
          <w:szCs w:val="16"/>
        </w:rPr>
        <w:footnoteRef/>
      </w:r>
      <w:r w:rsidRPr="0010059B">
        <w:rPr>
          <w:rStyle w:val="FootnoteReference"/>
          <w:rFonts w:asciiTheme="majorHAnsi" w:hAnsiTheme="majorHAnsi"/>
          <w:sz w:val="16"/>
          <w:szCs w:val="16"/>
        </w:rPr>
        <w:t xml:space="preserve"> </w:t>
      </w:r>
      <w:r w:rsidRPr="0010059B">
        <w:rPr>
          <w:rFonts w:asciiTheme="majorHAnsi" w:hAnsiTheme="majorHAnsi"/>
          <w:sz w:val="16"/>
          <w:szCs w:val="16"/>
        </w:rPr>
        <w:t>Thompson v. State, 958 S.W.2d 156 (Tenn.Crim.App.1997).</w:t>
      </w:r>
    </w:p>
  </w:footnote>
  <w:footnote w:id="21">
    <w:p w14:paraId="47565474" w14:textId="77777777" w:rsidR="00EC21F7" w:rsidRPr="0010059B" w:rsidRDefault="00EC21F7" w:rsidP="0010059B">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response submitted June 24, 2004.</w:t>
      </w:r>
    </w:p>
  </w:footnote>
  <w:footnote w:id="22">
    <w:p w14:paraId="55F2D40F"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Bell Nos. 06-5744/5770, United States Court of Appeals for the Sixth Circuit, September 11, 2009, ‘Background’; Thompson v. Bell, 373 F.3d 688, 692 (6</w:t>
      </w:r>
      <w:r w:rsidRPr="0010059B">
        <w:rPr>
          <w:rFonts w:asciiTheme="majorHAnsi" w:hAnsiTheme="majorHAnsi"/>
          <w:sz w:val="16"/>
          <w:szCs w:val="16"/>
          <w:vertAlign w:val="superscript"/>
        </w:rPr>
        <w:t>th</w:t>
      </w:r>
      <w:r w:rsidRPr="0010059B">
        <w:rPr>
          <w:rFonts w:asciiTheme="majorHAnsi" w:hAnsiTheme="majorHAnsi"/>
          <w:sz w:val="16"/>
          <w:szCs w:val="16"/>
        </w:rPr>
        <w:t xml:space="preserve"> Cir. 2004).</w:t>
      </w:r>
    </w:p>
  </w:footnote>
  <w:footnote w:id="23">
    <w:p w14:paraId="5FBE2F32"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Gregory Thompson v State of Tennessee, No. MI987-00067-SC-DPE-DD, April 8, 2004.</w:t>
      </w:r>
    </w:p>
  </w:footnote>
  <w:footnote w:id="24">
    <w:p w14:paraId="1E2572A6" w14:textId="77777777" w:rsidR="00EC21F7" w:rsidRPr="0010059B" w:rsidRDefault="00EC21F7" w:rsidP="00AE6157">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w:t>
      </w:r>
      <w:r w:rsidRPr="0010059B">
        <w:rPr>
          <w:rFonts w:asciiTheme="majorHAnsi" w:hAnsiTheme="majorHAnsi"/>
          <w:sz w:val="16"/>
          <w:szCs w:val="16"/>
        </w:rPr>
        <w:t>Gregory Thompson v State of Tennessee, No. MI987-00067-SC-DPE-DD, April 8, 2004</w:t>
      </w:r>
      <w:r w:rsidRPr="0010059B">
        <w:rPr>
          <w:rFonts w:asciiTheme="majorHAnsi" w:hAnsiTheme="majorHAnsi" w:cstheme="minorHAnsi"/>
          <w:sz w:val="16"/>
          <w:szCs w:val="16"/>
        </w:rPr>
        <w:t>.</w:t>
      </w:r>
    </w:p>
  </w:footnote>
  <w:footnote w:id="25">
    <w:p w14:paraId="1DAC09D9" w14:textId="77777777" w:rsidR="00EC21F7" w:rsidRPr="0010059B" w:rsidRDefault="00EC21F7" w:rsidP="00AE6157">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Bell Nos. 06-5744/5770, United States Court of Appeals for the Sixth Circuit, September 11, 2009, ‘Thompson’s Incompetency Petition’.</w:t>
      </w:r>
    </w:p>
  </w:footnote>
  <w:footnote w:id="26">
    <w:p w14:paraId="6C027E81" w14:textId="77777777" w:rsidR="00EC21F7" w:rsidRPr="0010059B" w:rsidRDefault="00EC21F7" w:rsidP="00AE6157">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Bell Nos. 06-5744/5770, United States Court of Appeals for the Sixth Circuit, September 11, 2009, ‘Thompson’s Incompetency Petition’.</w:t>
      </w:r>
    </w:p>
  </w:footnote>
  <w:footnote w:id="27">
    <w:p w14:paraId="36BC0F4E" w14:textId="77777777" w:rsidR="00EC21F7" w:rsidRPr="0010059B" w:rsidRDefault="00EC21F7" w:rsidP="00AE6157">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Bell Nos. 06-5744/5770, United States Court of Appeals for the Sixth Circuit, September 11, 2009, ‘Thompson’s Incompetency Petition’.</w:t>
      </w:r>
    </w:p>
  </w:footnote>
  <w:footnote w:id="28">
    <w:p w14:paraId="67A3E14D" w14:textId="77777777" w:rsidR="00EC21F7" w:rsidRPr="0010059B" w:rsidRDefault="00EC21F7" w:rsidP="00AE6157">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Bell Nos. 06-5744/5770, United States Court of Appeals for the Sixth Circuit, September 11, 2009, ‘Thompson’s Incompetency Petition’.</w:t>
      </w:r>
    </w:p>
  </w:footnote>
  <w:footnote w:id="29">
    <w:p w14:paraId="15072922" w14:textId="77777777" w:rsidR="00EC21F7" w:rsidRPr="0010059B" w:rsidRDefault="00EC21F7" w:rsidP="00D014AE">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Declaration of Michael B. First, clinical psychiatrist, licensed to practice in the State of New York.</w:t>
      </w:r>
    </w:p>
  </w:footnote>
  <w:footnote w:id="30">
    <w:p w14:paraId="4EC1AEE1" w14:textId="77777777" w:rsidR="00EC21F7" w:rsidRPr="0010059B" w:rsidRDefault="00EC21F7" w:rsidP="00AE6157">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Bell Nos. 06-5744/5770, United States Court of Appeals for the Sixth Circuit, September 11, 2009, ‘Thompson’s Incompetency Petition’.</w:t>
      </w:r>
    </w:p>
  </w:footnote>
  <w:footnote w:id="31">
    <w:p w14:paraId="775ECA0C" w14:textId="77777777" w:rsidR="00EC21F7" w:rsidRPr="0010059B" w:rsidRDefault="00EC21F7">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w:t>
      </w:r>
      <w:r w:rsidRPr="0010059B">
        <w:rPr>
          <w:rFonts w:asciiTheme="majorHAnsi" w:hAnsiTheme="majorHAnsi" w:cstheme="minorHAnsi"/>
          <w:sz w:val="16"/>
          <w:szCs w:val="16"/>
        </w:rPr>
        <w:t>Thompson v State 134 S.W.3d 168, 179 (Tenn. 2004). Exhibit of petitioner’s submission of May 20, 2004.</w:t>
      </w:r>
    </w:p>
  </w:footnote>
  <w:footnote w:id="32">
    <w:p w14:paraId="0A7A262C" w14:textId="77777777" w:rsidR="00EC21F7" w:rsidRPr="0010059B" w:rsidRDefault="00EC21F7" w:rsidP="001C65B1">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The Tennessee Supreme Court cited Garza, 253 F.3d; Roach v. Aiken, 781 F.2d 379; 380 (4</w:t>
      </w:r>
      <w:r w:rsidRPr="0010059B">
        <w:rPr>
          <w:rFonts w:asciiTheme="majorHAnsi" w:hAnsiTheme="majorHAnsi"/>
          <w:sz w:val="16"/>
          <w:szCs w:val="16"/>
          <w:vertAlign w:val="superscript"/>
        </w:rPr>
        <w:t>th</w:t>
      </w:r>
      <w:r w:rsidRPr="0010059B">
        <w:rPr>
          <w:rFonts w:asciiTheme="majorHAnsi" w:hAnsiTheme="majorHAnsi"/>
          <w:sz w:val="16"/>
          <w:szCs w:val="16"/>
        </w:rPr>
        <w:t xml:space="preserve"> Cir. 1986), Jamison v. Collins, 100 F. Supp. 2d 647, 766 (S.D. Ohio 2000); Philip R. Workman v. State, No. M1999-1334-SC-DPE-PD, Order (Tenn. Filed Mar. 29, 2001); and Workman v. Sundquist, 135 F. Supp. 2d 871, 872 (M.D. Tenn 2001).</w:t>
      </w:r>
    </w:p>
  </w:footnote>
  <w:footnote w:id="33">
    <w:p w14:paraId="0B172A8C" w14:textId="77777777" w:rsidR="00EC21F7" w:rsidRPr="0010059B" w:rsidRDefault="00EC21F7" w:rsidP="001C65B1">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w:t>
      </w:r>
      <w:r w:rsidRPr="0010059B">
        <w:rPr>
          <w:rFonts w:asciiTheme="majorHAnsi" w:hAnsiTheme="majorHAnsi" w:cstheme="minorHAnsi"/>
          <w:sz w:val="16"/>
          <w:szCs w:val="16"/>
        </w:rPr>
        <w:t>Thompson v State 134 S.W.3d 168, 179 (Tenn. 2004). Exhibit of petitioner’s submission of May 20, 2004.</w:t>
      </w:r>
    </w:p>
  </w:footnote>
  <w:footnote w:id="34">
    <w:p w14:paraId="12C7F80E" w14:textId="77777777" w:rsidR="00EC21F7" w:rsidRPr="0010059B" w:rsidRDefault="00EC21F7" w:rsidP="001C65B1">
      <w:pPr>
        <w:pStyle w:val="FootnoteText"/>
        <w:jc w:val="both"/>
        <w:rPr>
          <w:rFonts w:asciiTheme="majorHAnsi" w:hAnsiTheme="majorHAnsi" w:cstheme="min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State 134 S.W.3d 168, 179 (Tenn. 2004). Exhibit of petitioner’s submission of May 20, 2004. </w:t>
      </w:r>
    </w:p>
  </w:footnote>
  <w:footnote w:id="35">
    <w:p w14:paraId="1C83F799" w14:textId="77777777" w:rsidR="00EC21F7" w:rsidRPr="0010059B" w:rsidRDefault="00EC21F7" w:rsidP="001C65B1">
      <w:pPr>
        <w:jc w:val="both"/>
        <w:rPr>
          <w:rFonts w:asciiTheme="majorHAnsi" w:hAnsiTheme="majorHAnsi"/>
          <w:sz w:val="16"/>
          <w:szCs w:val="16"/>
        </w:rPr>
      </w:pPr>
      <w:r w:rsidRPr="0010059B">
        <w:rPr>
          <w:rStyle w:val="FootnoteReference"/>
          <w:rFonts w:asciiTheme="majorHAnsi" w:hAnsiTheme="majorHAnsi" w:cstheme="minorHAnsi"/>
          <w:sz w:val="16"/>
          <w:szCs w:val="16"/>
        </w:rPr>
        <w:footnoteRef/>
      </w:r>
      <w:r w:rsidRPr="0010059B">
        <w:rPr>
          <w:rFonts w:asciiTheme="majorHAnsi" w:hAnsiTheme="majorHAnsi" w:cstheme="minorHAnsi"/>
          <w:sz w:val="16"/>
          <w:szCs w:val="16"/>
        </w:rPr>
        <w:t xml:space="preserve"> Thompson v Bell Nos. 06-5744/5770, United States Court</w:t>
      </w:r>
      <w:r w:rsidRPr="0010059B">
        <w:rPr>
          <w:rFonts w:asciiTheme="majorHAnsi" w:hAnsiTheme="majorHAnsi"/>
          <w:sz w:val="16"/>
          <w:szCs w:val="16"/>
        </w:rPr>
        <w:t xml:space="preserve"> of Appeals for the Sixth Circuit, September 11, 2009.</w:t>
      </w:r>
    </w:p>
  </w:footnote>
  <w:footnote w:id="36">
    <w:p w14:paraId="0DBE5924" w14:textId="77777777" w:rsidR="00EC21F7" w:rsidRPr="0010059B" w:rsidRDefault="00EC21F7" w:rsidP="00E3227C">
      <w:pPr>
        <w:pStyle w:val="FootnoteText"/>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Bell, 373 F.3d 688, 692 (6</w:t>
      </w:r>
      <w:r w:rsidRPr="0010059B">
        <w:rPr>
          <w:rFonts w:asciiTheme="majorHAnsi" w:hAnsiTheme="majorHAnsi"/>
          <w:sz w:val="16"/>
          <w:szCs w:val="16"/>
          <w:vertAlign w:val="superscript"/>
        </w:rPr>
        <w:t>th</w:t>
      </w:r>
      <w:r w:rsidRPr="0010059B">
        <w:rPr>
          <w:rFonts w:asciiTheme="majorHAnsi" w:hAnsiTheme="majorHAnsi"/>
          <w:sz w:val="16"/>
          <w:szCs w:val="16"/>
        </w:rPr>
        <w:t xml:space="preserve"> Cir. 2004).</w:t>
      </w:r>
    </w:p>
  </w:footnote>
  <w:footnote w:id="37">
    <w:p w14:paraId="5A6E622A" w14:textId="77777777" w:rsidR="00EC21F7" w:rsidRPr="0010059B" w:rsidRDefault="00EC21F7" w:rsidP="001C65B1">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Bell Nos. 06-5744/5770, United States Court of Appeals for the Sixth Circuit, September 11, 2009.</w:t>
      </w:r>
    </w:p>
  </w:footnote>
  <w:footnote w:id="38">
    <w:p w14:paraId="57B8C5EA" w14:textId="77777777" w:rsidR="00EC21F7" w:rsidRPr="0010059B" w:rsidRDefault="00EC21F7" w:rsidP="001C65B1">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Ford v Wainwright, 477 U.S. 399, 409-10 (1986).</w:t>
      </w:r>
    </w:p>
  </w:footnote>
  <w:footnote w:id="39">
    <w:p w14:paraId="668D87FC"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Ford v Wainwright, 477 U.S. 399, 409-10 (1986).</w:t>
      </w:r>
    </w:p>
  </w:footnote>
  <w:footnote w:id="40">
    <w:p w14:paraId="5EA6B08D" w14:textId="77777777" w:rsidR="00EC21F7" w:rsidRPr="0010059B" w:rsidRDefault="00EC21F7" w:rsidP="00AE6157">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Thompson v Bell Nos. 06-5744/5770, United States Court of Appeals for the Sixth Circuit, September 11, 2009.</w:t>
      </w:r>
    </w:p>
  </w:footnote>
  <w:footnote w:id="41">
    <w:p w14:paraId="3BD0018A" w14:textId="77777777" w:rsidR="00EC21F7" w:rsidRPr="0010059B" w:rsidRDefault="00EC21F7" w:rsidP="00AE6157">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w:t>
      </w:r>
      <w:r w:rsidRPr="0010059B">
        <w:rPr>
          <w:rFonts w:asciiTheme="majorHAnsi" w:hAnsiTheme="majorHAnsi"/>
          <w:i/>
          <w:sz w:val="16"/>
          <w:szCs w:val="16"/>
        </w:rPr>
        <w:t>Crime and Capital Punishment Forum</w:t>
      </w:r>
      <w:r w:rsidRPr="0010059B">
        <w:rPr>
          <w:rFonts w:asciiTheme="majorHAnsi" w:hAnsiTheme="majorHAnsi"/>
          <w:sz w:val="16"/>
          <w:szCs w:val="16"/>
        </w:rPr>
        <w:t xml:space="preserve">, available at </w:t>
      </w:r>
      <w:hyperlink r:id="rId1" w:history="1">
        <w:r w:rsidRPr="0010059B">
          <w:rPr>
            <w:rStyle w:val="Hyperlink"/>
            <w:rFonts w:asciiTheme="majorHAnsi" w:hAnsiTheme="majorHAnsi"/>
            <w:sz w:val="16"/>
            <w:szCs w:val="16"/>
          </w:rPr>
          <w:t>http://www.cncpunishment.com/forums/showthread.php?2461-Gregory-Thompson-Tennessee-Death-Row&amp;s=c76f148ba695ead1c3caa06a548d9841</w:t>
        </w:r>
      </w:hyperlink>
      <w:r w:rsidRPr="0010059B">
        <w:rPr>
          <w:rFonts w:asciiTheme="majorHAnsi" w:hAnsiTheme="majorHAnsi"/>
          <w:sz w:val="16"/>
          <w:szCs w:val="16"/>
        </w:rPr>
        <w:t xml:space="preserve"> </w:t>
      </w:r>
    </w:p>
  </w:footnote>
  <w:footnote w:id="42">
    <w:p w14:paraId="35D7EFB0"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Petitioners status update submitted February 25, 2014.</w:t>
      </w:r>
    </w:p>
  </w:footnote>
  <w:footnote w:id="43">
    <w:p w14:paraId="381303A3" w14:textId="77777777" w:rsidR="00EC21F7" w:rsidRPr="0010059B" w:rsidRDefault="00EC21F7" w:rsidP="00AE6157">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Petitioners status update submitted February 25, 2014.</w:t>
      </w:r>
    </w:p>
  </w:footnote>
  <w:footnote w:id="44">
    <w:p w14:paraId="4C7F4FBE"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response submitted December 5, 2014.</w:t>
      </w:r>
    </w:p>
  </w:footnote>
  <w:footnote w:id="45">
    <w:p w14:paraId="4B230975" w14:textId="77777777" w:rsidR="00EC21F7" w:rsidRPr="0010059B" w:rsidRDefault="00EC21F7" w:rsidP="00AE6157">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response submitted on December 5, 2014.</w:t>
      </w:r>
    </w:p>
  </w:footnote>
  <w:footnote w:id="46">
    <w:p w14:paraId="1A2EBAC1" w14:textId="77777777" w:rsidR="00EC21F7" w:rsidRPr="0010059B" w:rsidRDefault="00EC21F7" w:rsidP="00501A7C">
      <w:pPr>
        <w:pStyle w:val="FootnoteText"/>
        <w:jc w:val="both"/>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State response submitted December 5, 2014.</w:t>
      </w:r>
    </w:p>
  </w:footnote>
  <w:footnote w:id="47">
    <w:p w14:paraId="0DBF2B26" w14:textId="77777777" w:rsidR="00EC21F7" w:rsidRPr="0010059B" w:rsidRDefault="00EC21F7" w:rsidP="006479DF">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United States correspondence, dated July 22, 2015.</w:t>
      </w:r>
    </w:p>
  </w:footnote>
  <w:footnote w:id="48">
    <w:p w14:paraId="79E70AA5" w14:textId="77777777" w:rsidR="00EC21F7" w:rsidRPr="0010059B" w:rsidRDefault="00EC21F7" w:rsidP="00AE6157">
      <w:pPr>
        <w:pStyle w:val="FootnoteText"/>
        <w:jc w:val="both"/>
        <w:rPr>
          <w:rFonts w:asciiTheme="majorHAnsi" w:hAnsiTheme="majorHAnsi"/>
          <w:sz w:val="16"/>
        </w:rPr>
      </w:pPr>
      <w:r w:rsidRPr="0010059B">
        <w:rPr>
          <w:rFonts w:asciiTheme="majorHAnsi" w:eastAsia="Cambria" w:hAnsiTheme="majorHAnsi" w:cs="Cambria"/>
          <w:sz w:val="16"/>
          <w:vertAlign w:val="superscript"/>
        </w:rPr>
        <w:footnoteRef/>
      </w:r>
      <w:r w:rsidRPr="0010059B">
        <w:rPr>
          <w:rFonts w:asciiTheme="majorHAnsi" w:eastAsia="Cambria" w:hAnsiTheme="majorHAnsi" w:cs="Cambria"/>
          <w:sz w:val="16"/>
          <w:szCs w:val="16"/>
        </w:rPr>
        <w:t xml:space="preserve"> See, in this respect, IACHR, The death penalty in the Inter-American System of Human Rights: From restrictions to abolition, OEA/Ser.L/V/II.Doc. 68, December 31, 2011.</w:t>
      </w:r>
    </w:p>
  </w:footnote>
  <w:footnote w:id="49">
    <w:p w14:paraId="2F9064D6" w14:textId="77777777" w:rsidR="00EC21F7" w:rsidRPr="0010059B" w:rsidRDefault="00EC21F7" w:rsidP="00AE6157">
      <w:pPr>
        <w:pStyle w:val="FootnoteText"/>
        <w:jc w:val="both"/>
        <w:rPr>
          <w:rFonts w:asciiTheme="majorHAnsi" w:hAnsiTheme="majorHAnsi"/>
          <w:sz w:val="16"/>
        </w:rPr>
      </w:pPr>
      <w:r w:rsidRPr="0010059B">
        <w:rPr>
          <w:rFonts w:asciiTheme="majorHAnsi" w:eastAsia="Cambria" w:hAnsiTheme="majorHAnsi" w:cs="Cambria"/>
          <w:sz w:val="16"/>
          <w:vertAlign w:val="superscript"/>
        </w:rPr>
        <w:footnoteRef/>
      </w:r>
      <w:r w:rsidRPr="0010059B">
        <w:rPr>
          <w:rFonts w:asciiTheme="majorHAnsi" w:eastAsia="Cambria" w:hAnsiTheme="majorHAnsi" w:cs="Cambria"/>
          <w:sz w:val="16"/>
          <w:szCs w:val="16"/>
        </w:rPr>
        <w:t xml:space="preserve"> See, for example: I/A Court H. R., Advisory Opinion OC-16/99 (October 1, 1999), </w:t>
      </w:r>
      <w:r w:rsidRPr="0010059B">
        <w:rPr>
          <w:rFonts w:asciiTheme="majorHAnsi" w:eastAsia="Cambria" w:hAnsiTheme="majorHAnsi" w:cs="Cambria"/>
          <w:i/>
          <w:iCs/>
          <w:sz w:val="16"/>
          <w:szCs w:val="16"/>
        </w:rPr>
        <w:t>The Right to Information on Consular Assistance in the Framework of the Guarantees of the Due Process of Law</w:t>
      </w:r>
      <w:r w:rsidRPr="0010059B">
        <w:rPr>
          <w:rFonts w:asciiTheme="majorHAnsi" w:eastAsia="Cambria" w:hAnsiTheme="majorHAnsi" w:cs="Cambria"/>
          <w:sz w:val="16"/>
          <w:szCs w:val="16"/>
        </w:rPr>
        <w:t xml:space="preserve">, para. 136 (finding that “because execution of the death penalty is irreversible, the strictest and most rigorous enforcement of judicial guarantees is required of the State so that those guarantees are not violated and a human life is not arbitrarily taken as a result”); United Nations Human Rights Committee, </w:t>
      </w:r>
      <w:r w:rsidRPr="0010059B">
        <w:rPr>
          <w:rFonts w:asciiTheme="majorHAnsi" w:eastAsia="Cambria" w:hAnsiTheme="majorHAnsi" w:cs="Cambria"/>
          <w:i/>
          <w:iCs/>
          <w:sz w:val="16"/>
          <w:szCs w:val="16"/>
        </w:rPr>
        <w:t>Baboheram-Adhin et al. v. Suriname</w:t>
      </w:r>
      <w:r w:rsidRPr="0010059B">
        <w:rPr>
          <w:rFonts w:asciiTheme="majorHAnsi" w:eastAsia="Cambria" w:hAnsiTheme="majorHAnsi" w:cs="Cambria"/>
          <w:sz w:val="16"/>
          <w:szCs w:val="16"/>
        </w:rPr>
        <w:t>,</w:t>
      </w:r>
      <w:r w:rsidRPr="0010059B">
        <w:rPr>
          <w:rFonts w:asciiTheme="majorHAnsi" w:eastAsia="Cambria" w:hAnsiTheme="majorHAnsi" w:cs="Cambria"/>
          <w:i/>
          <w:iCs/>
          <w:sz w:val="16"/>
          <w:szCs w:val="16"/>
        </w:rPr>
        <w:t xml:space="preserve"> </w:t>
      </w:r>
      <w:r w:rsidRPr="0010059B">
        <w:rPr>
          <w:rFonts w:asciiTheme="majorHAnsi" w:eastAsia="Cambria" w:hAnsiTheme="majorHAnsi" w:cs="Cambria"/>
          <w:sz w:val="16"/>
          <w:szCs w:val="16"/>
        </w:rPr>
        <w:t xml:space="preserve">Communications Nos. 148-154/1983, adopted on April 4, 1985, para. 14.3 (observing that “the law must strictly control and limit the circumstances in which a person may be deprived of his life by the authorities of a State”); </w:t>
      </w:r>
      <w:r w:rsidRPr="0010059B">
        <w:rPr>
          <w:rFonts w:asciiTheme="majorHAnsi" w:eastAsia="Cambria" w:hAnsiTheme="majorHAnsi" w:cs="Cambria"/>
          <w:i/>
          <w:iCs/>
          <w:sz w:val="16"/>
          <w:szCs w:val="16"/>
        </w:rPr>
        <w:t>Report of the United Nations Special Rapporteur on Extrajudicial Executions</w:t>
      </w:r>
      <w:r w:rsidRPr="0010059B">
        <w:rPr>
          <w:rFonts w:asciiTheme="majorHAnsi" w:eastAsia="Cambria" w:hAnsiTheme="majorHAnsi" w:cs="Cambria"/>
          <w:sz w:val="16"/>
          <w:szCs w:val="16"/>
        </w:rPr>
        <w:t>, Bacre Waly Ndiaye, submitted pursuant to Commission on Human Rights Resolution 1994/82, Question of the Violation of Human Rights and Fundamental Freedoms in any part of the World, with particular reference to Colonial and Other Dependent Countries and Territories, UN Doc.E/CN.4/1995/61 (December 14, 1994) (“the Ndiaye Report”), para. 378 (emphasizing that in capital cases, it is the application of the standards of fair trial to each and every case that needs to be ensured and, in case of indications to the contrary, verified, in accordance with the obligation under international law to conduct exhaustive and impartial investigations into all allegations of violation of the right to life).</w:t>
      </w:r>
    </w:p>
  </w:footnote>
  <w:footnote w:id="50">
    <w:p w14:paraId="51793A30" w14:textId="77777777" w:rsidR="00EC21F7" w:rsidRPr="0010059B" w:rsidRDefault="00EC21F7" w:rsidP="00AE6157">
      <w:pPr>
        <w:pStyle w:val="FootnoteText"/>
        <w:jc w:val="both"/>
        <w:rPr>
          <w:rFonts w:asciiTheme="majorHAnsi" w:hAnsiTheme="majorHAnsi"/>
          <w:sz w:val="16"/>
        </w:rPr>
      </w:pPr>
      <w:r w:rsidRPr="0010059B">
        <w:rPr>
          <w:rFonts w:asciiTheme="majorHAnsi" w:eastAsia="Cambria" w:hAnsiTheme="majorHAnsi" w:cs="Cambria"/>
          <w:sz w:val="16"/>
          <w:vertAlign w:val="superscript"/>
        </w:rPr>
        <w:footnoteRef/>
      </w:r>
      <w:r w:rsidRPr="0010059B">
        <w:rPr>
          <w:rFonts w:asciiTheme="majorHAnsi" w:eastAsia="Cambria" w:hAnsiTheme="majorHAnsi" w:cs="Cambria"/>
          <w:sz w:val="16"/>
          <w:szCs w:val="16"/>
        </w:rPr>
        <w:t xml:space="preserve"> IACHR, Report No. 11/15, Case 12.833, Merits (Publication), Felix Rocha Diaz, United States, March 23, 2015, para. 54; Report No. 44/14, Case 12.873, Merits (Publication), Edgar Tamayo Arias, United States, July 17, 2014, para. 127;</w:t>
      </w:r>
      <w:r w:rsidRPr="0010059B">
        <w:rPr>
          <w:rFonts w:asciiTheme="majorHAnsi" w:eastAsia="Cambria" w:hAnsiTheme="majorHAnsi" w:cs="Cambria"/>
          <w:i/>
          <w:iCs/>
          <w:sz w:val="16"/>
          <w:szCs w:val="16"/>
        </w:rPr>
        <w:t xml:space="preserve"> </w:t>
      </w:r>
      <w:r w:rsidRPr="0010059B">
        <w:rPr>
          <w:rFonts w:asciiTheme="majorHAnsi" w:eastAsia="Cambria" w:hAnsiTheme="majorHAnsi" w:cs="Cambria"/>
          <w:sz w:val="16"/>
          <w:szCs w:val="16"/>
        </w:rPr>
        <w:t>Report No. 57/96, Andrews, United States, IACHR Annual Report 1997, para. 170-171.</w:t>
      </w:r>
    </w:p>
  </w:footnote>
  <w:footnote w:id="51">
    <w:p w14:paraId="32BA121D" w14:textId="77777777" w:rsidR="00EC21F7" w:rsidRPr="0010059B" w:rsidRDefault="00EC21F7" w:rsidP="00AE6157">
      <w:pPr>
        <w:pStyle w:val="Body"/>
        <w:jc w:val="both"/>
        <w:rPr>
          <w:rFonts w:asciiTheme="majorHAnsi" w:hAnsiTheme="majorHAnsi"/>
          <w:sz w:val="16"/>
        </w:rPr>
      </w:pPr>
      <w:r w:rsidRPr="0010059B">
        <w:rPr>
          <w:rFonts w:asciiTheme="majorHAnsi" w:eastAsia="Cambria" w:hAnsiTheme="majorHAnsi" w:cs="Cambria"/>
          <w:sz w:val="16"/>
          <w:szCs w:val="20"/>
          <w:vertAlign w:val="superscript"/>
        </w:rPr>
        <w:footnoteRef/>
      </w:r>
      <w:r w:rsidRPr="0010059B">
        <w:rPr>
          <w:rFonts w:asciiTheme="majorHAnsi" w:eastAsia="Cambria" w:hAnsiTheme="majorHAnsi" w:cs="Cambria"/>
          <w:sz w:val="16"/>
          <w:szCs w:val="16"/>
        </w:rPr>
        <w:t xml:space="preserve"> IACHR, The death penalty in the Inter-American System of Human Rights: From restrictions to abolition, OEA/Ser.L/V/II.Doc. 68, December 31, 2011, para. 41.</w:t>
      </w:r>
    </w:p>
  </w:footnote>
  <w:footnote w:id="52">
    <w:p w14:paraId="2755B1BC" w14:textId="77777777" w:rsidR="00EC21F7" w:rsidRPr="0010059B" w:rsidRDefault="00EC21F7" w:rsidP="00AE6157">
      <w:pPr>
        <w:pStyle w:val="Body"/>
        <w:jc w:val="both"/>
        <w:rPr>
          <w:rFonts w:asciiTheme="majorHAnsi" w:hAnsiTheme="majorHAnsi"/>
          <w:sz w:val="16"/>
        </w:rPr>
      </w:pPr>
      <w:r w:rsidRPr="0010059B">
        <w:rPr>
          <w:rFonts w:asciiTheme="majorHAnsi" w:eastAsia="Cambria" w:hAnsiTheme="majorHAnsi" w:cs="Cambria"/>
          <w:sz w:val="16"/>
          <w:szCs w:val="20"/>
          <w:vertAlign w:val="superscript"/>
        </w:rPr>
        <w:footnoteRef/>
      </w:r>
      <w:r w:rsidRPr="0010059B">
        <w:rPr>
          <w:rFonts w:asciiTheme="majorHAnsi" w:eastAsia="Cambria" w:hAnsiTheme="majorHAnsi" w:cs="Cambria"/>
          <w:sz w:val="16"/>
          <w:szCs w:val="16"/>
        </w:rPr>
        <w:t xml:space="preserve"> IACHR, Report No. 78/07, Case 12.265, Merits (Publication), Chad Roger Goodman, The Bahamas, October 15, 2007, para. 34.</w:t>
      </w:r>
    </w:p>
  </w:footnote>
  <w:footnote w:id="53">
    <w:p w14:paraId="1D9052EA" w14:textId="77777777" w:rsidR="00EC21F7" w:rsidRPr="0010059B" w:rsidRDefault="00EC21F7" w:rsidP="00AE6157">
      <w:pPr>
        <w:pStyle w:val="FootnoteText"/>
        <w:jc w:val="both"/>
        <w:rPr>
          <w:rFonts w:asciiTheme="majorHAnsi" w:hAnsiTheme="majorHAnsi"/>
          <w:sz w:val="16"/>
        </w:rPr>
      </w:pPr>
      <w:r w:rsidRPr="0010059B">
        <w:rPr>
          <w:rFonts w:asciiTheme="majorHAnsi" w:eastAsia="Cambria" w:hAnsiTheme="majorHAnsi" w:cs="Cambria"/>
          <w:sz w:val="16"/>
          <w:vertAlign w:val="superscript"/>
        </w:rPr>
        <w:footnoteRef/>
      </w:r>
      <w:r w:rsidRPr="0010059B">
        <w:rPr>
          <w:rFonts w:asciiTheme="majorHAnsi" w:eastAsia="Cambria" w:hAnsiTheme="majorHAnsi" w:cs="Cambria"/>
          <w:sz w:val="16"/>
          <w:szCs w:val="16"/>
        </w:rPr>
        <w:t xml:space="preserve"> IACHR, Report No. 44/14, Case 12,873, Report on Merits (Publication), Edgar Tamayo Arias, United States, July 17, 2014, para. 214.</w:t>
      </w:r>
    </w:p>
  </w:footnote>
  <w:footnote w:id="54">
    <w:p w14:paraId="44C997C6" w14:textId="77777777" w:rsidR="00EC21F7" w:rsidRPr="0010059B" w:rsidRDefault="00EC21F7" w:rsidP="00AE6157">
      <w:pPr>
        <w:jc w:val="both"/>
        <w:rPr>
          <w:rFonts w:asciiTheme="majorHAnsi" w:hAnsiTheme="majorHAnsi"/>
          <w:sz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55">
    <w:p w14:paraId="04D06CB0" w14:textId="77777777" w:rsidR="00EC21F7" w:rsidRPr="0010059B" w:rsidRDefault="00EC21F7" w:rsidP="00AE6157">
      <w:pPr>
        <w:keepN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Style w:val="FootnoteReference"/>
          <w:rFonts w:asciiTheme="majorHAnsi" w:hAnsiTheme="majorHAnsi"/>
          <w:sz w:val="16"/>
          <w:szCs w:val="16"/>
        </w:rPr>
        <w:t xml:space="preserve"> </w:t>
      </w:r>
      <w:r w:rsidRPr="0010059B">
        <w:rPr>
          <w:rFonts w:asciiTheme="majorHAnsi" w:hAnsiTheme="majorHAnsi"/>
          <w:sz w:val="16"/>
          <w:szCs w:val="16"/>
        </w:rPr>
        <w:t>Article XXVI of the American Declaration provides: “Every accused person is presumed to be innocent until proved guilty.</w:t>
      </w:r>
    </w:p>
    <w:p w14:paraId="4AE642AD" w14:textId="77777777" w:rsidR="00EC21F7" w:rsidRPr="0010059B" w:rsidRDefault="00EC21F7" w:rsidP="00AE6157">
      <w:pPr>
        <w:pStyle w:val="FootnoteText"/>
        <w:jc w:val="both"/>
        <w:rPr>
          <w:rFonts w:asciiTheme="majorHAnsi" w:hAnsiTheme="majorHAnsi"/>
          <w:sz w:val="16"/>
        </w:rPr>
      </w:pPr>
      <w:r w:rsidRPr="0010059B">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56">
    <w:p w14:paraId="7E98BD29" w14:textId="77777777" w:rsidR="00EC21F7" w:rsidRPr="0010059B" w:rsidRDefault="00EC21F7" w:rsidP="00E80E04">
      <w:pPr>
        <w:pStyle w:val="FootnoteText"/>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57">
    <w:p w14:paraId="449DD7B0" w14:textId="77777777" w:rsidR="00EC21F7" w:rsidRPr="0010059B" w:rsidRDefault="00EC21F7" w:rsidP="00E80E04">
      <w:pPr>
        <w:pStyle w:val="FootnoteText"/>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IACHR, The death penalty in the Inter-American System of Human Rights: From restrictions to abolition, OEA/Ser.L/V/II.Doc. 68, December 31, 2011, p. 123.</w:t>
      </w:r>
    </w:p>
  </w:footnote>
  <w:footnote w:id="58">
    <w:p w14:paraId="76685646" w14:textId="77777777" w:rsidR="00EC21F7" w:rsidRPr="0010059B" w:rsidRDefault="00EC21F7" w:rsidP="00E80E04">
      <w:pPr>
        <w:pStyle w:val="FootnoteText"/>
      </w:pPr>
      <w:r w:rsidRPr="0010059B">
        <w:rPr>
          <w:rStyle w:val="FootnoteReference"/>
          <w:rFonts w:asciiTheme="majorHAnsi" w:hAnsiTheme="majorHAnsi"/>
          <w:color w:val="auto"/>
          <w:sz w:val="16"/>
          <w:szCs w:val="16"/>
        </w:rPr>
        <w:footnoteRef/>
      </w:r>
      <w:r w:rsidRPr="0010059B">
        <w:rPr>
          <w:rStyle w:val="FootnoteReference"/>
          <w:rFonts w:asciiTheme="majorHAnsi" w:hAnsiTheme="majorHAnsi"/>
          <w:color w:val="auto"/>
          <w:sz w:val="16"/>
          <w:szCs w:val="16"/>
        </w:rPr>
        <w:t xml:space="preserve"> </w:t>
      </w:r>
      <w:r w:rsidRPr="0010059B">
        <w:rPr>
          <w:rFonts w:ascii="Cambria" w:hAnsi="Cambria" w:cs="Arial"/>
          <w:sz w:val="16"/>
          <w:szCs w:val="16"/>
        </w:rPr>
        <w:t xml:space="preserve">IACHR, </w:t>
      </w:r>
      <w:r w:rsidRPr="0010059B">
        <w:rPr>
          <w:rFonts w:ascii="Cambria" w:hAnsi="Cambria" w:cs="Arial"/>
          <w:bCs/>
          <w:sz w:val="16"/>
          <w:szCs w:val="16"/>
        </w:rPr>
        <w:t>Report No. 79/15</w:t>
      </w:r>
      <w:r w:rsidRPr="0010059B">
        <w:rPr>
          <w:rFonts w:ascii="Cambria" w:hAnsi="Cambria" w:cs="Arial"/>
          <w:sz w:val="16"/>
          <w:szCs w:val="16"/>
        </w:rPr>
        <w:t>, Case 12.994. Merits (Publication). Bernardo Aban Tercero. United States. October 28, 2015, para. 111.</w:t>
      </w:r>
    </w:p>
  </w:footnote>
  <w:footnote w:id="59">
    <w:p w14:paraId="1BC2A561" w14:textId="77777777" w:rsidR="00EC21F7" w:rsidRPr="0010059B" w:rsidRDefault="00EC21F7" w:rsidP="00E80E04">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60">
    <w:p w14:paraId="154F4E16" w14:textId="77777777" w:rsidR="00EC21F7" w:rsidRPr="0010059B" w:rsidRDefault="00EC21F7" w:rsidP="00E80E04">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IACHR, Report No. 90/09, Case 12.644, Admissibility and Merits (Publication), Medellín, Ramírez Cárdenas and Leal García, United States, August 7, 2009, para. 134. </w:t>
      </w:r>
    </w:p>
  </w:footnote>
  <w:footnote w:id="61">
    <w:p w14:paraId="1E735F49" w14:textId="77777777" w:rsidR="00EC21F7" w:rsidRPr="0010059B" w:rsidRDefault="00EC21F7" w:rsidP="00E80E04">
      <w:pPr>
        <w:pStyle w:val="FootnoteText"/>
        <w:jc w:val="both"/>
        <w:rPr>
          <w:rFonts w:asciiTheme="majorHAnsi" w:hAnsiTheme="majorHAnsi" w:cs="Arial"/>
          <w:color w:val="auto"/>
          <w:sz w:val="16"/>
          <w:szCs w:val="16"/>
        </w:rPr>
      </w:pPr>
      <w:r w:rsidRPr="0010059B">
        <w:rPr>
          <w:rStyle w:val="FootnoteReference"/>
          <w:rFonts w:asciiTheme="majorHAnsi" w:hAnsiTheme="majorHAnsi" w:cs="Arial"/>
          <w:color w:val="auto"/>
          <w:sz w:val="16"/>
          <w:szCs w:val="16"/>
        </w:rPr>
        <w:footnoteRef/>
      </w:r>
      <w:r w:rsidRPr="0010059B">
        <w:rPr>
          <w:rFonts w:asciiTheme="majorHAnsi" w:hAnsiTheme="majorHAnsi" w:cs="Arial"/>
          <w:color w:val="auto"/>
          <w:sz w:val="16"/>
          <w:szCs w:val="16"/>
        </w:rPr>
        <w:t xml:space="preserve"> American Bar Association, </w:t>
      </w:r>
      <w:r w:rsidRPr="0010059B">
        <w:rPr>
          <w:rFonts w:asciiTheme="majorHAnsi" w:hAnsiTheme="majorHAnsi" w:cs="Arial"/>
          <w:i/>
          <w:iCs/>
          <w:color w:val="auto"/>
          <w:sz w:val="16"/>
          <w:szCs w:val="16"/>
        </w:rPr>
        <w:t>Guidelines for the Appointment and Performance of Defense Counsel in Death Penalty Cases</w:t>
      </w:r>
      <w:r w:rsidRPr="0010059B">
        <w:rPr>
          <w:rFonts w:asciiTheme="majorHAnsi" w:hAnsiTheme="majorHAnsi" w:cs="Arial"/>
          <w:color w:val="auto"/>
          <w:sz w:val="16"/>
          <w:szCs w:val="16"/>
        </w:rPr>
        <w:t xml:space="preserve"> (Revised editions) (February 2003), Guideline 10.7 – Investigation. </w:t>
      </w:r>
    </w:p>
  </w:footnote>
  <w:footnote w:id="62">
    <w:p w14:paraId="4B1B3D53" w14:textId="77777777" w:rsidR="00EC21F7" w:rsidRPr="0010059B" w:rsidRDefault="00EC21F7" w:rsidP="00E80E04">
      <w:pPr>
        <w:pStyle w:val="FootnoteText"/>
        <w:jc w:val="both"/>
        <w:rPr>
          <w:rFonts w:asciiTheme="majorHAnsi" w:hAnsiTheme="majorHAnsi" w:cs="Arial"/>
          <w:color w:val="auto"/>
          <w:sz w:val="16"/>
          <w:szCs w:val="16"/>
        </w:rPr>
      </w:pPr>
      <w:r w:rsidRPr="0010059B">
        <w:rPr>
          <w:rStyle w:val="FootnoteReference"/>
          <w:rFonts w:asciiTheme="majorHAnsi" w:hAnsiTheme="majorHAnsi" w:cs="Arial"/>
          <w:color w:val="auto"/>
          <w:sz w:val="16"/>
          <w:szCs w:val="16"/>
        </w:rPr>
        <w:footnoteRef/>
      </w:r>
      <w:r w:rsidRPr="0010059B">
        <w:rPr>
          <w:rFonts w:asciiTheme="majorHAnsi" w:hAnsiTheme="majorHAnsi" w:cs="Arial"/>
          <w:color w:val="auto"/>
          <w:sz w:val="16"/>
          <w:szCs w:val="16"/>
        </w:rPr>
        <w:t xml:space="preserve"> American Bar Association, </w:t>
      </w:r>
      <w:r w:rsidRPr="0010059B">
        <w:rPr>
          <w:rFonts w:asciiTheme="majorHAnsi" w:hAnsiTheme="majorHAnsi" w:cs="Arial"/>
          <w:i/>
          <w:iCs/>
          <w:color w:val="auto"/>
          <w:sz w:val="16"/>
          <w:szCs w:val="16"/>
        </w:rPr>
        <w:t>Guidelines for the Appointment and Performance of Defense Counsel in Death Penalty Cases</w:t>
      </w:r>
      <w:r w:rsidRPr="0010059B">
        <w:rPr>
          <w:rFonts w:asciiTheme="majorHAnsi" w:hAnsiTheme="majorHAnsi" w:cs="Arial"/>
          <w:color w:val="auto"/>
          <w:sz w:val="16"/>
          <w:szCs w:val="16"/>
        </w:rPr>
        <w:t xml:space="preserve"> (Revised editions) (February 2003), Guideline 10.7 – Investigation, at 82.</w:t>
      </w:r>
    </w:p>
  </w:footnote>
  <w:footnote w:id="63">
    <w:p w14:paraId="6F0C6FC4" w14:textId="77777777" w:rsidR="00EC21F7" w:rsidRPr="0010059B" w:rsidRDefault="00EC21F7" w:rsidP="00E80E04">
      <w:pPr>
        <w:pStyle w:val="FootnoteText"/>
        <w:jc w:val="both"/>
        <w:rPr>
          <w:rFonts w:asciiTheme="majorHAnsi" w:hAnsiTheme="majorHAnsi" w:cs="Arial"/>
          <w:color w:val="auto"/>
          <w:sz w:val="16"/>
          <w:szCs w:val="16"/>
        </w:rPr>
      </w:pPr>
      <w:r w:rsidRPr="0010059B">
        <w:rPr>
          <w:rStyle w:val="FootnoteReference"/>
          <w:rFonts w:asciiTheme="majorHAnsi" w:hAnsiTheme="majorHAnsi" w:cs="Arial"/>
          <w:color w:val="auto"/>
          <w:sz w:val="16"/>
          <w:szCs w:val="16"/>
        </w:rPr>
        <w:footnoteRef/>
      </w:r>
      <w:r w:rsidRPr="0010059B">
        <w:rPr>
          <w:rFonts w:asciiTheme="majorHAnsi" w:hAnsiTheme="majorHAnsi" w:cs="Arial"/>
          <w:color w:val="auto"/>
          <w:sz w:val="16"/>
          <w:szCs w:val="16"/>
        </w:rPr>
        <w:t xml:space="preserve"> American Bar Association, </w:t>
      </w:r>
      <w:r w:rsidRPr="0010059B">
        <w:rPr>
          <w:rFonts w:asciiTheme="majorHAnsi" w:hAnsiTheme="majorHAnsi" w:cs="Arial"/>
          <w:i/>
          <w:iCs/>
          <w:color w:val="auto"/>
          <w:sz w:val="16"/>
          <w:szCs w:val="16"/>
        </w:rPr>
        <w:t>Guidelines for the Appointment and Performance of Defense Counsel in Death Penalty Cases</w:t>
      </w:r>
      <w:r w:rsidRPr="0010059B">
        <w:rPr>
          <w:rFonts w:asciiTheme="majorHAnsi" w:hAnsiTheme="majorHAnsi" w:cs="Arial"/>
          <w:color w:val="auto"/>
          <w:sz w:val="16"/>
          <w:szCs w:val="16"/>
        </w:rPr>
        <w:t xml:space="preserve"> (Revised editions) (February 2003), Guideline 10.7 – Investigation, at 83.</w:t>
      </w:r>
    </w:p>
  </w:footnote>
  <w:footnote w:id="64">
    <w:p w14:paraId="4B28B182" w14:textId="77777777" w:rsidR="00EC21F7" w:rsidRPr="0010059B" w:rsidRDefault="00EC21F7" w:rsidP="00BF0C65">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w:t>
      </w:r>
      <w:r w:rsidRPr="0010059B">
        <w:rPr>
          <w:rFonts w:asciiTheme="majorHAnsi" w:hAnsiTheme="majorHAnsi" w:cs="Arial"/>
          <w:color w:val="auto"/>
          <w:sz w:val="16"/>
          <w:szCs w:val="16"/>
        </w:rPr>
        <w:t xml:space="preserve">American Bar Association, </w:t>
      </w:r>
      <w:r w:rsidRPr="0010059B">
        <w:rPr>
          <w:rFonts w:asciiTheme="majorHAnsi" w:hAnsiTheme="majorHAnsi" w:cs="Arial"/>
          <w:i/>
          <w:iCs/>
          <w:color w:val="auto"/>
          <w:sz w:val="16"/>
          <w:szCs w:val="16"/>
        </w:rPr>
        <w:t>Guidelines for the Appointment and Performance of Defense Counsel in Death Penalty Cases</w:t>
      </w:r>
      <w:r w:rsidRPr="0010059B">
        <w:rPr>
          <w:rFonts w:asciiTheme="majorHAnsi" w:hAnsiTheme="majorHAnsi" w:cs="Arial"/>
          <w:color w:val="auto"/>
          <w:sz w:val="16"/>
          <w:szCs w:val="16"/>
        </w:rPr>
        <w:t xml:space="preserve"> (Revised editions) (February 2003), Guideline 5.1.</w:t>
      </w:r>
    </w:p>
  </w:footnote>
  <w:footnote w:id="65">
    <w:p w14:paraId="732E9314" w14:textId="77777777" w:rsidR="00EC21F7" w:rsidRPr="0010059B" w:rsidRDefault="00EC21F7" w:rsidP="009C44D0">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w:t>
      </w:r>
      <w:r w:rsidRPr="0010059B">
        <w:rPr>
          <w:rFonts w:asciiTheme="majorHAnsi" w:hAnsiTheme="majorHAnsi" w:cs="Arial"/>
          <w:color w:val="auto"/>
          <w:sz w:val="16"/>
          <w:szCs w:val="16"/>
        </w:rPr>
        <w:t xml:space="preserve">American Bar Association, </w:t>
      </w:r>
      <w:r w:rsidRPr="0010059B">
        <w:rPr>
          <w:rFonts w:asciiTheme="majorHAnsi" w:hAnsiTheme="majorHAnsi" w:cs="Arial"/>
          <w:i/>
          <w:iCs/>
          <w:color w:val="auto"/>
          <w:sz w:val="16"/>
          <w:szCs w:val="16"/>
        </w:rPr>
        <w:t>Guidelines for the Appointment and Performance of Defense Counsel in Death Penalty Cases</w:t>
      </w:r>
      <w:r w:rsidRPr="0010059B">
        <w:rPr>
          <w:rFonts w:asciiTheme="majorHAnsi" w:hAnsiTheme="majorHAnsi" w:cs="Arial"/>
          <w:color w:val="auto"/>
          <w:sz w:val="16"/>
          <w:szCs w:val="16"/>
        </w:rPr>
        <w:t xml:space="preserve"> (Revised editions) (February 2003), a</w:t>
      </w:r>
      <w:r w:rsidRPr="0010059B">
        <w:rPr>
          <w:rFonts w:asciiTheme="majorHAnsi" w:hAnsiTheme="majorHAnsi"/>
          <w:sz w:val="16"/>
          <w:szCs w:val="16"/>
        </w:rPr>
        <w:t>t 925.</w:t>
      </w:r>
    </w:p>
  </w:footnote>
  <w:footnote w:id="66">
    <w:p w14:paraId="5CCD51B6" w14:textId="77777777" w:rsidR="00EC21F7" w:rsidRPr="0010059B" w:rsidRDefault="00EC21F7" w:rsidP="00CB7D84">
      <w:pPr>
        <w:pStyle w:val="FootnoteText"/>
        <w:jc w:val="both"/>
      </w:pPr>
      <w:r w:rsidRPr="0010059B">
        <w:rPr>
          <w:rStyle w:val="FootnoteReference"/>
          <w:rFonts w:asciiTheme="majorHAnsi" w:hAnsiTheme="majorHAnsi"/>
          <w:sz w:val="16"/>
          <w:szCs w:val="16"/>
        </w:rPr>
        <w:footnoteRef/>
      </w:r>
      <w:r w:rsidRPr="0010059B">
        <w:t xml:space="preserve"> </w:t>
      </w:r>
      <w:r w:rsidRPr="0010059B">
        <w:rPr>
          <w:rFonts w:asciiTheme="majorHAnsi" w:hAnsiTheme="majorHAnsi" w:cs="Arial"/>
          <w:color w:val="auto"/>
          <w:sz w:val="16"/>
          <w:szCs w:val="16"/>
        </w:rPr>
        <w:t xml:space="preserve">American Bar Association, </w:t>
      </w:r>
      <w:r w:rsidRPr="0010059B">
        <w:rPr>
          <w:rFonts w:asciiTheme="majorHAnsi" w:hAnsiTheme="majorHAnsi" w:cs="Arial"/>
          <w:i/>
          <w:iCs/>
          <w:color w:val="auto"/>
          <w:sz w:val="16"/>
          <w:szCs w:val="16"/>
        </w:rPr>
        <w:t>Guidelines for the Appointment and Performance of Defense Counsel in Death Penalty Cases</w:t>
      </w:r>
      <w:r w:rsidRPr="0010059B">
        <w:rPr>
          <w:rFonts w:asciiTheme="majorHAnsi" w:hAnsiTheme="majorHAnsi" w:cs="Arial"/>
          <w:color w:val="auto"/>
          <w:sz w:val="16"/>
          <w:szCs w:val="16"/>
        </w:rPr>
        <w:t xml:space="preserve"> (Revised editions) (February 2003), a</w:t>
      </w:r>
      <w:r w:rsidRPr="0010059B">
        <w:rPr>
          <w:rFonts w:asciiTheme="majorHAnsi" w:hAnsiTheme="majorHAnsi"/>
          <w:sz w:val="16"/>
          <w:szCs w:val="16"/>
        </w:rPr>
        <w:t>t 956.</w:t>
      </w:r>
    </w:p>
  </w:footnote>
  <w:footnote w:id="67">
    <w:p w14:paraId="4BC49F3D" w14:textId="77777777" w:rsidR="00EC21F7" w:rsidRPr="0010059B" w:rsidRDefault="00EC21F7" w:rsidP="00AE6157">
      <w:pPr>
        <w:jc w:val="both"/>
        <w:rPr>
          <w:rFonts w:asciiTheme="majorHAnsi" w:hAnsiTheme="majorHAnsi"/>
          <w:sz w:val="16"/>
        </w:rPr>
      </w:pPr>
      <w:r w:rsidRPr="0010059B">
        <w:rPr>
          <w:rStyle w:val="FootnoteReference"/>
          <w:rFonts w:asciiTheme="majorHAnsi" w:hAnsiTheme="majorHAnsi"/>
          <w:sz w:val="16"/>
        </w:rPr>
        <w:footnoteRef/>
      </w:r>
      <w:r w:rsidRPr="0010059B">
        <w:rPr>
          <w:rFonts w:asciiTheme="majorHAnsi" w:hAnsiTheme="majorHAnsi"/>
          <w:sz w:val="16"/>
        </w:rPr>
        <w:t xml:space="preserve"> IACHR Report 53/13, case 12.864, Ivan Teleguz v US, July 15, 2013, para 98.</w:t>
      </w:r>
    </w:p>
  </w:footnote>
  <w:footnote w:id="68">
    <w:p w14:paraId="511DC51F" w14:textId="77777777" w:rsidR="00EC21F7" w:rsidRDefault="00EC21F7">
      <w:pPr>
        <w:pStyle w:val="FootnoteText"/>
      </w:pPr>
      <w:r w:rsidRPr="00392F3A">
        <w:rPr>
          <w:rStyle w:val="FootnoteReference"/>
          <w:rFonts w:asciiTheme="majorHAnsi" w:eastAsia="Arial Unicode MS" w:hAnsiTheme="majorHAnsi"/>
          <w:color w:val="auto"/>
          <w:sz w:val="16"/>
          <w:lang w:eastAsia="en-US"/>
        </w:rPr>
        <w:footnoteRef/>
      </w:r>
      <w:r w:rsidRPr="00392F3A">
        <w:rPr>
          <w:rStyle w:val="FootnoteReference"/>
          <w:rFonts w:asciiTheme="majorHAnsi" w:eastAsia="Arial Unicode MS" w:hAnsiTheme="majorHAnsi"/>
          <w:color w:val="auto"/>
          <w:sz w:val="16"/>
          <w:lang w:eastAsia="en-US"/>
        </w:rPr>
        <w:t xml:space="preserve"> </w:t>
      </w:r>
      <w:r w:rsidRPr="0010059B">
        <w:rPr>
          <w:rFonts w:asciiTheme="majorHAnsi" w:hAnsiTheme="majorHAnsi"/>
          <w:color w:val="auto"/>
          <w:sz w:val="16"/>
          <w:szCs w:val="16"/>
        </w:rPr>
        <w:t>IACHR, Report No. 44/14, Case 12,873. Merits (Publication). Edgar Tamayo Arias. United States, July 17, 2014, para.</w:t>
      </w:r>
      <w:r>
        <w:rPr>
          <w:rFonts w:asciiTheme="majorHAnsi" w:hAnsiTheme="majorHAnsi"/>
          <w:color w:val="auto"/>
          <w:sz w:val="16"/>
          <w:szCs w:val="16"/>
        </w:rPr>
        <w:t xml:space="preserve"> 165</w:t>
      </w:r>
      <w:r w:rsidRPr="0010059B">
        <w:rPr>
          <w:rFonts w:asciiTheme="majorHAnsi" w:hAnsiTheme="majorHAnsi"/>
          <w:color w:val="auto"/>
          <w:sz w:val="16"/>
          <w:szCs w:val="16"/>
        </w:rPr>
        <w:t>.</w:t>
      </w:r>
    </w:p>
  </w:footnote>
  <w:footnote w:id="69">
    <w:p w14:paraId="7E20078E"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Article I of the American Declaration which provides: “Every human being has the right to life, liberty and security of his person; and Article XXVI of the American Declaration which provides: “Every person accused of an offense has the right […] not to receive cruel, infamous or unusual punishment.”</w:t>
      </w:r>
    </w:p>
  </w:footnote>
  <w:footnote w:id="70">
    <w:p w14:paraId="2DCED5DD" w14:textId="77777777" w:rsidR="00EC21F7" w:rsidRPr="0010059B" w:rsidRDefault="00EC21F7" w:rsidP="00B8441C">
      <w:pPr>
        <w:pStyle w:val="FootnoteText"/>
      </w:pPr>
      <w:r w:rsidRPr="0010059B">
        <w:rPr>
          <w:rStyle w:val="FootnoteReference"/>
          <w:rFonts w:asciiTheme="majorHAnsi" w:eastAsia="Arial Unicode MS" w:hAnsiTheme="majorHAnsi"/>
          <w:color w:val="auto"/>
          <w:sz w:val="16"/>
          <w:szCs w:val="16"/>
          <w:lang w:eastAsia="en-US"/>
        </w:rPr>
        <w:footnoteRef/>
      </w:r>
      <w:r w:rsidRPr="0010059B">
        <w:rPr>
          <w:rStyle w:val="FootnoteReference"/>
          <w:rFonts w:asciiTheme="majorHAnsi" w:eastAsia="Arial Unicode MS" w:hAnsiTheme="majorHAnsi"/>
          <w:color w:val="auto"/>
          <w:sz w:val="16"/>
          <w:szCs w:val="16"/>
          <w:lang w:eastAsia="en-US"/>
        </w:rPr>
        <w:t xml:space="preserve"> </w:t>
      </w:r>
      <w:r w:rsidRPr="0010059B">
        <w:rPr>
          <w:rFonts w:asciiTheme="majorHAnsi" w:hAnsiTheme="majorHAnsi"/>
          <w:color w:val="auto"/>
          <w:sz w:val="16"/>
          <w:szCs w:val="16"/>
        </w:rPr>
        <w:t>IACHR, Report No. 44/14, Case 12,873. Merits (Publication). Edgar Tamayo Arias. United States, July 17, 2014, para. 152.</w:t>
      </w:r>
    </w:p>
  </w:footnote>
  <w:footnote w:id="71">
    <w:p w14:paraId="72EF3BC0"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sz w:val="16"/>
          <w:szCs w:val="16"/>
        </w:rPr>
        <w:footnoteRef/>
      </w:r>
      <w:r w:rsidRPr="0010059B">
        <w:rPr>
          <w:rFonts w:ascii="Cambria" w:hAnsi="Cambria"/>
          <w:sz w:val="16"/>
          <w:szCs w:val="16"/>
        </w:rPr>
        <w:t xml:space="preserve"> </w:t>
      </w:r>
      <w:r w:rsidRPr="0010059B">
        <w:rPr>
          <w:rFonts w:asciiTheme="majorHAnsi" w:hAnsiTheme="majorHAnsi"/>
          <w:color w:val="auto"/>
          <w:sz w:val="16"/>
          <w:szCs w:val="16"/>
        </w:rPr>
        <w:t>IACHR, Report No. 44/14, Case 12,873. Merits (Publication). Edgar Tamayo Arias. United States, July 17, 2014, para. 109.</w:t>
      </w:r>
    </w:p>
  </w:footnote>
  <w:footnote w:id="72">
    <w:p w14:paraId="5ED424FE" w14:textId="77777777" w:rsidR="00EC21F7" w:rsidRPr="0010059B" w:rsidRDefault="00EC21F7" w:rsidP="006524E5">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ACHR, Report No.  52/13. Case 11.575, 12.333 and 12.341. Merits. Clarence Allen Lackey Et Al.; Miguel Ángel Flores, and James Wilson Chambers. United States of America. July 15, 2013.</w:t>
      </w:r>
    </w:p>
  </w:footnote>
  <w:footnote w:id="73">
    <w:p w14:paraId="0B9C0203"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sz w:val="16"/>
          <w:szCs w:val="16"/>
        </w:rPr>
        <w:footnoteRef/>
      </w:r>
      <w:r w:rsidRPr="0010059B">
        <w:rPr>
          <w:rFonts w:ascii="Cambria" w:hAnsi="Cambria"/>
          <w:sz w:val="16"/>
          <w:szCs w:val="16"/>
        </w:rPr>
        <w:t xml:space="preserve"> Human Rights Committee, Sahadath v. Trinidad and Tobago, Communication No. 684/1996, April 2, 2002, </w:t>
      </w:r>
      <w:r w:rsidRPr="0010059B">
        <w:rPr>
          <w:rFonts w:ascii="Cambria" w:hAnsi="Cambria" w:cs="TTE27CA0E8t00"/>
          <w:sz w:val="16"/>
          <w:szCs w:val="16"/>
        </w:rPr>
        <w:t>CCPR/C/74/D/684/1996, para. 7.2.</w:t>
      </w:r>
    </w:p>
  </w:footnote>
  <w:footnote w:id="74">
    <w:p w14:paraId="7B05E97B"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sz w:val="16"/>
          <w:szCs w:val="16"/>
        </w:rPr>
        <w:footnoteRef/>
      </w:r>
      <w:r w:rsidRPr="0010059B">
        <w:rPr>
          <w:rFonts w:ascii="Cambria" w:hAnsi="Cambria"/>
          <w:sz w:val="16"/>
          <w:szCs w:val="16"/>
        </w:rPr>
        <w:t xml:space="preserve"> Safeguards Guaranteeing Protection of the Rights of Those Facing the Death Penalty, E.S.C. res. 1984/50, annex, 1984 U.N. ESCOR Supp. (No. 1) at 33, U.N. Doc. E/1984/84 (1984).</w:t>
      </w:r>
    </w:p>
  </w:footnote>
  <w:footnote w:id="75">
    <w:p w14:paraId="2CDAFCF6"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sz w:val="16"/>
          <w:szCs w:val="16"/>
        </w:rPr>
        <w:footnoteRef/>
      </w:r>
      <w:r w:rsidRPr="0010059B">
        <w:rPr>
          <w:rFonts w:ascii="Cambria" w:hAnsi="Cambria"/>
          <w:sz w:val="16"/>
          <w:szCs w:val="16"/>
        </w:rPr>
        <w:t xml:space="preserve"> United Nations Commission on Human Rights, Promotion and Protection of Human Rights, The question of the death penalty, E/CN4/2005/L.77, April 14, 2005, paragraph 7(c). </w:t>
      </w:r>
    </w:p>
  </w:footnote>
  <w:footnote w:id="76">
    <w:p w14:paraId="682724C8"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sz w:val="16"/>
          <w:szCs w:val="16"/>
        </w:rPr>
        <w:footnoteRef/>
      </w:r>
      <w:r w:rsidRPr="0010059B">
        <w:rPr>
          <w:rFonts w:ascii="Cambria" w:hAnsi="Cambria"/>
          <w:sz w:val="16"/>
          <w:szCs w:val="16"/>
        </w:rPr>
        <w:t xml:space="preserve"> Interim report of the Special Rapporteur on torture and other cruel, inhuman or degrading treatment or punishment, A/67/279, August 9, 2012, para. 58. </w:t>
      </w:r>
    </w:p>
  </w:footnote>
  <w:footnote w:id="77">
    <w:p w14:paraId="40BB0E6F"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sz w:val="16"/>
          <w:szCs w:val="16"/>
        </w:rPr>
        <w:footnoteRef/>
      </w:r>
      <w:r w:rsidRPr="0010059B">
        <w:rPr>
          <w:rFonts w:ascii="Cambria" w:hAnsi="Cambria"/>
          <w:sz w:val="16"/>
          <w:szCs w:val="16"/>
        </w:rPr>
        <w:t xml:space="preserve"> Office of the High Commissioner for Human Rights, “Death row: U.N. expert urges U.S. authorities to stop execution of two persons with psychosocial disabilities”, July 17, 2012. </w:t>
      </w:r>
    </w:p>
  </w:footnote>
  <w:footnote w:id="78">
    <w:p w14:paraId="632582E0" w14:textId="77777777" w:rsidR="00EC21F7" w:rsidRPr="0010059B" w:rsidRDefault="00EC21F7" w:rsidP="00116ABE">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European Union Guidelines on Death Penalty 2013; https://eeas.europa.eu/sites/eeas/files/guidelines_death_penalty_st08416_en.pdf</w:t>
      </w:r>
    </w:p>
  </w:footnote>
  <w:footnote w:id="79">
    <w:p w14:paraId="311AC150" w14:textId="77777777" w:rsidR="00EC21F7" w:rsidRPr="0010059B" w:rsidRDefault="00EC21F7" w:rsidP="00B8441C">
      <w:pPr>
        <w:autoSpaceDE w:val="0"/>
        <w:autoSpaceDN w:val="0"/>
        <w:adjustRightInd w:val="0"/>
        <w:jc w:val="both"/>
        <w:rPr>
          <w:rFonts w:ascii="Cambria" w:hAnsi="Cambria" w:cs="Arial"/>
          <w:sz w:val="16"/>
          <w:szCs w:val="16"/>
        </w:rPr>
      </w:pPr>
      <w:r w:rsidRPr="0010059B">
        <w:rPr>
          <w:rStyle w:val="FootnoteReference"/>
          <w:rFonts w:ascii="Cambria" w:hAnsi="Cambria" w:cs="Arial"/>
          <w:sz w:val="16"/>
          <w:szCs w:val="16"/>
        </w:rPr>
        <w:footnoteRef/>
      </w:r>
      <w:r w:rsidRPr="0010059B">
        <w:rPr>
          <w:rFonts w:ascii="Cambria" w:hAnsi="Cambria" w:cs="Arial"/>
          <w:sz w:val="16"/>
          <w:szCs w:val="16"/>
        </w:rPr>
        <w:t xml:space="preserve"> </w:t>
      </w:r>
      <w:r w:rsidRPr="0010059B">
        <w:rPr>
          <w:rFonts w:ascii="Cambria" w:hAnsi="Cambria" w:cs="Arial"/>
          <w:i/>
          <w:iCs/>
          <w:sz w:val="16"/>
          <w:szCs w:val="16"/>
        </w:rPr>
        <w:t>Atkins v. Virginia</w:t>
      </w:r>
      <w:r w:rsidRPr="0010059B">
        <w:rPr>
          <w:rFonts w:ascii="Cambria" w:hAnsi="Cambria" w:cs="Arial"/>
          <w:sz w:val="16"/>
          <w:szCs w:val="16"/>
        </w:rPr>
        <w:t>, 536 U.S. 304 (2002).</w:t>
      </w:r>
    </w:p>
  </w:footnote>
  <w:footnote w:id="80">
    <w:p w14:paraId="6A76F027" w14:textId="77777777" w:rsidR="00EC21F7" w:rsidRPr="0010059B" w:rsidRDefault="00EC21F7" w:rsidP="00B8441C">
      <w:pPr>
        <w:pStyle w:val="FootnoteText"/>
        <w:jc w:val="both"/>
        <w:rPr>
          <w:rFonts w:ascii="Cambria" w:hAnsi="Cambria"/>
          <w:sz w:val="16"/>
          <w:szCs w:val="16"/>
        </w:rPr>
      </w:pPr>
      <w:r w:rsidRPr="0010059B">
        <w:rPr>
          <w:rStyle w:val="FootnoteReference"/>
          <w:rFonts w:ascii="Cambria" w:hAnsi="Cambria" w:cs="Arial"/>
          <w:sz w:val="16"/>
          <w:szCs w:val="16"/>
        </w:rPr>
        <w:footnoteRef/>
      </w:r>
      <w:r w:rsidRPr="0010059B">
        <w:rPr>
          <w:rFonts w:ascii="Cambria" w:hAnsi="Cambria" w:cs="Arial"/>
          <w:sz w:val="16"/>
          <w:szCs w:val="16"/>
        </w:rPr>
        <w:t xml:space="preserve"> </w:t>
      </w:r>
      <w:r w:rsidRPr="0010059B">
        <w:rPr>
          <w:rFonts w:ascii="Cambria" w:hAnsi="Cambria" w:cs="Arial"/>
          <w:i/>
          <w:iCs/>
          <w:sz w:val="16"/>
          <w:szCs w:val="16"/>
        </w:rPr>
        <w:t>Atkins v. Virginia</w:t>
      </w:r>
      <w:r w:rsidRPr="0010059B">
        <w:rPr>
          <w:rFonts w:ascii="Cambria" w:hAnsi="Cambria" w:cs="Arial"/>
          <w:sz w:val="16"/>
          <w:szCs w:val="16"/>
        </w:rPr>
        <w:t>, 536 U.S. 304 (2002) at 311-317.</w:t>
      </w:r>
    </w:p>
  </w:footnote>
  <w:footnote w:id="81">
    <w:p w14:paraId="6FE7FD0E" w14:textId="77777777" w:rsidR="00EC21F7" w:rsidRPr="004A5834" w:rsidRDefault="00EC21F7">
      <w:pPr>
        <w:pStyle w:val="FootnoteText"/>
        <w:rPr>
          <w:rFonts w:asciiTheme="majorHAnsi" w:hAnsiTheme="majorHAnsi"/>
          <w:sz w:val="16"/>
          <w:szCs w:val="16"/>
        </w:rPr>
      </w:pPr>
      <w:r w:rsidRPr="004A5834">
        <w:rPr>
          <w:rStyle w:val="FootnoteReference"/>
          <w:rFonts w:asciiTheme="majorHAnsi" w:hAnsiTheme="majorHAnsi"/>
          <w:sz w:val="16"/>
          <w:szCs w:val="16"/>
        </w:rPr>
        <w:footnoteRef/>
      </w:r>
      <w:r w:rsidRPr="004A5834">
        <w:rPr>
          <w:rFonts w:asciiTheme="majorHAnsi" w:hAnsiTheme="majorHAnsi"/>
          <w:sz w:val="16"/>
          <w:szCs w:val="16"/>
        </w:rPr>
        <w:t xml:space="preserve"> Panetti v. Quarterman, 551 U.S. 930 (2007).</w:t>
      </w:r>
    </w:p>
  </w:footnote>
  <w:footnote w:id="82">
    <w:p w14:paraId="31E3E9B7" w14:textId="77777777" w:rsidR="00EC21F7" w:rsidRPr="0010059B" w:rsidRDefault="00EC21F7" w:rsidP="00AE6157">
      <w:pPr>
        <w:pStyle w:val="FootnoteText"/>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Article XXV of the American Declaration provides: “[…] Every individual who has been deprived of his liberty has the right […] to humane treatment during the time he is in custody.” </w:t>
      </w:r>
    </w:p>
    <w:p w14:paraId="0F89CD0D" w14:textId="77777777" w:rsidR="00EC21F7" w:rsidRPr="0010059B" w:rsidRDefault="00EC21F7" w:rsidP="00AE6157">
      <w:pPr>
        <w:pStyle w:val="FootnoteText"/>
        <w:jc w:val="both"/>
        <w:rPr>
          <w:rFonts w:asciiTheme="majorHAnsi" w:hAnsiTheme="majorHAnsi"/>
          <w:color w:val="auto"/>
          <w:sz w:val="16"/>
          <w:szCs w:val="16"/>
        </w:rPr>
      </w:pPr>
      <w:r w:rsidRPr="0010059B">
        <w:rPr>
          <w:rFonts w:asciiTheme="majorHAnsi" w:hAnsiTheme="majorHAnsi"/>
          <w:color w:val="auto"/>
          <w:sz w:val="16"/>
          <w:szCs w:val="16"/>
        </w:rPr>
        <w:t>Article XXVI of the American Declaration provides: “[…] Every person accused of an offense has the right […] not to receive cruel, infamous or unusual punishment.”</w:t>
      </w:r>
    </w:p>
  </w:footnote>
  <w:footnote w:id="83">
    <w:p w14:paraId="348C2EB6" w14:textId="77777777" w:rsidR="00EC21F7" w:rsidRPr="0010059B" w:rsidRDefault="00EC21F7" w:rsidP="00AE6157">
      <w:pPr>
        <w:pStyle w:val="FootnoteText"/>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Style w:val="FootnoteReference"/>
          <w:rFonts w:asciiTheme="majorHAnsi" w:hAnsiTheme="majorHAnsi"/>
          <w:color w:val="auto"/>
          <w:sz w:val="16"/>
          <w:szCs w:val="16"/>
        </w:rPr>
        <w:t xml:space="preserve"> </w:t>
      </w:r>
      <w:r w:rsidRPr="0010059B">
        <w:rPr>
          <w:rFonts w:asciiTheme="majorHAnsi" w:hAnsiTheme="majorHAnsi"/>
          <w:color w:val="auto"/>
          <w:sz w:val="16"/>
          <w:szCs w:val="16"/>
        </w:rPr>
        <w:t>IACHR, Report No. 71/18, Case 12.958. Merits. Russell Bucklew. United States, May 10, 2018, paras. 86-90. In this report the Commission has cited a number of developments in the inter-American and other protections systems, including the regional and United Nations systems.</w:t>
      </w:r>
    </w:p>
  </w:footnote>
  <w:footnote w:id="84">
    <w:p w14:paraId="00E8BE6F" w14:textId="77777777" w:rsidR="00EC21F7" w:rsidRPr="0010059B" w:rsidRDefault="00EC21F7" w:rsidP="00AE6157">
      <w:pPr>
        <w:pStyle w:val="FootnoteText"/>
        <w:tabs>
          <w:tab w:val="right" w:pos="0"/>
          <w:tab w:val="left" w:pos="180"/>
          <w:tab w:val="left" w:pos="900"/>
        </w:tabs>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United Nations. Report of the Special Rapporteur on torture and other cruel, inhuman or degrading treatment of punishment.  9 August 2012. A/67/279, para 42. Citing: Patrick Hudson, “Does the death row phenomenon violate a prisoner’s rights under international law?”, </w:t>
      </w:r>
      <w:r w:rsidRPr="0010059B">
        <w:rPr>
          <w:rFonts w:asciiTheme="majorHAnsi" w:hAnsiTheme="majorHAnsi"/>
          <w:i/>
          <w:sz w:val="16"/>
          <w:szCs w:val="16"/>
        </w:rPr>
        <w:t>European Journal of International Law</w:t>
      </w:r>
      <w:r w:rsidRPr="0010059B">
        <w:rPr>
          <w:rFonts w:asciiTheme="majorHAnsi" w:hAnsiTheme="majorHAnsi"/>
          <w:sz w:val="16"/>
          <w:szCs w:val="16"/>
        </w:rPr>
        <w:t>, vol. 11, No. 4 (2000), pp. 834-837.</w:t>
      </w:r>
    </w:p>
  </w:footnote>
  <w:footnote w:id="85">
    <w:p w14:paraId="7BDE5248"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United Nations. Report of the Special Rapporteur on torture and other cruel, inhuman or degrading treatment of punishment.  9 August 2012. A/67/279. para 42.</w:t>
      </w:r>
    </w:p>
  </w:footnote>
  <w:footnote w:id="86">
    <w:p w14:paraId="1B078993" w14:textId="77777777" w:rsidR="00EC21F7" w:rsidRPr="0010059B" w:rsidRDefault="00EC21F7" w:rsidP="00AE6157">
      <w:pPr>
        <w:pStyle w:val="FootnoteText"/>
        <w:tabs>
          <w:tab w:val="right" w:pos="540"/>
          <w:tab w:val="left" w:pos="900"/>
        </w:tabs>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ECtHR. Case of Soering v. The United Kingdom. Report No. 14038/88. Judgment, July 7, 1989. para. 104.</w:t>
      </w:r>
    </w:p>
  </w:footnote>
  <w:footnote w:id="87">
    <w:p w14:paraId="0B357D56" w14:textId="77777777" w:rsidR="00EC21F7" w:rsidRPr="0010059B" w:rsidRDefault="00EC21F7" w:rsidP="00AE6157">
      <w:pPr>
        <w:pStyle w:val="FootnoteText"/>
        <w:jc w:val="both"/>
        <w:rPr>
          <w:sz w:val="16"/>
          <w:szCs w:val="16"/>
        </w:rPr>
      </w:pPr>
      <w:r w:rsidRPr="0010059B">
        <w:rPr>
          <w:rStyle w:val="FootnoteReference"/>
          <w:rFonts w:ascii="Cambria" w:hAnsi="Cambria"/>
          <w:sz w:val="16"/>
          <w:szCs w:val="16"/>
        </w:rPr>
        <w:footnoteRef/>
      </w:r>
      <w:r w:rsidRPr="0010059B">
        <w:rPr>
          <w:rFonts w:asciiTheme="majorHAnsi" w:hAnsiTheme="majorHAnsi"/>
          <w:sz w:val="16"/>
          <w:szCs w:val="16"/>
        </w:rPr>
        <w:t xml:space="preserve"> ECtHR. Case of Soering v. The United Kingdom.</w:t>
      </w:r>
      <w:r w:rsidRPr="0010059B">
        <w:rPr>
          <w:rFonts w:ascii="Cambria" w:hAnsi="Cambria"/>
          <w:sz w:val="16"/>
          <w:szCs w:val="16"/>
        </w:rPr>
        <w:t xml:space="preserve"> Judgment of July 7, 1989. Series A, Vol. 161. Likewise, the Supreme Court of the United States of America recognized in Furman v. Georgia that the time spent awaiting the execution of a death sentence destroys the human spirit and constitutes psychological torture that often leads to insanity. Cf. Furman v. Georgia, 408 U.S. 238, 287‐288 (197).</w:t>
      </w:r>
    </w:p>
  </w:footnote>
  <w:footnote w:id="88">
    <w:p w14:paraId="1E15F0CF" w14:textId="77777777" w:rsidR="00EC21F7" w:rsidRPr="0010059B" w:rsidRDefault="00EC21F7" w:rsidP="00AE6157">
      <w:pPr>
        <w:pStyle w:val="FootnoteText"/>
        <w:tabs>
          <w:tab w:val="right" w:pos="540"/>
          <w:tab w:val="left" w:pos="900"/>
        </w:tabs>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ECtHR. Case of Soering v. The United Kingdom. Report No. 14038/88. Judgment, July 7, 1989. para. 106.</w:t>
      </w:r>
    </w:p>
  </w:footnote>
  <w:footnote w:id="89">
    <w:p w14:paraId="4AC40140" w14:textId="191CDC67" w:rsidR="00EC21F7" w:rsidRPr="0010059B" w:rsidRDefault="00EC21F7" w:rsidP="00AE6157">
      <w:pPr>
        <w:pStyle w:val="FootnoteText"/>
        <w:tabs>
          <w:tab w:val="right" w:pos="540"/>
          <w:tab w:val="left" w:pos="900"/>
        </w:tabs>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ECtHR. Case of Soering v. The United Kingdom. Report No. 14038/88. Judgment, July 7, 1989. para. 111.</w:t>
      </w:r>
    </w:p>
  </w:footnote>
  <w:footnote w:id="90">
    <w:p w14:paraId="5C70DC19" w14:textId="77777777" w:rsidR="00EC21F7" w:rsidRPr="0010059B" w:rsidRDefault="00EC21F7" w:rsidP="00AE6157">
      <w:pPr>
        <w:widowControl w:val="0"/>
        <w:autoSpaceDE w:val="0"/>
        <w:autoSpaceDN w:val="0"/>
        <w:adjustRightInd w:val="0"/>
        <w:jc w:val="both"/>
        <w:rPr>
          <w:rFonts w:asciiTheme="majorHAnsi" w:hAnsiTheme="majorHAnsi" w:cs="Arial"/>
          <w:bCs/>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Pratt and Morgan v. The Attorney General for Jamaica and another (Jamaica) [1993] UKPC 1 (2nd November, 1993), paragraphs 73, 74, 75, and 84. </w:t>
      </w:r>
    </w:p>
  </w:footnote>
  <w:footnote w:id="91">
    <w:p w14:paraId="70B8A1D7"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Supreme Court of Uganda in </w:t>
      </w:r>
      <w:r w:rsidRPr="0010059B">
        <w:rPr>
          <w:rFonts w:asciiTheme="majorHAnsi" w:hAnsiTheme="majorHAnsi"/>
          <w:i/>
          <w:sz w:val="16"/>
          <w:szCs w:val="16"/>
        </w:rPr>
        <w:t>Attorney General v. Susan Kigula</w:t>
      </w:r>
      <w:r w:rsidRPr="0010059B">
        <w:rPr>
          <w:rFonts w:asciiTheme="majorHAnsi" w:hAnsiTheme="majorHAnsi"/>
          <w:sz w:val="16"/>
          <w:szCs w:val="16"/>
        </w:rPr>
        <w:t xml:space="preserve"> and 417 others (Constitutional Appeal No. 3 of 2006), 2009.</w:t>
      </w:r>
    </w:p>
  </w:footnote>
  <w:footnote w:id="92">
    <w:p w14:paraId="7625B17C"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Judgment of the Supreme Court of Zimbabwe of 24 June 1993 in </w:t>
      </w:r>
      <w:r w:rsidRPr="0010059B">
        <w:rPr>
          <w:rFonts w:asciiTheme="majorHAnsi" w:hAnsiTheme="majorHAnsi"/>
          <w:i/>
          <w:sz w:val="16"/>
          <w:szCs w:val="16"/>
        </w:rPr>
        <w:t>Catholic Commissioner for Justice and Peace in Zimbabwe v. Attorney General</w:t>
      </w:r>
      <w:r w:rsidRPr="0010059B">
        <w:rPr>
          <w:rFonts w:asciiTheme="majorHAnsi" w:hAnsiTheme="majorHAnsi"/>
          <w:sz w:val="16"/>
          <w:szCs w:val="16"/>
        </w:rPr>
        <w:t xml:space="preserve"> (4) SA 239 (ZS).</w:t>
      </w:r>
    </w:p>
  </w:footnote>
  <w:footnote w:id="93">
    <w:p w14:paraId="1F16CFF8" w14:textId="77777777" w:rsidR="00EC21F7" w:rsidRPr="0010059B" w:rsidRDefault="00EC21F7" w:rsidP="00AE6157">
      <w:pPr>
        <w:pStyle w:val="FootnoteText"/>
        <w:tabs>
          <w:tab w:val="right" w:pos="540"/>
          <w:tab w:val="left" w:pos="900"/>
        </w:tabs>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Style w:val="FootnoteReference"/>
          <w:rFonts w:asciiTheme="majorHAnsi" w:hAnsiTheme="majorHAnsi"/>
          <w:sz w:val="16"/>
          <w:szCs w:val="16"/>
        </w:rPr>
        <w:t xml:space="preserve"> </w:t>
      </w:r>
      <w:r w:rsidRPr="0010059B">
        <w:rPr>
          <w:rFonts w:asciiTheme="majorHAnsi" w:hAnsiTheme="majorHAnsi"/>
          <w:sz w:val="16"/>
          <w:szCs w:val="16"/>
        </w:rPr>
        <w:t xml:space="preserve">CIDH, Report No. 58/02. Merits. Case 12.275. Denton Aitken. Jamaica. October 21, 2000, paragraphs 133 and 134 </w:t>
      </w:r>
    </w:p>
  </w:footnote>
  <w:footnote w:id="94">
    <w:p w14:paraId="4935228D" w14:textId="77777777" w:rsidR="00EC21F7" w:rsidRPr="0010059B" w:rsidRDefault="00EC21F7" w:rsidP="00AE6157">
      <w:pPr>
        <w:pStyle w:val="FootnoteText"/>
        <w:jc w:val="both"/>
        <w:rPr>
          <w:rFonts w:asciiTheme="majorHAnsi" w:hAnsiTheme="majorHAnsi"/>
          <w:sz w:val="16"/>
          <w:szCs w:val="16"/>
        </w:rPr>
      </w:pPr>
      <w:r w:rsidRPr="0010059B">
        <w:rPr>
          <w:rStyle w:val="FootnoteReference"/>
          <w:rFonts w:asciiTheme="majorHAnsi" w:hAnsiTheme="majorHAnsi"/>
          <w:sz w:val="16"/>
          <w:szCs w:val="16"/>
        </w:rPr>
        <w:footnoteRef/>
      </w:r>
      <w:r w:rsidRPr="0010059B">
        <w:rPr>
          <w:rFonts w:asciiTheme="majorHAnsi" w:hAnsiTheme="majorHAnsi"/>
          <w:sz w:val="16"/>
          <w:szCs w:val="16"/>
        </w:rPr>
        <w:t xml:space="preserve"> United Nations. Report of the Special Rapporteur on torture and other cruel, inhuman or degrading treatment of punishment.  9 August 2012. A/67/279. para 48.</w:t>
      </w:r>
    </w:p>
  </w:footnote>
  <w:footnote w:id="95">
    <w:p w14:paraId="2B58C4BD" w14:textId="77777777" w:rsidR="00EC21F7" w:rsidRPr="00700471" w:rsidRDefault="00EC21F7" w:rsidP="00EC21F7">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10059B">
        <w:rPr>
          <w:rFonts w:asciiTheme="majorHAnsi" w:hAnsiTheme="majorHAnsi"/>
          <w:color w:val="auto"/>
          <w:sz w:val="16"/>
          <w:szCs w:val="16"/>
        </w:rPr>
        <w:t>Ser.L</w:t>
      </w:r>
      <w:proofErr w:type="spellEnd"/>
      <w:r w:rsidRPr="0010059B">
        <w:rPr>
          <w:rFonts w:asciiTheme="majorHAnsi" w:hAnsiTheme="majorHAnsi"/>
          <w:color w:val="auto"/>
          <w:sz w:val="16"/>
          <w:szCs w:val="16"/>
        </w:rPr>
        <w:t>/V/</w:t>
      </w:r>
      <w:proofErr w:type="gramStart"/>
      <w:r w:rsidRPr="0010059B">
        <w:rPr>
          <w:rFonts w:asciiTheme="majorHAnsi" w:hAnsiTheme="majorHAnsi"/>
          <w:color w:val="auto"/>
          <w:sz w:val="16"/>
          <w:szCs w:val="16"/>
        </w:rPr>
        <w:t>II.Doc</w:t>
      </w:r>
      <w:proofErr w:type="gramEnd"/>
      <w:r w:rsidRPr="0010059B">
        <w:rPr>
          <w:rFonts w:asciiTheme="majorHAnsi" w:hAnsiTheme="majorHAnsi"/>
          <w:color w:val="auto"/>
          <w:sz w:val="16"/>
          <w:szCs w:val="16"/>
        </w:rPr>
        <w:t xml:space="preserve"> 68, December 31, 2011.</w:t>
      </w:r>
    </w:p>
  </w:footnote>
  <w:footnote w:id="96">
    <w:p w14:paraId="167B63AD" w14:textId="77777777" w:rsidR="00EC21F7" w:rsidRPr="00700471" w:rsidRDefault="00EC21F7" w:rsidP="00AE6157">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rPr>
      </w:pPr>
      <w:r w:rsidRPr="0010059B">
        <w:rPr>
          <w:rStyle w:val="FootnoteReference"/>
          <w:rFonts w:asciiTheme="majorHAnsi" w:hAnsiTheme="majorHAnsi"/>
          <w:color w:val="auto"/>
          <w:sz w:val="16"/>
          <w:szCs w:val="16"/>
        </w:rPr>
        <w:footnoteRef/>
      </w:r>
      <w:r w:rsidRPr="0010059B">
        <w:rPr>
          <w:rFonts w:asciiTheme="majorHAnsi" w:hAnsiTheme="majorHAnsi"/>
          <w:color w:val="auto"/>
          <w:sz w:val="16"/>
          <w:szCs w:val="16"/>
        </w:rPr>
        <w:t xml:space="preserve"> See in this regard, IACHR, The death penalty in the Inter-American Human Rights System: From restrictions to abolition, OEA/Ser.L/V/</w:t>
      </w:r>
      <w:proofErr w:type="gramStart"/>
      <w:r w:rsidRPr="0010059B">
        <w:rPr>
          <w:rFonts w:asciiTheme="majorHAnsi" w:hAnsiTheme="majorHAnsi"/>
          <w:color w:val="auto"/>
          <w:sz w:val="16"/>
          <w:szCs w:val="16"/>
        </w:rPr>
        <w:t>II.Doc</w:t>
      </w:r>
      <w:proofErr w:type="gramEnd"/>
      <w:r w:rsidRPr="0010059B">
        <w:rPr>
          <w:rFonts w:asciiTheme="majorHAnsi" w:hAnsiTheme="majorHAnsi"/>
          <w:color w:val="auto"/>
          <w:sz w:val="16"/>
          <w:szCs w:val="16"/>
        </w:rPr>
        <w:t xml:space="preserve"> 68, December 31,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5D36" w14:textId="77777777" w:rsidR="00EC21F7" w:rsidRDefault="00EC21F7"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32B7FB" w14:textId="77777777" w:rsidR="00EC21F7" w:rsidRDefault="00EC2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AD6C" w14:textId="77777777" w:rsidR="00EC21F7" w:rsidRDefault="00EC21F7" w:rsidP="002C1641">
    <w:pPr>
      <w:pStyle w:val="Header"/>
      <w:tabs>
        <w:tab w:val="clear" w:pos="4320"/>
        <w:tab w:val="clear" w:pos="8640"/>
      </w:tabs>
      <w:jc w:val="center"/>
      <w:rPr>
        <w:sz w:val="22"/>
        <w:szCs w:val="22"/>
      </w:rPr>
    </w:pPr>
    <w:r>
      <w:rPr>
        <w:noProof/>
        <w:sz w:val="22"/>
        <w:szCs w:val="22"/>
      </w:rPr>
      <w:drawing>
        <wp:inline distT="0" distB="0" distL="0" distR="0" wp14:anchorId="0E5CA0D8" wp14:editId="12933C5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771D111" w14:textId="77777777" w:rsidR="00EC21F7" w:rsidRPr="00EC7D62" w:rsidRDefault="009B4D4E" w:rsidP="002C1641">
    <w:pPr>
      <w:pStyle w:val="Header"/>
      <w:tabs>
        <w:tab w:val="clear" w:pos="4320"/>
        <w:tab w:val="clear" w:pos="8640"/>
      </w:tabs>
      <w:jc w:val="center"/>
      <w:rPr>
        <w:sz w:val="22"/>
        <w:szCs w:val="22"/>
      </w:rPr>
    </w:pPr>
    <w:r>
      <w:rPr>
        <w:noProof/>
        <w:sz w:val="22"/>
        <w:szCs w:val="22"/>
        <w:bdr w:val="nil"/>
      </w:rPr>
      <w:pict w14:anchorId="09C7AE5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1"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14" w15:restartNumberingAfterBreak="0">
    <w:nsid w:val="24B32CF0"/>
    <w:multiLevelType w:val="hybridMultilevel"/>
    <w:tmpl w:val="69BCD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color w:val="000000"/>
        <w:position w:val="0"/>
        <w:sz w:val="22"/>
        <w:szCs w:val="22"/>
        <w:u w:color="000000"/>
        <w:lang w:val="es-ES_tradnl"/>
      </w:rPr>
    </w:lvl>
  </w:abstractNum>
  <w:abstractNum w:abstractNumId="27"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3" w15:restartNumberingAfterBreak="0">
    <w:nsid w:val="45482D2C"/>
    <w:multiLevelType w:val="hybridMultilevel"/>
    <w:tmpl w:val="AFB8B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2" w15:restartNumberingAfterBreak="0">
    <w:nsid w:val="524A2B98"/>
    <w:multiLevelType w:val="hybridMultilevel"/>
    <w:tmpl w:val="6E288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5"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abstractNum w:abstractNumId="47" w15:restartNumberingAfterBreak="0">
    <w:nsid w:val="5A9C4AA4"/>
    <w:multiLevelType w:val="hybridMultilevel"/>
    <w:tmpl w:val="F7C4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49"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color="000000"/>
        <w:lang w:val="es-ES_tradnl"/>
      </w:rPr>
    </w:lvl>
  </w:abstractNum>
  <w:abstractNum w:abstractNumId="53"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6" w15:restartNumberingAfterBreak="0">
    <w:nsid w:val="70786ED7"/>
    <w:multiLevelType w:val="hybridMultilevel"/>
    <w:tmpl w:val="13040354"/>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
        <w:b/>
        <w:bCs/>
        <w:color w:val="000000"/>
        <w:position w:val="0"/>
        <w:sz w:val="22"/>
        <w:szCs w:val="22"/>
        <w:u w:color="000000"/>
        <w:lang w:val="es-ES_tradnl"/>
      </w:rPr>
    </w:lvl>
  </w:abstractNum>
  <w:abstractNum w:abstractNumId="60" w15:restartNumberingAfterBreak="0">
    <w:nsid w:val="7994649A"/>
    <w:multiLevelType w:val="hybridMultilevel"/>
    <w:tmpl w:val="0EECEAD0"/>
    <w:lvl w:ilvl="0" w:tplc="C6FEA96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2"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1"/>
  </w:num>
  <w:num w:numId="5">
    <w:abstractNumId w:val="52"/>
  </w:num>
  <w:num w:numId="6">
    <w:abstractNumId w:val="26"/>
  </w:num>
  <w:num w:numId="7">
    <w:abstractNumId w:val="5"/>
  </w:num>
  <w:num w:numId="8">
    <w:abstractNumId w:val="17"/>
  </w:num>
  <w:num w:numId="9">
    <w:abstractNumId w:val="44"/>
  </w:num>
  <w:num w:numId="10">
    <w:abstractNumId w:val="0"/>
  </w:num>
  <w:num w:numId="11">
    <w:abstractNumId w:val="37"/>
  </w:num>
  <w:num w:numId="12">
    <w:abstractNumId w:val="38"/>
  </w:num>
  <w:num w:numId="13">
    <w:abstractNumId w:val="46"/>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4"/>
  </w:num>
  <w:num w:numId="37">
    <w:abstractNumId w:val="35"/>
  </w:num>
  <w:num w:numId="38">
    <w:abstractNumId w:val="36"/>
  </w:num>
  <w:num w:numId="39">
    <w:abstractNumId w:val="39"/>
  </w:num>
  <w:num w:numId="40">
    <w:abstractNumId w:val="40"/>
  </w:num>
  <w:num w:numId="41">
    <w:abstractNumId w:val="51"/>
  </w:num>
  <w:num w:numId="42">
    <w:abstractNumId w:val="54"/>
  </w:num>
  <w:num w:numId="43">
    <w:abstractNumId w:val="55"/>
  </w:num>
  <w:num w:numId="44">
    <w:abstractNumId w:val="57"/>
  </w:num>
  <w:num w:numId="45">
    <w:abstractNumId w:val="58"/>
  </w:num>
  <w:num w:numId="46">
    <w:abstractNumId w:val="61"/>
  </w:num>
  <w:num w:numId="47">
    <w:abstractNumId w:val="63"/>
  </w:num>
  <w:num w:numId="48">
    <w:abstractNumId w:val="64"/>
  </w:num>
  <w:num w:numId="49">
    <w:abstractNumId w:val="65"/>
  </w:num>
  <w:num w:numId="50">
    <w:abstractNumId w:val="66"/>
  </w:num>
  <w:num w:numId="51">
    <w:abstractNumId w:val="20"/>
  </w:num>
  <w:num w:numId="52">
    <w:abstractNumId w:val="41"/>
  </w:num>
  <w:num w:numId="53">
    <w:abstractNumId w:val="56"/>
  </w:num>
  <w:num w:numId="54">
    <w:abstractNumId w:val="48"/>
  </w:num>
  <w:num w:numId="55">
    <w:abstractNumId w:val="50"/>
  </w:num>
  <w:num w:numId="56">
    <w:abstractNumId w:val="45"/>
  </w:num>
  <w:num w:numId="57">
    <w:abstractNumId w:val="53"/>
  </w:num>
  <w:num w:numId="58">
    <w:abstractNumId w:val="42"/>
  </w:num>
  <w:num w:numId="59">
    <w:abstractNumId w:val="62"/>
  </w:num>
  <w:num w:numId="60">
    <w:abstractNumId w:val="43"/>
  </w:num>
  <w:num w:numId="61">
    <w:abstractNumId w:val="27"/>
  </w:num>
  <w:num w:numId="62">
    <w:abstractNumId w:val="11"/>
  </w:num>
  <w:num w:numId="63">
    <w:abstractNumId w:val="49"/>
  </w:num>
  <w:num w:numId="64">
    <w:abstractNumId w:val="60"/>
  </w:num>
  <w:num w:numId="65">
    <w:abstractNumId w:val="14"/>
  </w:num>
  <w:num w:numId="66">
    <w:abstractNumId w:val="33"/>
  </w:num>
  <w:num w:numId="67">
    <w:abstractNumId w:val="47"/>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707"/>
    <w:rsid w:val="00000CDA"/>
    <w:rsid w:val="00001132"/>
    <w:rsid w:val="00001B5B"/>
    <w:rsid w:val="00002328"/>
    <w:rsid w:val="000038CF"/>
    <w:rsid w:val="000043BF"/>
    <w:rsid w:val="00004774"/>
    <w:rsid w:val="0000506A"/>
    <w:rsid w:val="000050CC"/>
    <w:rsid w:val="00006DD7"/>
    <w:rsid w:val="00006E50"/>
    <w:rsid w:val="00006EDD"/>
    <w:rsid w:val="000070D7"/>
    <w:rsid w:val="00007690"/>
    <w:rsid w:val="00007B4D"/>
    <w:rsid w:val="00007C5F"/>
    <w:rsid w:val="00007D97"/>
    <w:rsid w:val="00010877"/>
    <w:rsid w:val="00010A7E"/>
    <w:rsid w:val="00010E1E"/>
    <w:rsid w:val="00011094"/>
    <w:rsid w:val="000111A8"/>
    <w:rsid w:val="00011553"/>
    <w:rsid w:val="00011E4C"/>
    <w:rsid w:val="00011EB8"/>
    <w:rsid w:val="00012470"/>
    <w:rsid w:val="00012683"/>
    <w:rsid w:val="00012ADD"/>
    <w:rsid w:val="00012E4F"/>
    <w:rsid w:val="00013850"/>
    <w:rsid w:val="00013F78"/>
    <w:rsid w:val="000157B5"/>
    <w:rsid w:val="00015F42"/>
    <w:rsid w:val="000160EE"/>
    <w:rsid w:val="00016852"/>
    <w:rsid w:val="00016E7C"/>
    <w:rsid w:val="00017552"/>
    <w:rsid w:val="0001788C"/>
    <w:rsid w:val="00021201"/>
    <w:rsid w:val="00022424"/>
    <w:rsid w:val="00022794"/>
    <w:rsid w:val="0002357A"/>
    <w:rsid w:val="00023A6D"/>
    <w:rsid w:val="00024730"/>
    <w:rsid w:val="00024BB7"/>
    <w:rsid w:val="00025D23"/>
    <w:rsid w:val="000265CB"/>
    <w:rsid w:val="0002681D"/>
    <w:rsid w:val="00026A6C"/>
    <w:rsid w:val="00027222"/>
    <w:rsid w:val="0003022F"/>
    <w:rsid w:val="00030834"/>
    <w:rsid w:val="000308C1"/>
    <w:rsid w:val="00031A82"/>
    <w:rsid w:val="000328C5"/>
    <w:rsid w:val="00032BDA"/>
    <w:rsid w:val="000331CA"/>
    <w:rsid w:val="0003324D"/>
    <w:rsid w:val="000332F4"/>
    <w:rsid w:val="00034E52"/>
    <w:rsid w:val="000351D4"/>
    <w:rsid w:val="00036A8A"/>
    <w:rsid w:val="00037388"/>
    <w:rsid w:val="00037CC9"/>
    <w:rsid w:val="00040ACF"/>
    <w:rsid w:val="00040C3A"/>
    <w:rsid w:val="000418DE"/>
    <w:rsid w:val="00042565"/>
    <w:rsid w:val="000427EE"/>
    <w:rsid w:val="00043556"/>
    <w:rsid w:val="0004390C"/>
    <w:rsid w:val="00044DA8"/>
    <w:rsid w:val="00045151"/>
    <w:rsid w:val="00045601"/>
    <w:rsid w:val="000459E0"/>
    <w:rsid w:val="00046803"/>
    <w:rsid w:val="0004681B"/>
    <w:rsid w:val="0004761C"/>
    <w:rsid w:val="00047F35"/>
    <w:rsid w:val="000516F4"/>
    <w:rsid w:val="000517B2"/>
    <w:rsid w:val="00051D5E"/>
    <w:rsid w:val="00051EB4"/>
    <w:rsid w:val="000520FB"/>
    <w:rsid w:val="00053172"/>
    <w:rsid w:val="00054E1B"/>
    <w:rsid w:val="000550C0"/>
    <w:rsid w:val="000564E1"/>
    <w:rsid w:val="000572DC"/>
    <w:rsid w:val="000576AA"/>
    <w:rsid w:val="00057A61"/>
    <w:rsid w:val="00057D4F"/>
    <w:rsid w:val="00057EDB"/>
    <w:rsid w:val="0006007A"/>
    <w:rsid w:val="00060666"/>
    <w:rsid w:val="0006097A"/>
    <w:rsid w:val="0006097F"/>
    <w:rsid w:val="00062C0F"/>
    <w:rsid w:val="00062C28"/>
    <w:rsid w:val="00062FEC"/>
    <w:rsid w:val="000630E1"/>
    <w:rsid w:val="000639C0"/>
    <w:rsid w:val="00064BE5"/>
    <w:rsid w:val="00064D49"/>
    <w:rsid w:val="000657E1"/>
    <w:rsid w:val="00066FD8"/>
    <w:rsid w:val="000679BC"/>
    <w:rsid w:val="0007019C"/>
    <w:rsid w:val="00070B00"/>
    <w:rsid w:val="00070F3A"/>
    <w:rsid w:val="0007127E"/>
    <w:rsid w:val="000716C5"/>
    <w:rsid w:val="00071A9D"/>
    <w:rsid w:val="00071E45"/>
    <w:rsid w:val="00073088"/>
    <w:rsid w:val="00074669"/>
    <w:rsid w:val="00075766"/>
    <w:rsid w:val="00075E23"/>
    <w:rsid w:val="000764E3"/>
    <w:rsid w:val="000764F2"/>
    <w:rsid w:val="00076D82"/>
    <w:rsid w:val="0007744E"/>
    <w:rsid w:val="00077A87"/>
    <w:rsid w:val="00080249"/>
    <w:rsid w:val="00080357"/>
    <w:rsid w:val="000807D0"/>
    <w:rsid w:val="00081EC3"/>
    <w:rsid w:val="000823DA"/>
    <w:rsid w:val="00082CBB"/>
    <w:rsid w:val="00082CF2"/>
    <w:rsid w:val="00082F7D"/>
    <w:rsid w:val="000830D5"/>
    <w:rsid w:val="0008319E"/>
    <w:rsid w:val="0008343B"/>
    <w:rsid w:val="00083E19"/>
    <w:rsid w:val="00083E3C"/>
    <w:rsid w:val="00084032"/>
    <w:rsid w:val="00084A11"/>
    <w:rsid w:val="00084C5B"/>
    <w:rsid w:val="00084FE7"/>
    <w:rsid w:val="00085F60"/>
    <w:rsid w:val="00085F65"/>
    <w:rsid w:val="000865E2"/>
    <w:rsid w:val="00086BFA"/>
    <w:rsid w:val="0008733D"/>
    <w:rsid w:val="000874D2"/>
    <w:rsid w:val="00090720"/>
    <w:rsid w:val="00091707"/>
    <w:rsid w:val="00091760"/>
    <w:rsid w:val="000919DF"/>
    <w:rsid w:val="000922C5"/>
    <w:rsid w:val="000924E3"/>
    <w:rsid w:val="00092817"/>
    <w:rsid w:val="000929D9"/>
    <w:rsid w:val="00092F32"/>
    <w:rsid w:val="00093055"/>
    <w:rsid w:val="0009344A"/>
    <w:rsid w:val="0009454E"/>
    <w:rsid w:val="00094AFA"/>
    <w:rsid w:val="00095575"/>
    <w:rsid w:val="0009575D"/>
    <w:rsid w:val="0009719E"/>
    <w:rsid w:val="000973C5"/>
    <w:rsid w:val="000973DC"/>
    <w:rsid w:val="00097966"/>
    <w:rsid w:val="00097DA5"/>
    <w:rsid w:val="000A0445"/>
    <w:rsid w:val="000A0EF3"/>
    <w:rsid w:val="000A1126"/>
    <w:rsid w:val="000A16DB"/>
    <w:rsid w:val="000A1E84"/>
    <w:rsid w:val="000A2085"/>
    <w:rsid w:val="000A250A"/>
    <w:rsid w:val="000A254B"/>
    <w:rsid w:val="000A3276"/>
    <w:rsid w:val="000A3E84"/>
    <w:rsid w:val="000A4138"/>
    <w:rsid w:val="000A4DDD"/>
    <w:rsid w:val="000A575F"/>
    <w:rsid w:val="000A584B"/>
    <w:rsid w:val="000A5B0F"/>
    <w:rsid w:val="000A62C0"/>
    <w:rsid w:val="000A650D"/>
    <w:rsid w:val="000A6C50"/>
    <w:rsid w:val="000A7A76"/>
    <w:rsid w:val="000A7DBA"/>
    <w:rsid w:val="000B040F"/>
    <w:rsid w:val="000B17A8"/>
    <w:rsid w:val="000B25FC"/>
    <w:rsid w:val="000B276D"/>
    <w:rsid w:val="000B2EF7"/>
    <w:rsid w:val="000B33CB"/>
    <w:rsid w:val="000B3593"/>
    <w:rsid w:val="000B44C0"/>
    <w:rsid w:val="000B478D"/>
    <w:rsid w:val="000B4AEC"/>
    <w:rsid w:val="000B4DAF"/>
    <w:rsid w:val="000B4DBB"/>
    <w:rsid w:val="000B4EAA"/>
    <w:rsid w:val="000B50C3"/>
    <w:rsid w:val="000B64A7"/>
    <w:rsid w:val="000B68C7"/>
    <w:rsid w:val="000B6B28"/>
    <w:rsid w:val="000B6F8A"/>
    <w:rsid w:val="000C0092"/>
    <w:rsid w:val="000C0149"/>
    <w:rsid w:val="000C04CF"/>
    <w:rsid w:val="000C067C"/>
    <w:rsid w:val="000C1094"/>
    <w:rsid w:val="000C1B5A"/>
    <w:rsid w:val="000C376B"/>
    <w:rsid w:val="000C3F7B"/>
    <w:rsid w:val="000C40E9"/>
    <w:rsid w:val="000C57C4"/>
    <w:rsid w:val="000C5983"/>
    <w:rsid w:val="000C6FFD"/>
    <w:rsid w:val="000D10DB"/>
    <w:rsid w:val="000D166E"/>
    <w:rsid w:val="000D167E"/>
    <w:rsid w:val="000D1FC1"/>
    <w:rsid w:val="000D1FC7"/>
    <w:rsid w:val="000D3921"/>
    <w:rsid w:val="000D3B27"/>
    <w:rsid w:val="000D4629"/>
    <w:rsid w:val="000D5691"/>
    <w:rsid w:val="000D6817"/>
    <w:rsid w:val="000D68F4"/>
    <w:rsid w:val="000D6EEF"/>
    <w:rsid w:val="000D7917"/>
    <w:rsid w:val="000E0F8F"/>
    <w:rsid w:val="000E1356"/>
    <w:rsid w:val="000E2A4D"/>
    <w:rsid w:val="000E2BD0"/>
    <w:rsid w:val="000E3937"/>
    <w:rsid w:val="000E44C7"/>
    <w:rsid w:val="000E4659"/>
    <w:rsid w:val="000E4F7F"/>
    <w:rsid w:val="000E56C3"/>
    <w:rsid w:val="000E69B3"/>
    <w:rsid w:val="000E6EDD"/>
    <w:rsid w:val="000E7140"/>
    <w:rsid w:val="000E7636"/>
    <w:rsid w:val="000E7AD7"/>
    <w:rsid w:val="000E7ED0"/>
    <w:rsid w:val="000E7EF9"/>
    <w:rsid w:val="000E7F69"/>
    <w:rsid w:val="000F0503"/>
    <w:rsid w:val="000F0A25"/>
    <w:rsid w:val="000F0E52"/>
    <w:rsid w:val="000F0EEC"/>
    <w:rsid w:val="000F1E39"/>
    <w:rsid w:val="000F214A"/>
    <w:rsid w:val="000F232B"/>
    <w:rsid w:val="000F2A83"/>
    <w:rsid w:val="000F4547"/>
    <w:rsid w:val="000F4C8A"/>
    <w:rsid w:val="000F4D36"/>
    <w:rsid w:val="000F5C19"/>
    <w:rsid w:val="000F5E9D"/>
    <w:rsid w:val="000F7049"/>
    <w:rsid w:val="000F7409"/>
    <w:rsid w:val="0010059B"/>
    <w:rsid w:val="00101553"/>
    <w:rsid w:val="00102348"/>
    <w:rsid w:val="001024E3"/>
    <w:rsid w:val="001025B1"/>
    <w:rsid w:val="001032AB"/>
    <w:rsid w:val="00103526"/>
    <w:rsid w:val="00104889"/>
    <w:rsid w:val="00104896"/>
    <w:rsid w:val="00104C50"/>
    <w:rsid w:val="00104ED3"/>
    <w:rsid w:val="00105433"/>
    <w:rsid w:val="001063FA"/>
    <w:rsid w:val="00106990"/>
    <w:rsid w:val="00106C74"/>
    <w:rsid w:val="00107414"/>
    <w:rsid w:val="00112617"/>
    <w:rsid w:val="001126EB"/>
    <w:rsid w:val="00113149"/>
    <w:rsid w:val="0011391E"/>
    <w:rsid w:val="00114527"/>
    <w:rsid w:val="00115009"/>
    <w:rsid w:val="001168E8"/>
    <w:rsid w:val="00116ABE"/>
    <w:rsid w:val="001170BA"/>
    <w:rsid w:val="00123ECD"/>
    <w:rsid w:val="00124CC1"/>
    <w:rsid w:val="001256C8"/>
    <w:rsid w:val="00125D3B"/>
    <w:rsid w:val="001267FB"/>
    <w:rsid w:val="00127715"/>
    <w:rsid w:val="00130A27"/>
    <w:rsid w:val="00130DE9"/>
    <w:rsid w:val="00131042"/>
    <w:rsid w:val="0013104F"/>
    <w:rsid w:val="00131239"/>
    <w:rsid w:val="00131640"/>
    <w:rsid w:val="0013178F"/>
    <w:rsid w:val="00131B01"/>
    <w:rsid w:val="00131F28"/>
    <w:rsid w:val="00132F65"/>
    <w:rsid w:val="00133465"/>
    <w:rsid w:val="00133FCF"/>
    <w:rsid w:val="0013403C"/>
    <w:rsid w:val="001345FE"/>
    <w:rsid w:val="00134B21"/>
    <w:rsid w:val="00134FF0"/>
    <w:rsid w:val="001357AD"/>
    <w:rsid w:val="0013624A"/>
    <w:rsid w:val="00136442"/>
    <w:rsid w:val="001365B6"/>
    <w:rsid w:val="001369FD"/>
    <w:rsid w:val="00137EBA"/>
    <w:rsid w:val="00137FBC"/>
    <w:rsid w:val="00140921"/>
    <w:rsid w:val="00141DEA"/>
    <w:rsid w:val="00142AE8"/>
    <w:rsid w:val="00143507"/>
    <w:rsid w:val="00143E4B"/>
    <w:rsid w:val="00143EB9"/>
    <w:rsid w:val="00144208"/>
    <w:rsid w:val="00144493"/>
    <w:rsid w:val="001449DF"/>
    <w:rsid w:val="00144E56"/>
    <w:rsid w:val="00145EDC"/>
    <w:rsid w:val="0014619A"/>
    <w:rsid w:val="0014619D"/>
    <w:rsid w:val="00147723"/>
    <w:rsid w:val="00147812"/>
    <w:rsid w:val="001503E0"/>
    <w:rsid w:val="00150DD0"/>
    <w:rsid w:val="00152085"/>
    <w:rsid w:val="00152829"/>
    <w:rsid w:val="00152944"/>
    <w:rsid w:val="0015335C"/>
    <w:rsid w:val="00154179"/>
    <w:rsid w:val="00154F8E"/>
    <w:rsid w:val="00155F1D"/>
    <w:rsid w:val="0015613B"/>
    <w:rsid w:val="00156F47"/>
    <w:rsid w:val="00157341"/>
    <w:rsid w:val="001577B2"/>
    <w:rsid w:val="00157A9F"/>
    <w:rsid w:val="001600A4"/>
    <w:rsid w:val="00160370"/>
    <w:rsid w:val="0016108B"/>
    <w:rsid w:val="00161150"/>
    <w:rsid w:val="00161160"/>
    <w:rsid w:val="00161BA2"/>
    <w:rsid w:val="00161E89"/>
    <w:rsid w:val="00162AAD"/>
    <w:rsid w:val="00162CEF"/>
    <w:rsid w:val="001638DF"/>
    <w:rsid w:val="0016440B"/>
    <w:rsid w:val="0016465A"/>
    <w:rsid w:val="00166F26"/>
    <w:rsid w:val="001676FE"/>
    <w:rsid w:val="00167A34"/>
    <w:rsid w:val="0017088C"/>
    <w:rsid w:val="00170952"/>
    <w:rsid w:val="00170976"/>
    <w:rsid w:val="001710D1"/>
    <w:rsid w:val="0017168D"/>
    <w:rsid w:val="00171725"/>
    <w:rsid w:val="00171CD9"/>
    <w:rsid w:val="001733D5"/>
    <w:rsid w:val="0017348C"/>
    <w:rsid w:val="001739DA"/>
    <w:rsid w:val="001739F5"/>
    <w:rsid w:val="00174601"/>
    <w:rsid w:val="001747B4"/>
    <w:rsid w:val="00174911"/>
    <w:rsid w:val="00174F72"/>
    <w:rsid w:val="00175596"/>
    <w:rsid w:val="00175827"/>
    <w:rsid w:val="0017635E"/>
    <w:rsid w:val="0017642E"/>
    <w:rsid w:val="00177010"/>
    <w:rsid w:val="0018037F"/>
    <w:rsid w:val="001805B4"/>
    <w:rsid w:val="00180D3C"/>
    <w:rsid w:val="00180E3B"/>
    <w:rsid w:val="001810E2"/>
    <w:rsid w:val="00181186"/>
    <w:rsid w:val="001819A8"/>
    <w:rsid w:val="001824D4"/>
    <w:rsid w:val="00182F27"/>
    <w:rsid w:val="00183AB8"/>
    <w:rsid w:val="00184083"/>
    <w:rsid w:val="00184BFA"/>
    <w:rsid w:val="00184C6F"/>
    <w:rsid w:val="00187268"/>
    <w:rsid w:val="00187CED"/>
    <w:rsid w:val="00190043"/>
    <w:rsid w:val="00190214"/>
    <w:rsid w:val="001917D9"/>
    <w:rsid w:val="00191F07"/>
    <w:rsid w:val="001928D4"/>
    <w:rsid w:val="0019332D"/>
    <w:rsid w:val="001937A5"/>
    <w:rsid w:val="00193862"/>
    <w:rsid w:val="00195976"/>
    <w:rsid w:val="001965CC"/>
    <w:rsid w:val="00196A0A"/>
    <w:rsid w:val="00196F64"/>
    <w:rsid w:val="0019748D"/>
    <w:rsid w:val="00197E28"/>
    <w:rsid w:val="001A0F47"/>
    <w:rsid w:val="001A1776"/>
    <w:rsid w:val="001A2434"/>
    <w:rsid w:val="001A3A62"/>
    <w:rsid w:val="001A4F37"/>
    <w:rsid w:val="001A5F27"/>
    <w:rsid w:val="001A6423"/>
    <w:rsid w:val="001A64EB"/>
    <w:rsid w:val="001A6951"/>
    <w:rsid w:val="001A7214"/>
    <w:rsid w:val="001A7439"/>
    <w:rsid w:val="001A7870"/>
    <w:rsid w:val="001A7EDC"/>
    <w:rsid w:val="001B17B9"/>
    <w:rsid w:val="001B3279"/>
    <w:rsid w:val="001B3E12"/>
    <w:rsid w:val="001B4974"/>
    <w:rsid w:val="001B56BC"/>
    <w:rsid w:val="001B5F45"/>
    <w:rsid w:val="001B6BCF"/>
    <w:rsid w:val="001B6F6B"/>
    <w:rsid w:val="001B72E3"/>
    <w:rsid w:val="001B7BA1"/>
    <w:rsid w:val="001C04BF"/>
    <w:rsid w:val="001C152E"/>
    <w:rsid w:val="001C1B37"/>
    <w:rsid w:val="001C1B41"/>
    <w:rsid w:val="001C2003"/>
    <w:rsid w:val="001C2173"/>
    <w:rsid w:val="001C3032"/>
    <w:rsid w:val="001C307C"/>
    <w:rsid w:val="001C38BC"/>
    <w:rsid w:val="001C3B2D"/>
    <w:rsid w:val="001C4006"/>
    <w:rsid w:val="001C48AF"/>
    <w:rsid w:val="001C548C"/>
    <w:rsid w:val="001C6025"/>
    <w:rsid w:val="001C65B1"/>
    <w:rsid w:val="001C68E7"/>
    <w:rsid w:val="001C6E0E"/>
    <w:rsid w:val="001C6F52"/>
    <w:rsid w:val="001D0C61"/>
    <w:rsid w:val="001D1343"/>
    <w:rsid w:val="001D19F8"/>
    <w:rsid w:val="001D1A17"/>
    <w:rsid w:val="001D1FC1"/>
    <w:rsid w:val="001D2946"/>
    <w:rsid w:val="001D3189"/>
    <w:rsid w:val="001D328C"/>
    <w:rsid w:val="001D4D75"/>
    <w:rsid w:val="001D59B1"/>
    <w:rsid w:val="001D7B45"/>
    <w:rsid w:val="001E0270"/>
    <w:rsid w:val="001E1018"/>
    <w:rsid w:val="001E10CA"/>
    <w:rsid w:val="001E163E"/>
    <w:rsid w:val="001E2867"/>
    <w:rsid w:val="001E2C73"/>
    <w:rsid w:val="001E3060"/>
    <w:rsid w:val="001E3F3E"/>
    <w:rsid w:val="001E416C"/>
    <w:rsid w:val="001E477E"/>
    <w:rsid w:val="001E4D7D"/>
    <w:rsid w:val="001E53FB"/>
    <w:rsid w:val="001E5A1A"/>
    <w:rsid w:val="001E5F04"/>
    <w:rsid w:val="001E699E"/>
    <w:rsid w:val="001E6C37"/>
    <w:rsid w:val="001E7EEF"/>
    <w:rsid w:val="001F0B72"/>
    <w:rsid w:val="001F3B00"/>
    <w:rsid w:val="001F3CD7"/>
    <w:rsid w:val="001F3D15"/>
    <w:rsid w:val="001F4294"/>
    <w:rsid w:val="001F5250"/>
    <w:rsid w:val="001F62D9"/>
    <w:rsid w:val="001F66AA"/>
    <w:rsid w:val="00201715"/>
    <w:rsid w:val="00201F31"/>
    <w:rsid w:val="002027D1"/>
    <w:rsid w:val="00202A19"/>
    <w:rsid w:val="00202EED"/>
    <w:rsid w:val="00203307"/>
    <w:rsid w:val="00203841"/>
    <w:rsid w:val="00204924"/>
    <w:rsid w:val="00204DFD"/>
    <w:rsid w:val="002056C8"/>
    <w:rsid w:val="00205BCF"/>
    <w:rsid w:val="00206EA6"/>
    <w:rsid w:val="00207544"/>
    <w:rsid w:val="0021055A"/>
    <w:rsid w:val="00210E0E"/>
    <w:rsid w:val="0021240C"/>
    <w:rsid w:val="002129A7"/>
    <w:rsid w:val="00212CAA"/>
    <w:rsid w:val="002132CB"/>
    <w:rsid w:val="002133E3"/>
    <w:rsid w:val="00213A2F"/>
    <w:rsid w:val="0021422A"/>
    <w:rsid w:val="00215755"/>
    <w:rsid w:val="0021591D"/>
    <w:rsid w:val="00215CE2"/>
    <w:rsid w:val="00216CE5"/>
    <w:rsid w:val="00217D6A"/>
    <w:rsid w:val="0022169F"/>
    <w:rsid w:val="00222050"/>
    <w:rsid w:val="002226AA"/>
    <w:rsid w:val="00223245"/>
    <w:rsid w:val="002237A7"/>
    <w:rsid w:val="00225375"/>
    <w:rsid w:val="002256AE"/>
    <w:rsid w:val="002277C3"/>
    <w:rsid w:val="00227D01"/>
    <w:rsid w:val="0023061B"/>
    <w:rsid w:val="00231CD1"/>
    <w:rsid w:val="002351E7"/>
    <w:rsid w:val="00236FA5"/>
    <w:rsid w:val="0024028F"/>
    <w:rsid w:val="00240631"/>
    <w:rsid w:val="0024070A"/>
    <w:rsid w:val="00240A07"/>
    <w:rsid w:val="002416D6"/>
    <w:rsid w:val="00241B9E"/>
    <w:rsid w:val="0024247E"/>
    <w:rsid w:val="0024379B"/>
    <w:rsid w:val="00245446"/>
    <w:rsid w:val="00245547"/>
    <w:rsid w:val="0024571C"/>
    <w:rsid w:val="00245B37"/>
    <w:rsid w:val="002467B4"/>
    <w:rsid w:val="00246E7D"/>
    <w:rsid w:val="00246FE2"/>
    <w:rsid w:val="00247019"/>
    <w:rsid w:val="00247403"/>
    <w:rsid w:val="00247542"/>
    <w:rsid w:val="00247592"/>
    <w:rsid w:val="002478D5"/>
    <w:rsid w:val="00250662"/>
    <w:rsid w:val="00250B61"/>
    <w:rsid w:val="00250F0E"/>
    <w:rsid w:val="00250F42"/>
    <w:rsid w:val="00252FB1"/>
    <w:rsid w:val="00253096"/>
    <w:rsid w:val="00253347"/>
    <w:rsid w:val="00253F11"/>
    <w:rsid w:val="00253F1B"/>
    <w:rsid w:val="0025508F"/>
    <w:rsid w:val="00255140"/>
    <w:rsid w:val="002552DF"/>
    <w:rsid w:val="0025532E"/>
    <w:rsid w:val="00255475"/>
    <w:rsid w:val="00255759"/>
    <w:rsid w:val="00255B6E"/>
    <w:rsid w:val="00255DD3"/>
    <w:rsid w:val="00256020"/>
    <w:rsid w:val="00256112"/>
    <w:rsid w:val="00256813"/>
    <w:rsid w:val="00256D45"/>
    <w:rsid w:val="00256DDA"/>
    <w:rsid w:val="00257893"/>
    <w:rsid w:val="0026109F"/>
    <w:rsid w:val="0026154C"/>
    <w:rsid w:val="00262482"/>
    <w:rsid w:val="002626A2"/>
    <w:rsid w:val="002626F5"/>
    <w:rsid w:val="00262ECA"/>
    <w:rsid w:val="00263B2B"/>
    <w:rsid w:val="00264033"/>
    <w:rsid w:val="00264225"/>
    <w:rsid w:val="00264870"/>
    <w:rsid w:val="00264944"/>
    <w:rsid w:val="00265730"/>
    <w:rsid w:val="00266092"/>
    <w:rsid w:val="002669F0"/>
    <w:rsid w:val="00266B61"/>
    <w:rsid w:val="0026712A"/>
    <w:rsid w:val="00267891"/>
    <w:rsid w:val="00267EF0"/>
    <w:rsid w:val="002701A7"/>
    <w:rsid w:val="0027027C"/>
    <w:rsid w:val="002704DB"/>
    <w:rsid w:val="002704E0"/>
    <w:rsid w:val="00270C7A"/>
    <w:rsid w:val="00271175"/>
    <w:rsid w:val="00272596"/>
    <w:rsid w:val="00272597"/>
    <w:rsid w:val="00272854"/>
    <w:rsid w:val="00272A02"/>
    <w:rsid w:val="00272DAF"/>
    <w:rsid w:val="00272DEF"/>
    <w:rsid w:val="00272F7D"/>
    <w:rsid w:val="00273032"/>
    <w:rsid w:val="002730F6"/>
    <w:rsid w:val="00273176"/>
    <w:rsid w:val="0027328F"/>
    <w:rsid w:val="00273645"/>
    <w:rsid w:val="00273817"/>
    <w:rsid w:val="00274F86"/>
    <w:rsid w:val="002759B3"/>
    <w:rsid w:val="00275FC9"/>
    <w:rsid w:val="0027688C"/>
    <w:rsid w:val="00276A6B"/>
    <w:rsid w:val="00276C31"/>
    <w:rsid w:val="00277AC1"/>
    <w:rsid w:val="00277CC3"/>
    <w:rsid w:val="0028111A"/>
    <w:rsid w:val="00283909"/>
    <w:rsid w:val="00284E33"/>
    <w:rsid w:val="00284E86"/>
    <w:rsid w:val="002850E2"/>
    <w:rsid w:val="00285D4D"/>
    <w:rsid w:val="002869C6"/>
    <w:rsid w:val="00286BB1"/>
    <w:rsid w:val="00287642"/>
    <w:rsid w:val="00287680"/>
    <w:rsid w:val="00290094"/>
    <w:rsid w:val="00290384"/>
    <w:rsid w:val="00290BC0"/>
    <w:rsid w:val="00291C7D"/>
    <w:rsid w:val="00292239"/>
    <w:rsid w:val="00292CEC"/>
    <w:rsid w:val="00292E86"/>
    <w:rsid w:val="00292EEC"/>
    <w:rsid w:val="0029397E"/>
    <w:rsid w:val="00293AEB"/>
    <w:rsid w:val="00293B75"/>
    <w:rsid w:val="0029466E"/>
    <w:rsid w:val="00294727"/>
    <w:rsid w:val="00294B4A"/>
    <w:rsid w:val="00294FA9"/>
    <w:rsid w:val="0029615A"/>
    <w:rsid w:val="002963E4"/>
    <w:rsid w:val="0029692A"/>
    <w:rsid w:val="0029715B"/>
    <w:rsid w:val="00297288"/>
    <w:rsid w:val="0029754B"/>
    <w:rsid w:val="002A00C2"/>
    <w:rsid w:val="002A036F"/>
    <w:rsid w:val="002A05B1"/>
    <w:rsid w:val="002A07A8"/>
    <w:rsid w:val="002A1C6E"/>
    <w:rsid w:val="002A1D6A"/>
    <w:rsid w:val="002A1DEF"/>
    <w:rsid w:val="002A24D4"/>
    <w:rsid w:val="002A2720"/>
    <w:rsid w:val="002A2E09"/>
    <w:rsid w:val="002A3A4E"/>
    <w:rsid w:val="002A3CD5"/>
    <w:rsid w:val="002A733A"/>
    <w:rsid w:val="002A7A01"/>
    <w:rsid w:val="002B008D"/>
    <w:rsid w:val="002B01A2"/>
    <w:rsid w:val="002B0744"/>
    <w:rsid w:val="002B0BE7"/>
    <w:rsid w:val="002B110C"/>
    <w:rsid w:val="002B1184"/>
    <w:rsid w:val="002B28EE"/>
    <w:rsid w:val="002B2AB5"/>
    <w:rsid w:val="002B30E6"/>
    <w:rsid w:val="002B4889"/>
    <w:rsid w:val="002B4B61"/>
    <w:rsid w:val="002B5E26"/>
    <w:rsid w:val="002B5F8A"/>
    <w:rsid w:val="002B6613"/>
    <w:rsid w:val="002B7EA5"/>
    <w:rsid w:val="002C0899"/>
    <w:rsid w:val="002C10D7"/>
    <w:rsid w:val="002C1641"/>
    <w:rsid w:val="002C1EB3"/>
    <w:rsid w:val="002C3312"/>
    <w:rsid w:val="002C3671"/>
    <w:rsid w:val="002C3D66"/>
    <w:rsid w:val="002C4070"/>
    <w:rsid w:val="002C49BA"/>
    <w:rsid w:val="002C5044"/>
    <w:rsid w:val="002C507A"/>
    <w:rsid w:val="002C58D2"/>
    <w:rsid w:val="002C5A89"/>
    <w:rsid w:val="002C5EC4"/>
    <w:rsid w:val="002D033F"/>
    <w:rsid w:val="002D09CE"/>
    <w:rsid w:val="002D0C9A"/>
    <w:rsid w:val="002D10B0"/>
    <w:rsid w:val="002D295B"/>
    <w:rsid w:val="002D45C2"/>
    <w:rsid w:val="002D4CA0"/>
    <w:rsid w:val="002D5B26"/>
    <w:rsid w:val="002D5B60"/>
    <w:rsid w:val="002D628F"/>
    <w:rsid w:val="002D6E69"/>
    <w:rsid w:val="002D7DC4"/>
    <w:rsid w:val="002D7EA2"/>
    <w:rsid w:val="002E03A4"/>
    <w:rsid w:val="002E10DC"/>
    <w:rsid w:val="002E14FF"/>
    <w:rsid w:val="002E15DF"/>
    <w:rsid w:val="002E187C"/>
    <w:rsid w:val="002E18E3"/>
    <w:rsid w:val="002E1CDE"/>
    <w:rsid w:val="002E2451"/>
    <w:rsid w:val="002E3302"/>
    <w:rsid w:val="002E349E"/>
    <w:rsid w:val="002E35D7"/>
    <w:rsid w:val="002E3C15"/>
    <w:rsid w:val="002E432F"/>
    <w:rsid w:val="002E4563"/>
    <w:rsid w:val="002E4F78"/>
    <w:rsid w:val="002E5CB6"/>
    <w:rsid w:val="002E5CE1"/>
    <w:rsid w:val="002E61E7"/>
    <w:rsid w:val="002E6267"/>
    <w:rsid w:val="002E62CE"/>
    <w:rsid w:val="002E6465"/>
    <w:rsid w:val="002E6E57"/>
    <w:rsid w:val="002E755E"/>
    <w:rsid w:val="002E78C1"/>
    <w:rsid w:val="002E7E79"/>
    <w:rsid w:val="002F097A"/>
    <w:rsid w:val="002F15EA"/>
    <w:rsid w:val="002F163B"/>
    <w:rsid w:val="002F17C9"/>
    <w:rsid w:val="002F1A6B"/>
    <w:rsid w:val="002F1B00"/>
    <w:rsid w:val="002F2D41"/>
    <w:rsid w:val="002F2E1F"/>
    <w:rsid w:val="002F3202"/>
    <w:rsid w:val="002F333B"/>
    <w:rsid w:val="002F3554"/>
    <w:rsid w:val="002F3598"/>
    <w:rsid w:val="002F35CB"/>
    <w:rsid w:val="002F3D27"/>
    <w:rsid w:val="002F414B"/>
    <w:rsid w:val="002F443F"/>
    <w:rsid w:val="002F4602"/>
    <w:rsid w:val="002F503E"/>
    <w:rsid w:val="002F55A5"/>
    <w:rsid w:val="002F5E45"/>
    <w:rsid w:val="002F6201"/>
    <w:rsid w:val="002F63D9"/>
    <w:rsid w:val="002F6C1E"/>
    <w:rsid w:val="002F6ECD"/>
    <w:rsid w:val="002F7B0F"/>
    <w:rsid w:val="00301075"/>
    <w:rsid w:val="0030148A"/>
    <w:rsid w:val="003014EA"/>
    <w:rsid w:val="00301B3D"/>
    <w:rsid w:val="00301F71"/>
    <w:rsid w:val="00302733"/>
    <w:rsid w:val="0030287F"/>
    <w:rsid w:val="00303707"/>
    <w:rsid w:val="00303B04"/>
    <w:rsid w:val="0030446B"/>
    <w:rsid w:val="00304EED"/>
    <w:rsid w:val="003057C7"/>
    <w:rsid w:val="00305B36"/>
    <w:rsid w:val="0030600F"/>
    <w:rsid w:val="00306D2A"/>
    <w:rsid w:val="003078C0"/>
    <w:rsid w:val="00307C8D"/>
    <w:rsid w:val="00310227"/>
    <w:rsid w:val="0031107E"/>
    <w:rsid w:val="003112C6"/>
    <w:rsid w:val="00311A4F"/>
    <w:rsid w:val="003121F4"/>
    <w:rsid w:val="0031295E"/>
    <w:rsid w:val="00313332"/>
    <w:rsid w:val="00314078"/>
    <w:rsid w:val="003142B7"/>
    <w:rsid w:val="003145B8"/>
    <w:rsid w:val="003148C2"/>
    <w:rsid w:val="00314C20"/>
    <w:rsid w:val="00315905"/>
    <w:rsid w:val="00316559"/>
    <w:rsid w:val="0031724D"/>
    <w:rsid w:val="00317255"/>
    <w:rsid w:val="00317E8A"/>
    <w:rsid w:val="00320402"/>
    <w:rsid w:val="00320A64"/>
    <w:rsid w:val="00321A96"/>
    <w:rsid w:val="00322115"/>
    <w:rsid w:val="00322398"/>
    <w:rsid w:val="00322450"/>
    <w:rsid w:val="003241CF"/>
    <w:rsid w:val="003245A7"/>
    <w:rsid w:val="003246B5"/>
    <w:rsid w:val="003249CF"/>
    <w:rsid w:val="00325862"/>
    <w:rsid w:val="00326270"/>
    <w:rsid w:val="003262D9"/>
    <w:rsid w:val="003267B5"/>
    <w:rsid w:val="00326963"/>
    <w:rsid w:val="00327501"/>
    <w:rsid w:val="00330196"/>
    <w:rsid w:val="00330E0E"/>
    <w:rsid w:val="0033161A"/>
    <w:rsid w:val="00331687"/>
    <w:rsid w:val="0033169F"/>
    <w:rsid w:val="00332152"/>
    <w:rsid w:val="003330D2"/>
    <w:rsid w:val="00333E05"/>
    <w:rsid w:val="0033414F"/>
    <w:rsid w:val="00334737"/>
    <w:rsid w:val="003359B5"/>
    <w:rsid w:val="00336085"/>
    <w:rsid w:val="003362C3"/>
    <w:rsid w:val="0033706A"/>
    <w:rsid w:val="003371DA"/>
    <w:rsid w:val="00337546"/>
    <w:rsid w:val="003378E0"/>
    <w:rsid w:val="00337961"/>
    <w:rsid w:val="00337C43"/>
    <w:rsid w:val="003407E0"/>
    <w:rsid w:val="00340A95"/>
    <w:rsid w:val="003410A6"/>
    <w:rsid w:val="003414AC"/>
    <w:rsid w:val="003414E6"/>
    <w:rsid w:val="00341B2B"/>
    <w:rsid w:val="00342070"/>
    <w:rsid w:val="00342AF4"/>
    <w:rsid w:val="0034357F"/>
    <w:rsid w:val="0034376D"/>
    <w:rsid w:val="003447BB"/>
    <w:rsid w:val="003447C1"/>
    <w:rsid w:val="00344B38"/>
    <w:rsid w:val="003464A2"/>
    <w:rsid w:val="003465DE"/>
    <w:rsid w:val="00346D16"/>
    <w:rsid w:val="003476C7"/>
    <w:rsid w:val="00347700"/>
    <w:rsid w:val="00347742"/>
    <w:rsid w:val="0034794C"/>
    <w:rsid w:val="00347A03"/>
    <w:rsid w:val="00347AF6"/>
    <w:rsid w:val="00350A62"/>
    <w:rsid w:val="00350BB3"/>
    <w:rsid w:val="0035129B"/>
    <w:rsid w:val="00351AC1"/>
    <w:rsid w:val="003520F3"/>
    <w:rsid w:val="003538F7"/>
    <w:rsid w:val="0035485A"/>
    <w:rsid w:val="00355779"/>
    <w:rsid w:val="00356185"/>
    <w:rsid w:val="003566A9"/>
    <w:rsid w:val="00357206"/>
    <w:rsid w:val="00357C4D"/>
    <w:rsid w:val="00357D78"/>
    <w:rsid w:val="00360380"/>
    <w:rsid w:val="00360BA7"/>
    <w:rsid w:val="0036137D"/>
    <w:rsid w:val="00361EB7"/>
    <w:rsid w:val="00362FE0"/>
    <w:rsid w:val="0036346A"/>
    <w:rsid w:val="00365D52"/>
    <w:rsid w:val="00366182"/>
    <w:rsid w:val="003662DF"/>
    <w:rsid w:val="00366DBE"/>
    <w:rsid w:val="00367444"/>
    <w:rsid w:val="003675B8"/>
    <w:rsid w:val="00370AEA"/>
    <w:rsid w:val="00370DD4"/>
    <w:rsid w:val="003712A0"/>
    <w:rsid w:val="003712A2"/>
    <w:rsid w:val="003712A7"/>
    <w:rsid w:val="003712BB"/>
    <w:rsid w:val="00371EFD"/>
    <w:rsid w:val="0037269A"/>
    <w:rsid w:val="00372C5E"/>
    <w:rsid w:val="00372F8E"/>
    <w:rsid w:val="0037342C"/>
    <w:rsid w:val="00373790"/>
    <w:rsid w:val="003741EF"/>
    <w:rsid w:val="003745F9"/>
    <w:rsid w:val="00374940"/>
    <w:rsid w:val="003749B2"/>
    <w:rsid w:val="003750C8"/>
    <w:rsid w:val="003759D2"/>
    <w:rsid w:val="00376244"/>
    <w:rsid w:val="0037643F"/>
    <w:rsid w:val="00377798"/>
    <w:rsid w:val="00377AD8"/>
    <w:rsid w:val="00380645"/>
    <w:rsid w:val="00380A1D"/>
    <w:rsid w:val="00380B68"/>
    <w:rsid w:val="00380DA1"/>
    <w:rsid w:val="00380ECF"/>
    <w:rsid w:val="0038209A"/>
    <w:rsid w:val="00382598"/>
    <w:rsid w:val="00382B66"/>
    <w:rsid w:val="00382B98"/>
    <w:rsid w:val="00382CE7"/>
    <w:rsid w:val="0038330F"/>
    <w:rsid w:val="00384072"/>
    <w:rsid w:val="0038421B"/>
    <w:rsid w:val="00385B08"/>
    <w:rsid w:val="00386CF0"/>
    <w:rsid w:val="00386FEA"/>
    <w:rsid w:val="00387480"/>
    <w:rsid w:val="0038781B"/>
    <w:rsid w:val="003902B2"/>
    <w:rsid w:val="003905B4"/>
    <w:rsid w:val="0039061F"/>
    <w:rsid w:val="00390A8A"/>
    <w:rsid w:val="00390D19"/>
    <w:rsid w:val="00391CD8"/>
    <w:rsid w:val="00392F3A"/>
    <w:rsid w:val="00392FEA"/>
    <w:rsid w:val="00393C8E"/>
    <w:rsid w:val="00394608"/>
    <w:rsid w:val="0039471C"/>
    <w:rsid w:val="00394A5D"/>
    <w:rsid w:val="003954CE"/>
    <w:rsid w:val="00396106"/>
    <w:rsid w:val="003964BF"/>
    <w:rsid w:val="00397B1B"/>
    <w:rsid w:val="003A0C2D"/>
    <w:rsid w:val="003A187E"/>
    <w:rsid w:val="003A1AE3"/>
    <w:rsid w:val="003A27F4"/>
    <w:rsid w:val="003A2DC1"/>
    <w:rsid w:val="003A2E2E"/>
    <w:rsid w:val="003A3C43"/>
    <w:rsid w:val="003A4790"/>
    <w:rsid w:val="003A485E"/>
    <w:rsid w:val="003A4B42"/>
    <w:rsid w:val="003A5024"/>
    <w:rsid w:val="003A527A"/>
    <w:rsid w:val="003A6019"/>
    <w:rsid w:val="003A632E"/>
    <w:rsid w:val="003A71F1"/>
    <w:rsid w:val="003A7BFE"/>
    <w:rsid w:val="003B1361"/>
    <w:rsid w:val="003B2C86"/>
    <w:rsid w:val="003B349D"/>
    <w:rsid w:val="003B3B1F"/>
    <w:rsid w:val="003B3E94"/>
    <w:rsid w:val="003B5C8C"/>
    <w:rsid w:val="003B5D20"/>
    <w:rsid w:val="003B63A0"/>
    <w:rsid w:val="003B640E"/>
    <w:rsid w:val="003B6423"/>
    <w:rsid w:val="003B6609"/>
    <w:rsid w:val="003B66DC"/>
    <w:rsid w:val="003B6950"/>
    <w:rsid w:val="003C2732"/>
    <w:rsid w:val="003C32BC"/>
    <w:rsid w:val="003C3722"/>
    <w:rsid w:val="003C3DD6"/>
    <w:rsid w:val="003C4BC0"/>
    <w:rsid w:val="003C54AD"/>
    <w:rsid w:val="003C6480"/>
    <w:rsid w:val="003C7061"/>
    <w:rsid w:val="003C7271"/>
    <w:rsid w:val="003D0A3F"/>
    <w:rsid w:val="003D0ABB"/>
    <w:rsid w:val="003D0C05"/>
    <w:rsid w:val="003D0D3E"/>
    <w:rsid w:val="003D149B"/>
    <w:rsid w:val="003D1B14"/>
    <w:rsid w:val="003D1E49"/>
    <w:rsid w:val="003D2871"/>
    <w:rsid w:val="003D28BB"/>
    <w:rsid w:val="003D2C7F"/>
    <w:rsid w:val="003D3435"/>
    <w:rsid w:val="003D3484"/>
    <w:rsid w:val="003D3507"/>
    <w:rsid w:val="003D37C4"/>
    <w:rsid w:val="003D3CD4"/>
    <w:rsid w:val="003D3E1C"/>
    <w:rsid w:val="003D40A7"/>
    <w:rsid w:val="003D4A67"/>
    <w:rsid w:val="003D516F"/>
    <w:rsid w:val="003D5176"/>
    <w:rsid w:val="003D51A2"/>
    <w:rsid w:val="003D5A38"/>
    <w:rsid w:val="003D5CD7"/>
    <w:rsid w:val="003D5F18"/>
    <w:rsid w:val="003D706E"/>
    <w:rsid w:val="003D79BC"/>
    <w:rsid w:val="003E06A3"/>
    <w:rsid w:val="003E0852"/>
    <w:rsid w:val="003E1FEC"/>
    <w:rsid w:val="003E2564"/>
    <w:rsid w:val="003E366F"/>
    <w:rsid w:val="003E3DD2"/>
    <w:rsid w:val="003E49F8"/>
    <w:rsid w:val="003E4D93"/>
    <w:rsid w:val="003E4E8A"/>
    <w:rsid w:val="003E520F"/>
    <w:rsid w:val="003E5342"/>
    <w:rsid w:val="003E60B8"/>
    <w:rsid w:val="003E65E7"/>
    <w:rsid w:val="003E68BB"/>
    <w:rsid w:val="003E6FB6"/>
    <w:rsid w:val="003E70A6"/>
    <w:rsid w:val="003E7380"/>
    <w:rsid w:val="003E7E90"/>
    <w:rsid w:val="003F0153"/>
    <w:rsid w:val="003F03FA"/>
    <w:rsid w:val="003F0B2B"/>
    <w:rsid w:val="003F1230"/>
    <w:rsid w:val="003F1820"/>
    <w:rsid w:val="003F195D"/>
    <w:rsid w:val="003F1BBF"/>
    <w:rsid w:val="003F2D46"/>
    <w:rsid w:val="003F393E"/>
    <w:rsid w:val="003F6639"/>
    <w:rsid w:val="003F6707"/>
    <w:rsid w:val="003F7001"/>
    <w:rsid w:val="003F7161"/>
    <w:rsid w:val="00400E6B"/>
    <w:rsid w:val="00400EA4"/>
    <w:rsid w:val="004010E9"/>
    <w:rsid w:val="004018EA"/>
    <w:rsid w:val="004022E4"/>
    <w:rsid w:val="0040341C"/>
    <w:rsid w:val="00404333"/>
    <w:rsid w:val="00404A51"/>
    <w:rsid w:val="00404EFC"/>
    <w:rsid w:val="00404F22"/>
    <w:rsid w:val="00405991"/>
    <w:rsid w:val="00405F19"/>
    <w:rsid w:val="00406721"/>
    <w:rsid w:val="00406CB6"/>
    <w:rsid w:val="0040735D"/>
    <w:rsid w:val="0040759C"/>
    <w:rsid w:val="004075CF"/>
    <w:rsid w:val="00407F3D"/>
    <w:rsid w:val="00410925"/>
    <w:rsid w:val="00411932"/>
    <w:rsid w:val="00411DDB"/>
    <w:rsid w:val="00412277"/>
    <w:rsid w:val="004122AE"/>
    <w:rsid w:val="00413B37"/>
    <w:rsid w:val="004142F6"/>
    <w:rsid w:val="004142FD"/>
    <w:rsid w:val="004155D1"/>
    <w:rsid w:val="00415BAE"/>
    <w:rsid w:val="004165C2"/>
    <w:rsid w:val="00417263"/>
    <w:rsid w:val="00417356"/>
    <w:rsid w:val="0041797E"/>
    <w:rsid w:val="00417E33"/>
    <w:rsid w:val="00421ECF"/>
    <w:rsid w:val="0042334E"/>
    <w:rsid w:val="00423909"/>
    <w:rsid w:val="004242BF"/>
    <w:rsid w:val="004242FF"/>
    <w:rsid w:val="004255D2"/>
    <w:rsid w:val="0042692E"/>
    <w:rsid w:val="00426A93"/>
    <w:rsid w:val="00426B2E"/>
    <w:rsid w:val="00426DB7"/>
    <w:rsid w:val="00427406"/>
    <w:rsid w:val="00427487"/>
    <w:rsid w:val="0042749C"/>
    <w:rsid w:val="00427B63"/>
    <w:rsid w:val="00432731"/>
    <w:rsid w:val="004330B5"/>
    <w:rsid w:val="004332C3"/>
    <w:rsid w:val="00433505"/>
    <w:rsid w:val="00434C7A"/>
    <w:rsid w:val="00436C66"/>
    <w:rsid w:val="0043700E"/>
    <w:rsid w:val="00437266"/>
    <w:rsid w:val="004413C0"/>
    <w:rsid w:val="00441954"/>
    <w:rsid w:val="00441D48"/>
    <w:rsid w:val="004438A4"/>
    <w:rsid w:val="00443E6F"/>
    <w:rsid w:val="00444596"/>
    <w:rsid w:val="004453FC"/>
    <w:rsid w:val="0044578B"/>
    <w:rsid w:val="00445C74"/>
    <w:rsid w:val="0044656D"/>
    <w:rsid w:val="00446F15"/>
    <w:rsid w:val="0044706E"/>
    <w:rsid w:val="00447468"/>
    <w:rsid w:val="00447B8F"/>
    <w:rsid w:val="00450771"/>
    <w:rsid w:val="00450A4A"/>
    <w:rsid w:val="00450D96"/>
    <w:rsid w:val="004515C7"/>
    <w:rsid w:val="00451A25"/>
    <w:rsid w:val="00451E96"/>
    <w:rsid w:val="00452DAB"/>
    <w:rsid w:val="00453073"/>
    <w:rsid w:val="00453466"/>
    <w:rsid w:val="00454492"/>
    <w:rsid w:val="0045481D"/>
    <w:rsid w:val="00455165"/>
    <w:rsid w:val="0045524E"/>
    <w:rsid w:val="004566A4"/>
    <w:rsid w:val="00457228"/>
    <w:rsid w:val="00457B89"/>
    <w:rsid w:val="004600B9"/>
    <w:rsid w:val="00460177"/>
    <w:rsid w:val="0046041C"/>
    <w:rsid w:val="00460513"/>
    <w:rsid w:val="0046072C"/>
    <w:rsid w:val="00460C9F"/>
    <w:rsid w:val="0046208F"/>
    <w:rsid w:val="00462248"/>
    <w:rsid w:val="00462781"/>
    <w:rsid w:val="00462F9A"/>
    <w:rsid w:val="004630F5"/>
    <w:rsid w:val="004641C1"/>
    <w:rsid w:val="004642EF"/>
    <w:rsid w:val="004643C3"/>
    <w:rsid w:val="0046574C"/>
    <w:rsid w:val="004660D1"/>
    <w:rsid w:val="0046622A"/>
    <w:rsid w:val="004666FB"/>
    <w:rsid w:val="00466A8C"/>
    <w:rsid w:val="00466AB1"/>
    <w:rsid w:val="00466D31"/>
    <w:rsid w:val="00467542"/>
    <w:rsid w:val="00467972"/>
    <w:rsid w:val="00467B7E"/>
    <w:rsid w:val="00467CF1"/>
    <w:rsid w:val="0047006D"/>
    <w:rsid w:val="00471927"/>
    <w:rsid w:val="00471BC8"/>
    <w:rsid w:val="004725EB"/>
    <w:rsid w:val="004730AF"/>
    <w:rsid w:val="00473463"/>
    <w:rsid w:val="00474819"/>
    <w:rsid w:val="0047517F"/>
    <w:rsid w:val="00475527"/>
    <w:rsid w:val="00476B10"/>
    <w:rsid w:val="00477BE3"/>
    <w:rsid w:val="00477C46"/>
    <w:rsid w:val="00477D29"/>
    <w:rsid w:val="0048119E"/>
    <w:rsid w:val="00481C1F"/>
    <w:rsid w:val="00482208"/>
    <w:rsid w:val="00482528"/>
    <w:rsid w:val="00482644"/>
    <w:rsid w:val="00483146"/>
    <w:rsid w:val="00483697"/>
    <w:rsid w:val="00483974"/>
    <w:rsid w:val="00483D9E"/>
    <w:rsid w:val="00484B2F"/>
    <w:rsid w:val="00484F80"/>
    <w:rsid w:val="004850C2"/>
    <w:rsid w:val="004855D8"/>
    <w:rsid w:val="004856A5"/>
    <w:rsid w:val="0048580C"/>
    <w:rsid w:val="00486773"/>
    <w:rsid w:val="004867D3"/>
    <w:rsid w:val="00486A15"/>
    <w:rsid w:val="00486D1F"/>
    <w:rsid w:val="0048701C"/>
    <w:rsid w:val="00487254"/>
    <w:rsid w:val="00487328"/>
    <w:rsid w:val="00487358"/>
    <w:rsid w:val="004878B3"/>
    <w:rsid w:val="004900BD"/>
    <w:rsid w:val="004907E1"/>
    <w:rsid w:val="00490BE7"/>
    <w:rsid w:val="00490C98"/>
    <w:rsid w:val="00490FC7"/>
    <w:rsid w:val="00491472"/>
    <w:rsid w:val="00492E7D"/>
    <w:rsid w:val="00493254"/>
    <w:rsid w:val="00493649"/>
    <w:rsid w:val="0049419D"/>
    <w:rsid w:val="00494B61"/>
    <w:rsid w:val="00495029"/>
    <w:rsid w:val="00495396"/>
    <w:rsid w:val="0049583B"/>
    <w:rsid w:val="00495CD7"/>
    <w:rsid w:val="004962B8"/>
    <w:rsid w:val="00496687"/>
    <w:rsid w:val="00496C69"/>
    <w:rsid w:val="00496DBC"/>
    <w:rsid w:val="00497448"/>
    <w:rsid w:val="0049749D"/>
    <w:rsid w:val="004977D3"/>
    <w:rsid w:val="00497D5E"/>
    <w:rsid w:val="00497D68"/>
    <w:rsid w:val="004A0088"/>
    <w:rsid w:val="004A0977"/>
    <w:rsid w:val="004A0AE3"/>
    <w:rsid w:val="004A16BC"/>
    <w:rsid w:val="004A17A5"/>
    <w:rsid w:val="004A1B66"/>
    <w:rsid w:val="004A1EEA"/>
    <w:rsid w:val="004A29AF"/>
    <w:rsid w:val="004A2ADA"/>
    <w:rsid w:val="004A2B9D"/>
    <w:rsid w:val="004A37A5"/>
    <w:rsid w:val="004A3806"/>
    <w:rsid w:val="004A3DC4"/>
    <w:rsid w:val="004A4A3E"/>
    <w:rsid w:val="004A4DB0"/>
    <w:rsid w:val="004A514F"/>
    <w:rsid w:val="004A5407"/>
    <w:rsid w:val="004A5834"/>
    <w:rsid w:val="004A7B58"/>
    <w:rsid w:val="004B0263"/>
    <w:rsid w:val="004B2422"/>
    <w:rsid w:val="004B2762"/>
    <w:rsid w:val="004B2DE8"/>
    <w:rsid w:val="004B2F7D"/>
    <w:rsid w:val="004B388C"/>
    <w:rsid w:val="004B3C84"/>
    <w:rsid w:val="004B40A9"/>
    <w:rsid w:val="004B45B7"/>
    <w:rsid w:val="004B4E6F"/>
    <w:rsid w:val="004B60B1"/>
    <w:rsid w:val="004B62CE"/>
    <w:rsid w:val="004B65A1"/>
    <w:rsid w:val="004B7EB6"/>
    <w:rsid w:val="004C0671"/>
    <w:rsid w:val="004C0878"/>
    <w:rsid w:val="004C0BDB"/>
    <w:rsid w:val="004C0FE4"/>
    <w:rsid w:val="004C127B"/>
    <w:rsid w:val="004C17B4"/>
    <w:rsid w:val="004C38AC"/>
    <w:rsid w:val="004C4A47"/>
    <w:rsid w:val="004C4B62"/>
    <w:rsid w:val="004C599D"/>
    <w:rsid w:val="004C622A"/>
    <w:rsid w:val="004C64DA"/>
    <w:rsid w:val="004C68B8"/>
    <w:rsid w:val="004C6FAC"/>
    <w:rsid w:val="004C7257"/>
    <w:rsid w:val="004C758F"/>
    <w:rsid w:val="004C77DC"/>
    <w:rsid w:val="004C7EE2"/>
    <w:rsid w:val="004D0229"/>
    <w:rsid w:val="004D27DE"/>
    <w:rsid w:val="004D28C5"/>
    <w:rsid w:val="004D37B1"/>
    <w:rsid w:val="004D4782"/>
    <w:rsid w:val="004D4A6A"/>
    <w:rsid w:val="004D4D1B"/>
    <w:rsid w:val="004D5088"/>
    <w:rsid w:val="004D519A"/>
    <w:rsid w:val="004D53E4"/>
    <w:rsid w:val="004D6025"/>
    <w:rsid w:val="004D657F"/>
    <w:rsid w:val="004D7233"/>
    <w:rsid w:val="004D72BC"/>
    <w:rsid w:val="004D78B4"/>
    <w:rsid w:val="004E2452"/>
    <w:rsid w:val="004E3A16"/>
    <w:rsid w:val="004E42F6"/>
    <w:rsid w:val="004E4761"/>
    <w:rsid w:val="004E6889"/>
    <w:rsid w:val="004E6B90"/>
    <w:rsid w:val="004E6C9C"/>
    <w:rsid w:val="004F04A5"/>
    <w:rsid w:val="004F0842"/>
    <w:rsid w:val="004F1086"/>
    <w:rsid w:val="004F15C4"/>
    <w:rsid w:val="004F16E8"/>
    <w:rsid w:val="004F1A2A"/>
    <w:rsid w:val="004F1DAD"/>
    <w:rsid w:val="004F2694"/>
    <w:rsid w:val="004F2EBF"/>
    <w:rsid w:val="004F2FC4"/>
    <w:rsid w:val="004F37CA"/>
    <w:rsid w:val="004F3905"/>
    <w:rsid w:val="004F3B00"/>
    <w:rsid w:val="004F4100"/>
    <w:rsid w:val="004F441A"/>
    <w:rsid w:val="004F4A24"/>
    <w:rsid w:val="004F4C1C"/>
    <w:rsid w:val="004F510C"/>
    <w:rsid w:val="004F530D"/>
    <w:rsid w:val="004F5466"/>
    <w:rsid w:val="004F6949"/>
    <w:rsid w:val="004F69EA"/>
    <w:rsid w:val="004F69ED"/>
    <w:rsid w:val="004F7588"/>
    <w:rsid w:val="004F7D6F"/>
    <w:rsid w:val="0050065F"/>
    <w:rsid w:val="005008C7"/>
    <w:rsid w:val="0050128F"/>
    <w:rsid w:val="00501399"/>
    <w:rsid w:val="00501A7C"/>
    <w:rsid w:val="00501C65"/>
    <w:rsid w:val="00501DFB"/>
    <w:rsid w:val="005028FE"/>
    <w:rsid w:val="00502E35"/>
    <w:rsid w:val="00503804"/>
    <w:rsid w:val="00503C4C"/>
    <w:rsid w:val="0050536C"/>
    <w:rsid w:val="00505B63"/>
    <w:rsid w:val="00505B8A"/>
    <w:rsid w:val="005066A4"/>
    <w:rsid w:val="005068B0"/>
    <w:rsid w:val="00506C98"/>
    <w:rsid w:val="00507534"/>
    <w:rsid w:val="00507BC4"/>
    <w:rsid w:val="00510311"/>
    <w:rsid w:val="00511952"/>
    <w:rsid w:val="005128E4"/>
    <w:rsid w:val="00512A35"/>
    <w:rsid w:val="0051318C"/>
    <w:rsid w:val="00513229"/>
    <w:rsid w:val="00514168"/>
    <w:rsid w:val="005152B7"/>
    <w:rsid w:val="00516BBE"/>
    <w:rsid w:val="005176B5"/>
    <w:rsid w:val="0052142D"/>
    <w:rsid w:val="00521909"/>
    <w:rsid w:val="00521F02"/>
    <w:rsid w:val="005223AF"/>
    <w:rsid w:val="00523977"/>
    <w:rsid w:val="0052411B"/>
    <w:rsid w:val="00524268"/>
    <w:rsid w:val="00524748"/>
    <w:rsid w:val="00525278"/>
    <w:rsid w:val="00525560"/>
    <w:rsid w:val="00525C32"/>
    <w:rsid w:val="00525F05"/>
    <w:rsid w:val="00526204"/>
    <w:rsid w:val="005263F8"/>
    <w:rsid w:val="005267AC"/>
    <w:rsid w:val="005267D2"/>
    <w:rsid w:val="00527461"/>
    <w:rsid w:val="00527A3F"/>
    <w:rsid w:val="00530295"/>
    <w:rsid w:val="00530412"/>
    <w:rsid w:val="00530B2B"/>
    <w:rsid w:val="00531008"/>
    <w:rsid w:val="0053164A"/>
    <w:rsid w:val="0053187E"/>
    <w:rsid w:val="00531FCC"/>
    <w:rsid w:val="005325F6"/>
    <w:rsid w:val="00532F64"/>
    <w:rsid w:val="00533CF3"/>
    <w:rsid w:val="005343C0"/>
    <w:rsid w:val="005346E1"/>
    <w:rsid w:val="005348AB"/>
    <w:rsid w:val="00534A1C"/>
    <w:rsid w:val="00535135"/>
    <w:rsid w:val="005357A6"/>
    <w:rsid w:val="0053582C"/>
    <w:rsid w:val="0053592E"/>
    <w:rsid w:val="00535FF9"/>
    <w:rsid w:val="005366E5"/>
    <w:rsid w:val="005367D0"/>
    <w:rsid w:val="00536848"/>
    <w:rsid w:val="00536B9E"/>
    <w:rsid w:val="005374B7"/>
    <w:rsid w:val="00537880"/>
    <w:rsid w:val="005401F2"/>
    <w:rsid w:val="00540AEC"/>
    <w:rsid w:val="005411BE"/>
    <w:rsid w:val="005417F8"/>
    <w:rsid w:val="00541B01"/>
    <w:rsid w:val="00541BBC"/>
    <w:rsid w:val="005422EF"/>
    <w:rsid w:val="005425FB"/>
    <w:rsid w:val="00542791"/>
    <w:rsid w:val="005430A6"/>
    <w:rsid w:val="0054349C"/>
    <w:rsid w:val="00543705"/>
    <w:rsid w:val="005439C3"/>
    <w:rsid w:val="00544278"/>
    <w:rsid w:val="00544C49"/>
    <w:rsid w:val="0054561F"/>
    <w:rsid w:val="005456B2"/>
    <w:rsid w:val="0054591A"/>
    <w:rsid w:val="00547EB7"/>
    <w:rsid w:val="00550141"/>
    <w:rsid w:val="0055160C"/>
    <w:rsid w:val="00551C71"/>
    <w:rsid w:val="00552BE8"/>
    <w:rsid w:val="00552FC3"/>
    <w:rsid w:val="005531BB"/>
    <w:rsid w:val="00553A40"/>
    <w:rsid w:val="00553EC6"/>
    <w:rsid w:val="00554AD7"/>
    <w:rsid w:val="00554BAB"/>
    <w:rsid w:val="005557F2"/>
    <w:rsid w:val="00555A6E"/>
    <w:rsid w:val="005565D7"/>
    <w:rsid w:val="005572AF"/>
    <w:rsid w:val="00557C07"/>
    <w:rsid w:val="00560C1A"/>
    <w:rsid w:val="00561652"/>
    <w:rsid w:val="00561CA5"/>
    <w:rsid w:val="005621C0"/>
    <w:rsid w:val="005627AC"/>
    <w:rsid w:val="005627FD"/>
    <w:rsid w:val="00562E4A"/>
    <w:rsid w:val="00563224"/>
    <w:rsid w:val="005632F1"/>
    <w:rsid w:val="005633E7"/>
    <w:rsid w:val="0056351E"/>
    <w:rsid w:val="00563F04"/>
    <w:rsid w:val="0056432A"/>
    <w:rsid w:val="00564F70"/>
    <w:rsid w:val="00565B4B"/>
    <w:rsid w:val="00566646"/>
    <w:rsid w:val="005706EF"/>
    <w:rsid w:val="00570AF2"/>
    <w:rsid w:val="00570EC6"/>
    <w:rsid w:val="00571247"/>
    <w:rsid w:val="0057402A"/>
    <w:rsid w:val="00574148"/>
    <w:rsid w:val="005744A4"/>
    <w:rsid w:val="005755D5"/>
    <w:rsid w:val="00575C82"/>
    <w:rsid w:val="00575E8C"/>
    <w:rsid w:val="005764DD"/>
    <w:rsid w:val="00576832"/>
    <w:rsid w:val="00576D19"/>
    <w:rsid w:val="005771D0"/>
    <w:rsid w:val="00577B28"/>
    <w:rsid w:val="00577ED6"/>
    <w:rsid w:val="0058022B"/>
    <w:rsid w:val="0058058F"/>
    <w:rsid w:val="00581ACD"/>
    <w:rsid w:val="00582378"/>
    <w:rsid w:val="00582750"/>
    <w:rsid w:val="005833F0"/>
    <w:rsid w:val="0058343A"/>
    <w:rsid w:val="00584C28"/>
    <w:rsid w:val="005850D4"/>
    <w:rsid w:val="0058516B"/>
    <w:rsid w:val="00585DED"/>
    <w:rsid w:val="00587964"/>
    <w:rsid w:val="00587D7B"/>
    <w:rsid w:val="005902A3"/>
    <w:rsid w:val="0059066D"/>
    <w:rsid w:val="00590BF3"/>
    <w:rsid w:val="00590C43"/>
    <w:rsid w:val="005910C0"/>
    <w:rsid w:val="00591267"/>
    <w:rsid w:val="005916E2"/>
    <w:rsid w:val="0059191A"/>
    <w:rsid w:val="00591B96"/>
    <w:rsid w:val="00591E80"/>
    <w:rsid w:val="00591F60"/>
    <w:rsid w:val="005921FF"/>
    <w:rsid w:val="0059318E"/>
    <w:rsid w:val="0059362D"/>
    <w:rsid w:val="005937E2"/>
    <w:rsid w:val="00594CE1"/>
    <w:rsid w:val="00596514"/>
    <w:rsid w:val="00596694"/>
    <w:rsid w:val="0059670F"/>
    <w:rsid w:val="00596ABE"/>
    <w:rsid w:val="00596AD3"/>
    <w:rsid w:val="00596F42"/>
    <w:rsid w:val="00597162"/>
    <w:rsid w:val="0059770B"/>
    <w:rsid w:val="00597C8A"/>
    <w:rsid w:val="00597E00"/>
    <w:rsid w:val="00597FBE"/>
    <w:rsid w:val="005A0410"/>
    <w:rsid w:val="005A0E77"/>
    <w:rsid w:val="005A20B8"/>
    <w:rsid w:val="005A2E9B"/>
    <w:rsid w:val="005A482E"/>
    <w:rsid w:val="005A610E"/>
    <w:rsid w:val="005A6205"/>
    <w:rsid w:val="005A6D0E"/>
    <w:rsid w:val="005A6E50"/>
    <w:rsid w:val="005A734E"/>
    <w:rsid w:val="005B0001"/>
    <w:rsid w:val="005B222D"/>
    <w:rsid w:val="005B254A"/>
    <w:rsid w:val="005B28A7"/>
    <w:rsid w:val="005B3DEC"/>
    <w:rsid w:val="005B3EF2"/>
    <w:rsid w:val="005B5043"/>
    <w:rsid w:val="005B50CE"/>
    <w:rsid w:val="005B52B0"/>
    <w:rsid w:val="005B67DE"/>
    <w:rsid w:val="005B6806"/>
    <w:rsid w:val="005B711D"/>
    <w:rsid w:val="005B7213"/>
    <w:rsid w:val="005B7BC5"/>
    <w:rsid w:val="005C00F9"/>
    <w:rsid w:val="005C05FA"/>
    <w:rsid w:val="005C150C"/>
    <w:rsid w:val="005C164F"/>
    <w:rsid w:val="005C17CB"/>
    <w:rsid w:val="005C1853"/>
    <w:rsid w:val="005C1A8D"/>
    <w:rsid w:val="005C1D3C"/>
    <w:rsid w:val="005C1D8E"/>
    <w:rsid w:val="005C207A"/>
    <w:rsid w:val="005C23BD"/>
    <w:rsid w:val="005C288D"/>
    <w:rsid w:val="005C2BA2"/>
    <w:rsid w:val="005C2E02"/>
    <w:rsid w:val="005C3149"/>
    <w:rsid w:val="005C4011"/>
    <w:rsid w:val="005C4225"/>
    <w:rsid w:val="005C428E"/>
    <w:rsid w:val="005C4AF4"/>
    <w:rsid w:val="005C5DD0"/>
    <w:rsid w:val="005C5E2B"/>
    <w:rsid w:val="005C5F93"/>
    <w:rsid w:val="005C717C"/>
    <w:rsid w:val="005D0AC5"/>
    <w:rsid w:val="005D0FBF"/>
    <w:rsid w:val="005D1076"/>
    <w:rsid w:val="005D1B5D"/>
    <w:rsid w:val="005D50AD"/>
    <w:rsid w:val="005D55A5"/>
    <w:rsid w:val="005D5C54"/>
    <w:rsid w:val="005D5DED"/>
    <w:rsid w:val="005D610E"/>
    <w:rsid w:val="005D63C0"/>
    <w:rsid w:val="005D67AF"/>
    <w:rsid w:val="005D67E9"/>
    <w:rsid w:val="005D6891"/>
    <w:rsid w:val="005D6A03"/>
    <w:rsid w:val="005D6A8E"/>
    <w:rsid w:val="005D6AC4"/>
    <w:rsid w:val="005D6B2C"/>
    <w:rsid w:val="005D7191"/>
    <w:rsid w:val="005D7280"/>
    <w:rsid w:val="005D738A"/>
    <w:rsid w:val="005D7740"/>
    <w:rsid w:val="005E09BC"/>
    <w:rsid w:val="005E0ADA"/>
    <w:rsid w:val="005E1D4B"/>
    <w:rsid w:val="005E2BDE"/>
    <w:rsid w:val="005E3396"/>
    <w:rsid w:val="005E3551"/>
    <w:rsid w:val="005E47EE"/>
    <w:rsid w:val="005E49AA"/>
    <w:rsid w:val="005E4A95"/>
    <w:rsid w:val="005E5196"/>
    <w:rsid w:val="005E5258"/>
    <w:rsid w:val="005E5419"/>
    <w:rsid w:val="005E6C0C"/>
    <w:rsid w:val="005E6EE3"/>
    <w:rsid w:val="005E726D"/>
    <w:rsid w:val="005E74C5"/>
    <w:rsid w:val="005E7642"/>
    <w:rsid w:val="005E772D"/>
    <w:rsid w:val="005F0F33"/>
    <w:rsid w:val="005F1C54"/>
    <w:rsid w:val="005F238A"/>
    <w:rsid w:val="005F2A0D"/>
    <w:rsid w:val="005F32A0"/>
    <w:rsid w:val="005F3F11"/>
    <w:rsid w:val="005F5456"/>
    <w:rsid w:val="005F55DC"/>
    <w:rsid w:val="005F66C7"/>
    <w:rsid w:val="005F6927"/>
    <w:rsid w:val="005F6935"/>
    <w:rsid w:val="005F7459"/>
    <w:rsid w:val="005F7C35"/>
    <w:rsid w:val="0060040E"/>
    <w:rsid w:val="006005C1"/>
    <w:rsid w:val="00600A96"/>
    <w:rsid w:val="00600DEB"/>
    <w:rsid w:val="00600EE3"/>
    <w:rsid w:val="00602146"/>
    <w:rsid w:val="00602B9B"/>
    <w:rsid w:val="00603949"/>
    <w:rsid w:val="00603D6F"/>
    <w:rsid w:val="00604B83"/>
    <w:rsid w:val="006059FA"/>
    <w:rsid w:val="006063BA"/>
    <w:rsid w:val="00607F83"/>
    <w:rsid w:val="00610D04"/>
    <w:rsid w:val="006112EF"/>
    <w:rsid w:val="0061250B"/>
    <w:rsid w:val="00612D8E"/>
    <w:rsid w:val="00612E1C"/>
    <w:rsid w:val="00613027"/>
    <w:rsid w:val="006130E4"/>
    <w:rsid w:val="00613120"/>
    <w:rsid w:val="00613477"/>
    <w:rsid w:val="00613A08"/>
    <w:rsid w:val="0061412F"/>
    <w:rsid w:val="00614153"/>
    <w:rsid w:val="00614AE8"/>
    <w:rsid w:val="00615073"/>
    <w:rsid w:val="0061546B"/>
    <w:rsid w:val="00616320"/>
    <w:rsid w:val="006164AC"/>
    <w:rsid w:val="00616C92"/>
    <w:rsid w:val="00617156"/>
    <w:rsid w:val="00617B09"/>
    <w:rsid w:val="006206FF"/>
    <w:rsid w:val="00620A30"/>
    <w:rsid w:val="00620A65"/>
    <w:rsid w:val="00620B75"/>
    <w:rsid w:val="00621073"/>
    <w:rsid w:val="006225B7"/>
    <w:rsid w:val="00623324"/>
    <w:rsid w:val="006238CB"/>
    <w:rsid w:val="00624716"/>
    <w:rsid w:val="006247DB"/>
    <w:rsid w:val="00624B14"/>
    <w:rsid w:val="00624E3B"/>
    <w:rsid w:val="00624E66"/>
    <w:rsid w:val="00625347"/>
    <w:rsid w:val="00626360"/>
    <w:rsid w:val="006263C9"/>
    <w:rsid w:val="006263CE"/>
    <w:rsid w:val="006265FB"/>
    <w:rsid w:val="00626A1D"/>
    <w:rsid w:val="00626DFD"/>
    <w:rsid w:val="00627A51"/>
    <w:rsid w:val="00627C9F"/>
    <w:rsid w:val="006306FF"/>
    <w:rsid w:val="006307DF"/>
    <w:rsid w:val="00630B42"/>
    <w:rsid w:val="00630C75"/>
    <w:rsid w:val="00630F01"/>
    <w:rsid w:val="00630F7D"/>
    <w:rsid w:val="006311DA"/>
    <w:rsid w:val="006311E9"/>
    <w:rsid w:val="006322B9"/>
    <w:rsid w:val="00632354"/>
    <w:rsid w:val="00632429"/>
    <w:rsid w:val="00632BF2"/>
    <w:rsid w:val="00633261"/>
    <w:rsid w:val="006333B2"/>
    <w:rsid w:val="0063377E"/>
    <w:rsid w:val="006354CD"/>
    <w:rsid w:val="00635D46"/>
    <w:rsid w:val="00636406"/>
    <w:rsid w:val="00636E0C"/>
    <w:rsid w:val="00636E90"/>
    <w:rsid w:val="00636F4A"/>
    <w:rsid w:val="00637539"/>
    <w:rsid w:val="00637B7B"/>
    <w:rsid w:val="00637E84"/>
    <w:rsid w:val="00640173"/>
    <w:rsid w:val="006418C1"/>
    <w:rsid w:val="006420B7"/>
    <w:rsid w:val="00642810"/>
    <w:rsid w:val="00643F66"/>
    <w:rsid w:val="006440BE"/>
    <w:rsid w:val="00644643"/>
    <w:rsid w:val="00644E9E"/>
    <w:rsid w:val="006458AD"/>
    <w:rsid w:val="006466C5"/>
    <w:rsid w:val="006468F2"/>
    <w:rsid w:val="0064712F"/>
    <w:rsid w:val="0064793C"/>
    <w:rsid w:val="006479DF"/>
    <w:rsid w:val="00650FA3"/>
    <w:rsid w:val="006516A4"/>
    <w:rsid w:val="006516FE"/>
    <w:rsid w:val="00651D1D"/>
    <w:rsid w:val="00651DB9"/>
    <w:rsid w:val="00652333"/>
    <w:rsid w:val="006524E5"/>
    <w:rsid w:val="00653AC7"/>
    <w:rsid w:val="00654573"/>
    <w:rsid w:val="006549A4"/>
    <w:rsid w:val="00654F6F"/>
    <w:rsid w:val="00655223"/>
    <w:rsid w:val="00656085"/>
    <w:rsid w:val="00656FE7"/>
    <w:rsid w:val="0065765B"/>
    <w:rsid w:val="006605AC"/>
    <w:rsid w:val="00660F3A"/>
    <w:rsid w:val="006626BF"/>
    <w:rsid w:val="00662F5D"/>
    <w:rsid w:val="006634C1"/>
    <w:rsid w:val="00663527"/>
    <w:rsid w:val="00663571"/>
    <w:rsid w:val="00664C08"/>
    <w:rsid w:val="00664DDE"/>
    <w:rsid w:val="00664E64"/>
    <w:rsid w:val="00666536"/>
    <w:rsid w:val="00666AEF"/>
    <w:rsid w:val="0066775C"/>
    <w:rsid w:val="006716C1"/>
    <w:rsid w:val="006722E2"/>
    <w:rsid w:val="0067329C"/>
    <w:rsid w:val="00673653"/>
    <w:rsid w:val="00674465"/>
    <w:rsid w:val="0067472A"/>
    <w:rsid w:val="0067547D"/>
    <w:rsid w:val="006756B0"/>
    <w:rsid w:val="00675BB9"/>
    <w:rsid w:val="00676345"/>
    <w:rsid w:val="00677938"/>
    <w:rsid w:val="0068009E"/>
    <w:rsid w:val="0068062B"/>
    <w:rsid w:val="00682AB4"/>
    <w:rsid w:val="00682E0F"/>
    <w:rsid w:val="00683305"/>
    <w:rsid w:val="00684434"/>
    <w:rsid w:val="006847BC"/>
    <w:rsid w:val="006849BF"/>
    <w:rsid w:val="00684CC9"/>
    <w:rsid w:val="00685184"/>
    <w:rsid w:val="006859BD"/>
    <w:rsid w:val="006871C6"/>
    <w:rsid w:val="00687432"/>
    <w:rsid w:val="00687725"/>
    <w:rsid w:val="006901ED"/>
    <w:rsid w:val="0069023C"/>
    <w:rsid w:val="006906BB"/>
    <w:rsid w:val="00690E12"/>
    <w:rsid w:val="0069244C"/>
    <w:rsid w:val="00692861"/>
    <w:rsid w:val="00692996"/>
    <w:rsid w:val="00692A55"/>
    <w:rsid w:val="00692D53"/>
    <w:rsid w:val="0069319A"/>
    <w:rsid w:val="00693D25"/>
    <w:rsid w:val="0069578C"/>
    <w:rsid w:val="00695807"/>
    <w:rsid w:val="006972FB"/>
    <w:rsid w:val="00697DEA"/>
    <w:rsid w:val="006A0036"/>
    <w:rsid w:val="006A0548"/>
    <w:rsid w:val="006A0E85"/>
    <w:rsid w:val="006A0F00"/>
    <w:rsid w:val="006A0F77"/>
    <w:rsid w:val="006A11FD"/>
    <w:rsid w:val="006A17D2"/>
    <w:rsid w:val="006A3B33"/>
    <w:rsid w:val="006A3C7B"/>
    <w:rsid w:val="006A508B"/>
    <w:rsid w:val="006A538E"/>
    <w:rsid w:val="006A55BC"/>
    <w:rsid w:val="006A58D1"/>
    <w:rsid w:val="006A606A"/>
    <w:rsid w:val="006A6A79"/>
    <w:rsid w:val="006A6E1A"/>
    <w:rsid w:val="006A70B4"/>
    <w:rsid w:val="006A72B7"/>
    <w:rsid w:val="006A73E6"/>
    <w:rsid w:val="006A7408"/>
    <w:rsid w:val="006A7764"/>
    <w:rsid w:val="006A79A7"/>
    <w:rsid w:val="006B0169"/>
    <w:rsid w:val="006B057B"/>
    <w:rsid w:val="006B130C"/>
    <w:rsid w:val="006B1650"/>
    <w:rsid w:val="006B17B3"/>
    <w:rsid w:val="006B1BB7"/>
    <w:rsid w:val="006B248C"/>
    <w:rsid w:val="006B2623"/>
    <w:rsid w:val="006B265D"/>
    <w:rsid w:val="006B295E"/>
    <w:rsid w:val="006B2D5C"/>
    <w:rsid w:val="006B3773"/>
    <w:rsid w:val="006B4324"/>
    <w:rsid w:val="006B4352"/>
    <w:rsid w:val="006B544B"/>
    <w:rsid w:val="006B5695"/>
    <w:rsid w:val="006B5DF3"/>
    <w:rsid w:val="006B6D64"/>
    <w:rsid w:val="006B6FFA"/>
    <w:rsid w:val="006B7CAB"/>
    <w:rsid w:val="006B7CDF"/>
    <w:rsid w:val="006C05EC"/>
    <w:rsid w:val="006C07D9"/>
    <w:rsid w:val="006C0F5D"/>
    <w:rsid w:val="006C1815"/>
    <w:rsid w:val="006C2346"/>
    <w:rsid w:val="006C2B38"/>
    <w:rsid w:val="006C379B"/>
    <w:rsid w:val="006C39E9"/>
    <w:rsid w:val="006C3D28"/>
    <w:rsid w:val="006C3F7D"/>
    <w:rsid w:val="006C4233"/>
    <w:rsid w:val="006C4596"/>
    <w:rsid w:val="006C47D6"/>
    <w:rsid w:val="006C49B8"/>
    <w:rsid w:val="006C4DFA"/>
    <w:rsid w:val="006C4EB1"/>
    <w:rsid w:val="006C5268"/>
    <w:rsid w:val="006C61FA"/>
    <w:rsid w:val="006C6E31"/>
    <w:rsid w:val="006C7D10"/>
    <w:rsid w:val="006C7E62"/>
    <w:rsid w:val="006D0195"/>
    <w:rsid w:val="006D01E3"/>
    <w:rsid w:val="006D0424"/>
    <w:rsid w:val="006D0FA3"/>
    <w:rsid w:val="006D199F"/>
    <w:rsid w:val="006D1A3C"/>
    <w:rsid w:val="006D277F"/>
    <w:rsid w:val="006D27EC"/>
    <w:rsid w:val="006D2C28"/>
    <w:rsid w:val="006D2D13"/>
    <w:rsid w:val="006D48BB"/>
    <w:rsid w:val="006D5467"/>
    <w:rsid w:val="006D5D5D"/>
    <w:rsid w:val="006D6E36"/>
    <w:rsid w:val="006D6E3A"/>
    <w:rsid w:val="006D7976"/>
    <w:rsid w:val="006E00AB"/>
    <w:rsid w:val="006E0166"/>
    <w:rsid w:val="006E1163"/>
    <w:rsid w:val="006E18B8"/>
    <w:rsid w:val="006E35A0"/>
    <w:rsid w:val="006E43F5"/>
    <w:rsid w:val="006E4B61"/>
    <w:rsid w:val="006E4CCE"/>
    <w:rsid w:val="006E5C58"/>
    <w:rsid w:val="006E6048"/>
    <w:rsid w:val="006E67F6"/>
    <w:rsid w:val="006E6C78"/>
    <w:rsid w:val="006E6F1E"/>
    <w:rsid w:val="006E74E6"/>
    <w:rsid w:val="006E7B34"/>
    <w:rsid w:val="006E7EA4"/>
    <w:rsid w:val="006F1083"/>
    <w:rsid w:val="006F1491"/>
    <w:rsid w:val="006F157C"/>
    <w:rsid w:val="006F2AC7"/>
    <w:rsid w:val="006F30E9"/>
    <w:rsid w:val="006F3590"/>
    <w:rsid w:val="006F3597"/>
    <w:rsid w:val="006F374D"/>
    <w:rsid w:val="006F38FE"/>
    <w:rsid w:val="006F672E"/>
    <w:rsid w:val="006F6E19"/>
    <w:rsid w:val="006F732C"/>
    <w:rsid w:val="006F7488"/>
    <w:rsid w:val="006F7B98"/>
    <w:rsid w:val="006F7DA2"/>
    <w:rsid w:val="0070045F"/>
    <w:rsid w:val="00700471"/>
    <w:rsid w:val="00700C65"/>
    <w:rsid w:val="00701610"/>
    <w:rsid w:val="00701B24"/>
    <w:rsid w:val="00702565"/>
    <w:rsid w:val="0070267B"/>
    <w:rsid w:val="00702A7C"/>
    <w:rsid w:val="00702CD7"/>
    <w:rsid w:val="00702DE6"/>
    <w:rsid w:val="00702EA5"/>
    <w:rsid w:val="00703F90"/>
    <w:rsid w:val="0070404E"/>
    <w:rsid w:val="00704098"/>
    <w:rsid w:val="0070456C"/>
    <w:rsid w:val="007048C5"/>
    <w:rsid w:val="00704C82"/>
    <w:rsid w:val="00705973"/>
    <w:rsid w:val="0070603C"/>
    <w:rsid w:val="00706591"/>
    <w:rsid w:val="00706698"/>
    <w:rsid w:val="00706D7E"/>
    <w:rsid w:val="00707116"/>
    <w:rsid w:val="00707486"/>
    <w:rsid w:val="00707BAF"/>
    <w:rsid w:val="00707E8E"/>
    <w:rsid w:val="00710376"/>
    <w:rsid w:val="00710CA0"/>
    <w:rsid w:val="00710E0F"/>
    <w:rsid w:val="00710ED5"/>
    <w:rsid w:val="00711137"/>
    <w:rsid w:val="0071228B"/>
    <w:rsid w:val="00712815"/>
    <w:rsid w:val="00713962"/>
    <w:rsid w:val="007140C0"/>
    <w:rsid w:val="00715928"/>
    <w:rsid w:val="00716BEC"/>
    <w:rsid w:val="00716D62"/>
    <w:rsid w:val="00717B70"/>
    <w:rsid w:val="0072003B"/>
    <w:rsid w:val="0072130B"/>
    <w:rsid w:val="00722812"/>
    <w:rsid w:val="00722FE1"/>
    <w:rsid w:val="0072335A"/>
    <w:rsid w:val="0072350F"/>
    <w:rsid w:val="007237C3"/>
    <w:rsid w:val="0072382C"/>
    <w:rsid w:val="0072472F"/>
    <w:rsid w:val="007247E2"/>
    <w:rsid w:val="00724BC2"/>
    <w:rsid w:val="00727727"/>
    <w:rsid w:val="007278E3"/>
    <w:rsid w:val="00727D80"/>
    <w:rsid w:val="00730731"/>
    <w:rsid w:val="00730F35"/>
    <w:rsid w:val="00731DA0"/>
    <w:rsid w:val="007321A6"/>
    <w:rsid w:val="00733967"/>
    <w:rsid w:val="007359CB"/>
    <w:rsid w:val="00736225"/>
    <w:rsid w:val="007364B7"/>
    <w:rsid w:val="00737A15"/>
    <w:rsid w:val="00737B6E"/>
    <w:rsid w:val="007400D8"/>
    <w:rsid w:val="0074145C"/>
    <w:rsid w:val="007419F4"/>
    <w:rsid w:val="00741D4C"/>
    <w:rsid w:val="007433B0"/>
    <w:rsid w:val="007451C8"/>
    <w:rsid w:val="0074535C"/>
    <w:rsid w:val="0074572F"/>
    <w:rsid w:val="0074581C"/>
    <w:rsid w:val="00745830"/>
    <w:rsid w:val="00745899"/>
    <w:rsid w:val="00746AB9"/>
    <w:rsid w:val="00746AC2"/>
    <w:rsid w:val="00747304"/>
    <w:rsid w:val="00750078"/>
    <w:rsid w:val="00750568"/>
    <w:rsid w:val="00750BB6"/>
    <w:rsid w:val="00751379"/>
    <w:rsid w:val="0075164B"/>
    <w:rsid w:val="00753890"/>
    <w:rsid w:val="007538FC"/>
    <w:rsid w:val="007542BA"/>
    <w:rsid w:val="00754A2A"/>
    <w:rsid w:val="00754E95"/>
    <w:rsid w:val="00755F05"/>
    <w:rsid w:val="007561AD"/>
    <w:rsid w:val="00756737"/>
    <w:rsid w:val="007570FA"/>
    <w:rsid w:val="00757F66"/>
    <w:rsid w:val="007607C4"/>
    <w:rsid w:val="007607EC"/>
    <w:rsid w:val="00761A58"/>
    <w:rsid w:val="00762A2F"/>
    <w:rsid w:val="007641B8"/>
    <w:rsid w:val="0076457E"/>
    <w:rsid w:val="007649AF"/>
    <w:rsid w:val="00765584"/>
    <w:rsid w:val="00765CB7"/>
    <w:rsid w:val="0076634A"/>
    <w:rsid w:val="0076643F"/>
    <w:rsid w:val="00771045"/>
    <w:rsid w:val="00771205"/>
    <w:rsid w:val="007715DD"/>
    <w:rsid w:val="00771836"/>
    <w:rsid w:val="00771C0E"/>
    <w:rsid w:val="00773C5A"/>
    <w:rsid w:val="00774375"/>
    <w:rsid w:val="007744CC"/>
    <w:rsid w:val="00774D86"/>
    <w:rsid w:val="007771C5"/>
    <w:rsid w:val="007776FF"/>
    <w:rsid w:val="0078069F"/>
    <w:rsid w:val="0078085D"/>
    <w:rsid w:val="007809DA"/>
    <w:rsid w:val="00780ED7"/>
    <w:rsid w:val="007813A8"/>
    <w:rsid w:val="00781C89"/>
    <w:rsid w:val="007820BB"/>
    <w:rsid w:val="00782E68"/>
    <w:rsid w:val="0078305D"/>
    <w:rsid w:val="00783D1B"/>
    <w:rsid w:val="0078426B"/>
    <w:rsid w:val="00784600"/>
    <w:rsid w:val="00784C70"/>
    <w:rsid w:val="00784DE5"/>
    <w:rsid w:val="00784FEC"/>
    <w:rsid w:val="0078587E"/>
    <w:rsid w:val="0078595F"/>
    <w:rsid w:val="00785F8D"/>
    <w:rsid w:val="00786501"/>
    <w:rsid w:val="0078748C"/>
    <w:rsid w:val="00790499"/>
    <w:rsid w:val="00790C90"/>
    <w:rsid w:val="007928DA"/>
    <w:rsid w:val="00793A12"/>
    <w:rsid w:val="0079494D"/>
    <w:rsid w:val="00795940"/>
    <w:rsid w:val="00795E01"/>
    <w:rsid w:val="00796E7A"/>
    <w:rsid w:val="00796F8A"/>
    <w:rsid w:val="007977A5"/>
    <w:rsid w:val="007A0012"/>
    <w:rsid w:val="007A0026"/>
    <w:rsid w:val="007A13D7"/>
    <w:rsid w:val="007A17C8"/>
    <w:rsid w:val="007A18EB"/>
    <w:rsid w:val="007A1919"/>
    <w:rsid w:val="007A2423"/>
    <w:rsid w:val="007A2EC7"/>
    <w:rsid w:val="007A2F70"/>
    <w:rsid w:val="007A3293"/>
    <w:rsid w:val="007A3478"/>
    <w:rsid w:val="007A4240"/>
    <w:rsid w:val="007A44FF"/>
    <w:rsid w:val="007A496C"/>
    <w:rsid w:val="007A4980"/>
    <w:rsid w:val="007A5265"/>
    <w:rsid w:val="007A57A6"/>
    <w:rsid w:val="007A5931"/>
    <w:rsid w:val="007A5975"/>
    <w:rsid w:val="007A7F31"/>
    <w:rsid w:val="007B04BF"/>
    <w:rsid w:val="007B186C"/>
    <w:rsid w:val="007B19A1"/>
    <w:rsid w:val="007B19FE"/>
    <w:rsid w:val="007B1B6A"/>
    <w:rsid w:val="007B2769"/>
    <w:rsid w:val="007B3C72"/>
    <w:rsid w:val="007B430B"/>
    <w:rsid w:val="007B47ED"/>
    <w:rsid w:val="007B4826"/>
    <w:rsid w:val="007B4C00"/>
    <w:rsid w:val="007B5867"/>
    <w:rsid w:val="007B5C21"/>
    <w:rsid w:val="007B6279"/>
    <w:rsid w:val="007B6C22"/>
    <w:rsid w:val="007B757E"/>
    <w:rsid w:val="007B762A"/>
    <w:rsid w:val="007C033D"/>
    <w:rsid w:val="007C09E6"/>
    <w:rsid w:val="007C10AC"/>
    <w:rsid w:val="007C16AB"/>
    <w:rsid w:val="007C2270"/>
    <w:rsid w:val="007C22DF"/>
    <w:rsid w:val="007C2DA6"/>
    <w:rsid w:val="007C3334"/>
    <w:rsid w:val="007C3481"/>
    <w:rsid w:val="007C50F6"/>
    <w:rsid w:val="007C52BB"/>
    <w:rsid w:val="007C5476"/>
    <w:rsid w:val="007C58E8"/>
    <w:rsid w:val="007C6557"/>
    <w:rsid w:val="007C7402"/>
    <w:rsid w:val="007C757E"/>
    <w:rsid w:val="007C7743"/>
    <w:rsid w:val="007C798F"/>
    <w:rsid w:val="007C7B14"/>
    <w:rsid w:val="007C7B95"/>
    <w:rsid w:val="007D0207"/>
    <w:rsid w:val="007D0309"/>
    <w:rsid w:val="007D06CB"/>
    <w:rsid w:val="007D0FFC"/>
    <w:rsid w:val="007D203B"/>
    <w:rsid w:val="007D278F"/>
    <w:rsid w:val="007D2B98"/>
    <w:rsid w:val="007D2FEE"/>
    <w:rsid w:val="007D3E9B"/>
    <w:rsid w:val="007D4C93"/>
    <w:rsid w:val="007D4FA5"/>
    <w:rsid w:val="007D6313"/>
    <w:rsid w:val="007D69AC"/>
    <w:rsid w:val="007D77F2"/>
    <w:rsid w:val="007E12F5"/>
    <w:rsid w:val="007E13CE"/>
    <w:rsid w:val="007E1856"/>
    <w:rsid w:val="007E42C4"/>
    <w:rsid w:val="007E5338"/>
    <w:rsid w:val="007E591E"/>
    <w:rsid w:val="007E5C9F"/>
    <w:rsid w:val="007E5E6A"/>
    <w:rsid w:val="007E6897"/>
    <w:rsid w:val="007E6DAC"/>
    <w:rsid w:val="007E783F"/>
    <w:rsid w:val="007E7889"/>
    <w:rsid w:val="007F05E6"/>
    <w:rsid w:val="007F074A"/>
    <w:rsid w:val="007F076B"/>
    <w:rsid w:val="007F11B4"/>
    <w:rsid w:val="007F2727"/>
    <w:rsid w:val="007F2C41"/>
    <w:rsid w:val="007F2DA5"/>
    <w:rsid w:val="007F410D"/>
    <w:rsid w:val="007F42BF"/>
    <w:rsid w:val="007F4A54"/>
    <w:rsid w:val="007F4B82"/>
    <w:rsid w:val="007F4F2C"/>
    <w:rsid w:val="007F4FE2"/>
    <w:rsid w:val="007F5625"/>
    <w:rsid w:val="007F5D80"/>
    <w:rsid w:val="007F62D1"/>
    <w:rsid w:val="007F6371"/>
    <w:rsid w:val="007F70EB"/>
    <w:rsid w:val="007F7AA0"/>
    <w:rsid w:val="00800983"/>
    <w:rsid w:val="00800A07"/>
    <w:rsid w:val="00800B87"/>
    <w:rsid w:val="00800E57"/>
    <w:rsid w:val="00800FC9"/>
    <w:rsid w:val="008010B2"/>
    <w:rsid w:val="00801B96"/>
    <w:rsid w:val="0080393B"/>
    <w:rsid w:val="00803952"/>
    <w:rsid w:val="00803F1C"/>
    <w:rsid w:val="0080488C"/>
    <w:rsid w:val="00804BEF"/>
    <w:rsid w:val="00805784"/>
    <w:rsid w:val="00805885"/>
    <w:rsid w:val="0080600E"/>
    <w:rsid w:val="00806E54"/>
    <w:rsid w:val="008117BB"/>
    <w:rsid w:val="0081181A"/>
    <w:rsid w:val="00812542"/>
    <w:rsid w:val="00812EAF"/>
    <w:rsid w:val="00813CCC"/>
    <w:rsid w:val="00815FD5"/>
    <w:rsid w:val="00816BAE"/>
    <w:rsid w:val="00817612"/>
    <w:rsid w:val="00817D2F"/>
    <w:rsid w:val="00820D73"/>
    <w:rsid w:val="008215C0"/>
    <w:rsid w:val="008218A2"/>
    <w:rsid w:val="00822C9F"/>
    <w:rsid w:val="00822F53"/>
    <w:rsid w:val="00823A91"/>
    <w:rsid w:val="0082595F"/>
    <w:rsid w:val="00825AC2"/>
    <w:rsid w:val="00825B7F"/>
    <w:rsid w:val="00825CC2"/>
    <w:rsid w:val="00827DB7"/>
    <w:rsid w:val="0083041F"/>
    <w:rsid w:val="00830930"/>
    <w:rsid w:val="00830E88"/>
    <w:rsid w:val="008321E7"/>
    <w:rsid w:val="00832DFC"/>
    <w:rsid w:val="0083469D"/>
    <w:rsid w:val="00835F5A"/>
    <w:rsid w:val="0083716D"/>
    <w:rsid w:val="008373B6"/>
    <w:rsid w:val="00837C45"/>
    <w:rsid w:val="008414A3"/>
    <w:rsid w:val="008426FE"/>
    <w:rsid w:val="008438EA"/>
    <w:rsid w:val="008459EB"/>
    <w:rsid w:val="00845C1A"/>
    <w:rsid w:val="00845CDF"/>
    <w:rsid w:val="00846865"/>
    <w:rsid w:val="00846904"/>
    <w:rsid w:val="008472FB"/>
    <w:rsid w:val="00847A8B"/>
    <w:rsid w:val="00847B26"/>
    <w:rsid w:val="008509CC"/>
    <w:rsid w:val="00850B3B"/>
    <w:rsid w:val="00851B6A"/>
    <w:rsid w:val="00852AFB"/>
    <w:rsid w:val="00853419"/>
    <w:rsid w:val="00853A23"/>
    <w:rsid w:val="00853EFB"/>
    <w:rsid w:val="00854911"/>
    <w:rsid w:val="00854FE3"/>
    <w:rsid w:val="00855C7B"/>
    <w:rsid w:val="00855DEF"/>
    <w:rsid w:val="008560E1"/>
    <w:rsid w:val="00856433"/>
    <w:rsid w:val="0085746D"/>
    <w:rsid w:val="00860233"/>
    <w:rsid w:val="00860453"/>
    <w:rsid w:val="00861437"/>
    <w:rsid w:val="0086147D"/>
    <w:rsid w:val="00861972"/>
    <w:rsid w:val="00861E6E"/>
    <w:rsid w:val="00861EC2"/>
    <w:rsid w:val="008628FD"/>
    <w:rsid w:val="0086292E"/>
    <w:rsid w:val="00864785"/>
    <w:rsid w:val="008648E9"/>
    <w:rsid w:val="00864BB4"/>
    <w:rsid w:val="00865279"/>
    <w:rsid w:val="00865368"/>
    <w:rsid w:val="00865811"/>
    <w:rsid w:val="00865A1C"/>
    <w:rsid w:val="00865C19"/>
    <w:rsid w:val="00865C9B"/>
    <w:rsid w:val="00865D73"/>
    <w:rsid w:val="0086628D"/>
    <w:rsid w:val="008665EC"/>
    <w:rsid w:val="00866D7E"/>
    <w:rsid w:val="008678EF"/>
    <w:rsid w:val="00867A46"/>
    <w:rsid w:val="0087014C"/>
    <w:rsid w:val="00871372"/>
    <w:rsid w:val="00871EBE"/>
    <w:rsid w:val="00872A88"/>
    <w:rsid w:val="008735E2"/>
    <w:rsid w:val="008741A2"/>
    <w:rsid w:val="00874BEE"/>
    <w:rsid w:val="00875ABB"/>
    <w:rsid w:val="00875EC6"/>
    <w:rsid w:val="00876085"/>
    <w:rsid w:val="00877E1B"/>
    <w:rsid w:val="00880B21"/>
    <w:rsid w:val="00880F95"/>
    <w:rsid w:val="00881D67"/>
    <w:rsid w:val="00882952"/>
    <w:rsid w:val="00882C32"/>
    <w:rsid w:val="0088373B"/>
    <w:rsid w:val="00883E89"/>
    <w:rsid w:val="00883EA4"/>
    <w:rsid w:val="00884270"/>
    <w:rsid w:val="008867C0"/>
    <w:rsid w:val="008869BA"/>
    <w:rsid w:val="00887B7D"/>
    <w:rsid w:val="008903D5"/>
    <w:rsid w:val="0089156D"/>
    <w:rsid w:val="008917C2"/>
    <w:rsid w:val="0089306E"/>
    <w:rsid w:val="00893E24"/>
    <w:rsid w:val="00893E44"/>
    <w:rsid w:val="00893E89"/>
    <w:rsid w:val="008945B4"/>
    <w:rsid w:val="008950E0"/>
    <w:rsid w:val="0089514B"/>
    <w:rsid w:val="0089560B"/>
    <w:rsid w:val="008969D3"/>
    <w:rsid w:val="00896A15"/>
    <w:rsid w:val="008971D8"/>
    <w:rsid w:val="00897E12"/>
    <w:rsid w:val="008A065A"/>
    <w:rsid w:val="008A0798"/>
    <w:rsid w:val="008A0A13"/>
    <w:rsid w:val="008A0F37"/>
    <w:rsid w:val="008A0FBD"/>
    <w:rsid w:val="008A0FD2"/>
    <w:rsid w:val="008A1732"/>
    <w:rsid w:val="008A1C4B"/>
    <w:rsid w:val="008A1C95"/>
    <w:rsid w:val="008A3434"/>
    <w:rsid w:val="008A36FA"/>
    <w:rsid w:val="008A3B03"/>
    <w:rsid w:val="008A4398"/>
    <w:rsid w:val="008A4B7D"/>
    <w:rsid w:val="008A4FAC"/>
    <w:rsid w:val="008A51A9"/>
    <w:rsid w:val="008A5A80"/>
    <w:rsid w:val="008A5BF4"/>
    <w:rsid w:val="008A67CF"/>
    <w:rsid w:val="008A6DA2"/>
    <w:rsid w:val="008A6E6B"/>
    <w:rsid w:val="008A7F97"/>
    <w:rsid w:val="008A7FC7"/>
    <w:rsid w:val="008B0DE9"/>
    <w:rsid w:val="008B0E6D"/>
    <w:rsid w:val="008B0EE7"/>
    <w:rsid w:val="008B1477"/>
    <w:rsid w:val="008B14CB"/>
    <w:rsid w:val="008B1BBD"/>
    <w:rsid w:val="008B1E82"/>
    <w:rsid w:val="008B24D5"/>
    <w:rsid w:val="008B25FC"/>
    <w:rsid w:val="008B2DA9"/>
    <w:rsid w:val="008B3466"/>
    <w:rsid w:val="008B34CA"/>
    <w:rsid w:val="008B44C5"/>
    <w:rsid w:val="008B5124"/>
    <w:rsid w:val="008B6F85"/>
    <w:rsid w:val="008C00EE"/>
    <w:rsid w:val="008C07F6"/>
    <w:rsid w:val="008C2789"/>
    <w:rsid w:val="008C27B9"/>
    <w:rsid w:val="008C2DF6"/>
    <w:rsid w:val="008C3661"/>
    <w:rsid w:val="008C4029"/>
    <w:rsid w:val="008C606A"/>
    <w:rsid w:val="008C6FC4"/>
    <w:rsid w:val="008C7401"/>
    <w:rsid w:val="008C7564"/>
    <w:rsid w:val="008D0556"/>
    <w:rsid w:val="008D307A"/>
    <w:rsid w:val="008D33C9"/>
    <w:rsid w:val="008D354E"/>
    <w:rsid w:val="008D35F0"/>
    <w:rsid w:val="008D3C06"/>
    <w:rsid w:val="008D3F7F"/>
    <w:rsid w:val="008D43BA"/>
    <w:rsid w:val="008D6249"/>
    <w:rsid w:val="008D6290"/>
    <w:rsid w:val="008D6303"/>
    <w:rsid w:val="008D7317"/>
    <w:rsid w:val="008D7A4A"/>
    <w:rsid w:val="008D7DF4"/>
    <w:rsid w:val="008E083B"/>
    <w:rsid w:val="008E10AE"/>
    <w:rsid w:val="008E3602"/>
    <w:rsid w:val="008E3759"/>
    <w:rsid w:val="008E46CE"/>
    <w:rsid w:val="008E4DBE"/>
    <w:rsid w:val="008E53E4"/>
    <w:rsid w:val="008E5615"/>
    <w:rsid w:val="008E71E6"/>
    <w:rsid w:val="008E744D"/>
    <w:rsid w:val="008E74B7"/>
    <w:rsid w:val="008E7B4C"/>
    <w:rsid w:val="008F233C"/>
    <w:rsid w:val="008F298E"/>
    <w:rsid w:val="008F2A35"/>
    <w:rsid w:val="008F2A73"/>
    <w:rsid w:val="008F2E03"/>
    <w:rsid w:val="008F2E1C"/>
    <w:rsid w:val="008F3BF9"/>
    <w:rsid w:val="008F3E4A"/>
    <w:rsid w:val="008F405E"/>
    <w:rsid w:val="008F4101"/>
    <w:rsid w:val="008F4522"/>
    <w:rsid w:val="008F4691"/>
    <w:rsid w:val="008F49E6"/>
    <w:rsid w:val="008F559D"/>
    <w:rsid w:val="008F6470"/>
    <w:rsid w:val="008F7B4C"/>
    <w:rsid w:val="008F7D4D"/>
    <w:rsid w:val="008F7F3F"/>
    <w:rsid w:val="0090091F"/>
    <w:rsid w:val="009021D6"/>
    <w:rsid w:val="00902845"/>
    <w:rsid w:val="00902DD5"/>
    <w:rsid w:val="009041DC"/>
    <w:rsid w:val="009047EE"/>
    <w:rsid w:val="00904B4B"/>
    <w:rsid w:val="0090668D"/>
    <w:rsid w:val="00906FB8"/>
    <w:rsid w:val="00907012"/>
    <w:rsid w:val="00907CCD"/>
    <w:rsid w:val="009104B4"/>
    <w:rsid w:val="00910C14"/>
    <w:rsid w:val="009113EE"/>
    <w:rsid w:val="00912171"/>
    <w:rsid w:val="009124FA"/>
    <w:rsid w:val="00912642"/>
    <w:rsid w:val="00913B6D"/>
    <w:rsid w:val="00914897"/>
    <w:rsid w:val="00915CDE"/>
    <w:rsid w:val="00915FDE"/>
    <w:rsid w:val="009162AF"/>
    <w:rsid w:val="0091677E"/>
    <w:rsid w:val="00916A78"/>
    <w:rsid w:val="0091728F"/>
    <w:rsid w:val="0091789D"/>
    <w:rsid w:val="00917971"/>
    <w:rsid w:val="00917ACD"/>
    <w:rsid w:val="00920CF7"/>
    <w:rsid w:val="00921023"/>
    <w:rsid w:val="00922A9F"/>
    <w:rsid w:val="00923920"/>
    <w:rsid w:val="00924D62"/>
    <w:rsid w:val="00924F0A"/>
    <w:rsid w:val="00925564"/>
    <w:rsid w:val="00925C35"/>
    <w:rsid w:val="00925FCD"/>
    <w:rsid w:val="009261A4"/>
    <w:rsid w:val="00926A46"/>
    <w:rsid w:val="00926E99"/>
    <w:rsid w:val="00927B0B"/>
    <w:rsid w:val="0093035E"/>
    <w:rsid w:val="00930998"/>
    <w:rsid w:val="00930ED0"/>
    <w:rsid w:val="009322FE"/>
    <w:rsid w:val="009324EB"/>
    <w:rsid w:val="0093396C"/>
    <w:rsid w:val="0093441A"/>
    <w:rsid w:val="00934829"/>
    <w:rsid w:val="00935091"/>
    <w:rsid w:val="0093569C"/>
    <w:rsid w:val="009356F2"/>
    <w:rsid w:val="00935735"/>
    <w:rsid w:val="009359E3"/>
    <w:rsid w:val="00935A0D"/>
    <w:rsid w:val="00935A29"/>
    <w:rsid w:val="0093658A"/>
    <w:rsid w:val="00936C4F"/>
    <w:rsid w:val="00940F2D"/>
    <w:rsid w:val="009412E0"/>
    <w:rsid w:val="0094199B"/>
    <w:rsid w:val="009424BD"/>
    <w:rsid w:val="00942A54"/>
    <w:rsid w:val="00942AA6"/>
    <w:rsid w:val="00942BBC"/>
    <w:rsid w:val="009435DC"/>
    <w:rsid w:val="009435E7"/>
    <w:rsid w:val="00943C6D"/>
    <w:rsid w:val="00945138"/>
    <w:rsid w:val="00945F51"/>
    <w:rsid w:val="00946782"/>
    <w:rsid w:val="00946C83"/>
    <w:rsid w:val="0094702E"/>
    <w:rsid w:val="00950525"/>
    <w:rsid w:val="00950D77"/>
    <w:rsid w:val="00951A16"/>
    <w:rsid w:val="009522C5"/>
    <w:rsid w:val="009522E4"/>
    <w:rsid w:val="00952CAA"/>
    <w:rsid w:val="00952DC4"/>
    <w:rsid w:val="0095466D"/>
    <w:rsid w:val="009546BF"/>
    <w:rsid w:val="00954940"/>
    <w:rsid w:val="00954BF7"/>
    <w:rsid w:val="00955093"/>
    <w:rsid w:val="009554F0"/>
    <w:rsid w:val="00955C80"/>
    <w:rsid w:val="00955EA3"/>
    <w:rsid w:val="00955F2E"/>
    <w:rsid w:val="0095624F"/>
    <w:rsid w:val="0095641C"/>
    <w:rsid w:val="009565E5"/>
    <w:rsid w:val="00957A32"/>
    <w:rsid w:val="00957EF8"/>
    <w:rsid w:val="00957F1D"/>
    <w:rsid w:val="00960555"/>
    <w:rsid w:val="0096111A"/>
    <w:rsid w:val="00963233"/>
    <w:rsid w:val="009653A0"/>
    <w:rsid w:val="00965C20"/>
    <w:rsid w:val="00965F42"/>
    <w:rsid w:val="009661AD"/>
    <w:rsid w:val="009666CD"/>
    <w:rsid w:val="009668D9"/>
    <w:rsid w:val="009668E5"/>
    <w:rsid w:val="0096706E"/>
    <w:rsid w:val="00967DF8"/>
    <w:rsid w:val="00967ECF"/>
    <w:rsid w:val="00971018"/>
    <w:rsid w:val="009714F6"/>
    <w:rsid w:val="009720EB"/>
    <w:rsid w:val="0097237F"/>
    <w:rsid w:val="009724C3"/>
    <w:rsid w:val="00972D83"/>
    <w:rsid w:val="00973675"/>
    <w:rsid w:val="00973798"/>
    <w:rsid w:val="00973E1D"/>
    <w:rsid w:val="00973FD3"/>
    <w:rsid w:val="009753D7"/>
    <w:rsid w:val="00975E26"/>
    <w:rsid w:val="00976209"/>
    <w:rsid w:val="00976E74"/>
    <w:rsid w:val="00977029"/>
    <w:rsid w:val="00980D23"/>
    <w:rsid w:val="00981203"/>
    <w:rsid w:val="00981A41"/>
    <w:rsid w:val="00981FBA"/>
    <w:rsid w:val="009826CC"/>
    <w:rsid w:val="00982E24"/>
    <w:rsid w:val="009835AD"/>
    <w:rsid w:val="00983AF6"/>
    <w:rsid w:val="009843A2"/>
    <w:rsid w:val="00985A4B"/>
    <w:rsid w:val="00985A98"/>
    <w:rsid w:val="00985CF4"/>
    <w:rsid w:val="00986129"/>
    <w:rsid w:val="00986662"/>
    <w:rsid w:val="00986A5C"/>
    <w:rsid w:val="00986AEE"/>
    <w:rsid w:val="00986F77"/>
    <w:rsid w:val="009879D3"/>
    <w:rsid w:val="00991846"/>
    <w:rsid w:val="009923C3"/>
    <w:rsid w:val="00992A7F"/>
    <w:rsid w:val="009937A7"/>
    <w:rsid w:val="00993A8B"/>
    <w:rsid w:val="00994ECF"/>
    <w:rsid w:val="00995410"/>
    <w:rsid w:val="0099559E"/>
    <w:rsid w:val="00995BB7"/>
    <w:rsid w:val="009967AF"/>
    <w:rsid w:val="0099714E"/>
    <w:rsid w:val="00997E99"/>
    <w:rsid w:val="009A03DC"/>
    <w:rsid w:val="009A03E7"/>
    <w:rsid w:val="009A0816"/>
    <w:rsid w:val="009A0B09"/>
    <w:rsid w:val="009A0F04"/>
    <w:rsid w:val="009A1A5D"/>
    <w:rsid w:val="009A1D2A"/>
    <w:rsid w:val="009A28FA"/>
    <w:rsid w:val="009A3692"/>
    <w:rsid w:val="009A3BCE"/>
    <w:rsid w:val="009A6130"/>
    <w:rsid w:val="009A67CC"/>
    <w:rsid w:val="009A7953"/>
    <w:rsid w:val="009B07BE"/>
    <w:rsid w:val="009B1206"/>
    <w:rsid w:val="009B1525"/>
    <w:rsid w:val="009B26C8"/>
    <w:rsid w:val="009B2F9E"/>
    <w:rsid w:val="009B351F"/>
    <w:rsid w:val="009B381B"/>
    <w:rsid w:val="009B3849"/>
    <w:rsid w:val="009B4536"/>
    <w:rsid w:val="009B4D4E"/>
    <w:rsid w:val="009B5129"/>
    <w:rsid w:val="009B541A"/>
    <w:rsid w:val="009B61B2"/>
    <w:rsid w:val="009B71D5"/>
    <w:rsid w:val="009B74A4"/>
    <w:rsid w:val="009B7763"/>
    <w:rsid w:val="009B7A99"/>
    <w:rsid w:val="009C0286"/>
    <w:rsid w:val="009C1615"/>
    <w:rsid w:val="009C1691"/>
    <w:rsid w:val="009C1877"/>
    <w:rsid w:val="009C1D8B"/>
    <w:rsid w:val="009C2984"/>
    <w:rsid w:val="009C2F9F"/>
    <w:rsid w:val="009C312B"/>
    <w:rsid w:val="009C44D0"/>
    <w:rsid w:val="009C458A"/>
    <w:rsid w:val="009C4893"/>
    <w:rsid w:val="009C4D68"/>
    <w:rsid w:val="009C5423"/>
    <w:rsid w:val="009D0946"/>
    <w:rsid w:val="009D0DEE"/>
    <w:rsid w:val="009D15C7"/>
    <w:rsid w:val="009D16D3"/>
    <w:rsid w:val="009D2342"/>
    <w:rsid w:val="009D280B"/>
    <w:rsid w:val="009D3728"/>
    <w:rsid w:val="009D42B5"/>
    <w:rsid w:val="009D50C6"/>
    <w:rsid w:val="009D561E"/>
    <w:rsid w:val="009D6116"/>
    <w:rsid w:val="009D72C0"/>
    <w:rsid w:val="009D7611"/>
    <w:rsid w:val="009E06A6"/>
    <w:rsid w:val="009E075C"/>
    <w:rsid w:val="009E1313"/>
    <w:rsid w:val="009E27A9"/>
    <w:rsid w:val="009E3488"/>
    <w:rsid w:val="009E374A"/>
    <w:rsid w:val="009E3A41"/>
    <w:rsid w:val="009E3ABD"/>
    <w:rsid w:val="009E3C23"/>
    <w:rsid w:val="009E3C4D"/>
    <w:rsid w:val="009E4906"/>
    <w:rsid w:val="009E4BB8"/>
    <w:rsid w:val="009E53DE"/>
    <w:rsid w:val="009E5D2B"/>
    <w:rsid w:val="009E6ACE"/>
    <w:rsid w:val="009E6FD9"/>
    <w:rsid w:val="009E7A69"/>
    <w:rsid w:val="009E7D87"/>
    <w:rsid w:val="009F08C8"/>
    <w:rsid w:val="009F0AED"/>
    <w:rsid w:val="009F0CF2"/>
    <w:rsid w:val="009F114F"/>
    <w:rsid w:val="009F1587"/>
    <w:rsid w:val="009F1B62"/>
    <w:rsid w:val="009F1ED5"/>
    <w:rsid w:val="009F24AF"/>
    <w:rsid w:val="009F24FF"/>
    <w:rsid w:val="009F297A"/>
    <w:rsid w:val="009F2CC4"/>
    <w:rsid w:val="009F3705"/>
    <w:rsid w:val="009F4AA8"/>
    <w:rsid w:val="009F54BA"/>
    <w:rsid w:val="009F7113"/>
    <w:rsid w:val="009F76DF"/>
    <w:rsid w:val="009F76E5"/>
    <w:rsid w:val="009F7C41"/>
    <w:rsid w:val="00A00F6B"/>
    <w:rsid w:val="00A011DB"/>
    <w:rsid w:val="00A014DA"/>
    <w:rsid w:val="00A03579"/>
    <w:rsid w:val="00A03B6C"/>
    <w:rsid w:val="00A03DA5"/>
    <w:rsid w:val="00A04BB7"/>
    <w:rsid w:val="00A05C64"/>
    <w:rsid w:val="00A06FEB"/>
    <w:rsid w:val="00A072E8"/>
    <w:rsid w:val="00A0739A"/>
    <w:rsid w:val="00A07CAA"/>
    <w:rsid w:val="00A10246"/>
    <w:rsid w:val="00A10403"/>
    <w:rsid w:val="00A10450"/>
    <w:rsid w:val="00A10A25"/>
    <w:rsid w:val="00A10C01"/>
    <w:rsid w:val="00A12250"/>
    <w:rsid w:val="00A127E6"/>
    <w:rsid w:val="00A13A94"/>
    <w:rsid w:val="00A13E1D"/>
    <w:rsid w:val="00A14D37"/>
    <w:rsid w:val="00A15A9B"/>
    <w:rsid w:val="00A15C9A"/>
    <w:rsid w:val="00A1636C"/>
    <w:rsid w:val="00A163A4"/>
    <w:rsid w:val="00A1688B"/>
    <w:rsid w:val="00A169DC"/>
    <w:rsid w:val="00A17625"/>
    <w:rsid w:val="00A17E82"/>
    <w:rsid w:val="00A2015A"/>
    <w:rsid w:val="00A20B65"/>
    <w:rsid w:val="00A20F5F"/>
    <w:rsid w:val="00A213FD"/>
    <w:rsid w:val="00A21E68"/>
    <w:rsid w:val="00A22B7B"/>
    <w:rsid w:val="00A23924"/>
    <w:rsid w:val="00A242ED"/>
    <w:rsid w:val="00A24331"/>
    <w:rsid w:val="00A24409"/>
    <w:rsid w:val="00A2456A"/>
    <w:rsid w:val="00A24C70"/>
    <w:rsid w:val="00A25C0A"/>
    <w:rsid w:val="00A27314"/>
    <w:rsid w:val="00A273F5"/>
    <w:rsid w:val="00A27AA6"/>
    <w:rsid w:val="00A3109B"/>
    <w:rsid w:val="00A31451"/>
    <w:rsid w:val="00A31CB0"/>
    <w:rsid w:val="00A32364"/>
    <w:rsid w:val="00A3286C"/>
    <w:rsid w:val="00A328B3"/>
    <w:rsid w:val="00A32D38"/>
    <w:rsid w:val="00A34273"/>
    <w:rsid w:val="00A34F17"/>
    <w:rsid w:val="00A36168"/>
    <w:rsid w:val="00A369F1"/>
    <w:rsid w:val="00A36B13"/>
    <w:rsid w:val="00A36E16"/>
    <w:rsid w:val="00A3773C"/>
    <w:rsid w:val="00A37DA9"/>
    <w:rsid w:val="00A40463"/>
    <w:rsid w:val="00A40CED"/>
    <w:rsid w:val="00A411A7"/>
    <w:rsid w:val="00A43458"/>
    <w:rsid w:val="00A438C4"/>
    <w:rsid w:val="00A438F6"/>
    <w:rsid w:val="00A4435B"/>
    <w:rsid w:val="00A444C4"/>
    <w:rsid w:val="00A445B3"/>
    <w:rsid w:val="00A447CD"/>
    <w:rsid w:val="00A44B56"/>
    <w:rsid w:val="00A461FC"/>
    <w:rsid w:val="00A4642C"/>
    <w:rsid w:val="00A467D6"/>
    <w:rsid w:val="00A47174"/>
    <w:rsid w:val="00A47A8D"/>
    <w:rsid w:val="00A47CBE"/>
    <w:rsid w:val="00A47D0B"/>
    <w:rsid w:val="00A500DA"/>
    <w:rsid w:val="00A50201"/>
    <w:rsid w:val="00A5028C"/>
    <w:rsid w:val="00A502E8"/>
    <w:rsid w:val="00A50CF2"/>
    <w:rsid w:val="00A51C8A"/>
    <w:rsid w:val="00A52375"/>
    <w:rsid w:val="00A5251F"/>
    <w:rsid w:val="00A527E1"/>
    <w:rsid w:val="00A528D1"/>
    <w:rsid w:val="00A53C80"/>
    <w:rsid w:val="00A53D13"/>
    <w:rsid w:val="00A53D23"/>
    <w:rsid w:val="00A542D1"/>
    <w:rsid w:val="00A54A91"/>
    <w:rsid w:val="00A54E22"/>
    <w:rsid w:val="00A55776"/>
    <w:rsid w:val="00A5736F"/>
    <w:rsid w:val="00A57ACD"/>
    <w:rsid w:val="00A60093"/>
    <w:rsid w:val="00A60243"/>
    <w:rsid w:val="00A60D01"/>
    <w:rsid w:val="00A60F25"/>
    <w:rsid w:val="00A611B1"/>
    <w:rsid w:val="00A618DF"/>
    <w:rsid w:val="00A61D61"/>
    <w:rsid w:val="00A6269C"/>
    <w:rsid w:val="00A6287A"/>
    <w:rsid w:val="00A62FDE"/>
    <w:rsid w:val="00A63958"/>
    <w:rsid w:val="00A644C1"/>
    <w:rsid w:val="00A64DA8"/>
    <w:rsid w:val="00A64EE8"/>
    <w:rsid w:val="00A64F5F"/>
    <w:rsid w:val="00A650D1"/>
    <w:rsid w:val="00A669C6"/>
    <w:rsid w:val="00A66BE5"/>
    <w:rsid w:val="00A709DB"/>
    <w:rsid w:val="00A70FA6"/>
    <w:rsid w:val="00A71D99"/>
    <w:rsid w:val="00A731AE"/>
    <w:rsid w:val="00A74D35"/>
    <w:rsid w:val="00A7605D"/>
    <w:rsid w:val="00A774E2"/>
    <w:rsid w:val="00A77577"/>
    <w:rsid w:val="00A7774D"/>
    <w:rsid w:val="00A80C1E"/>
    <w:rsid w:val="00A81637"/>
    <w:rsid w:val="00A81D28"/>
    <w:rsid w:val="00A8335C"/>
    <w:rsid w:val="00A83588"/>
    <w:rsid w:val="00A83A3A"/>
    <w:rsid w:val="00A84A45"/>
    <w:rsid w:val="00A84A53"/>
    <w:rsid w:val="00A84B01"/>
    <w:rsid w:val="00A871CA"/>
    <w:rsid w:val="00A87A26"/>
    <w:rsid w:val="00A87FF5"/>
    <w:rsid w:val="00A90222"/>
    <w:rsid w:val="00A91C87"/>
    <w:rsid w:val="00A91F89"/>
    <w:rsid w:val="00A92714"/>
    <w:rsid w:val="00A92784"/>
    <w:rsid w:val="00A92DCA"/>
    <w:rsid w:val="00A93A8A"/>
    <w:rsid w:val="00A947C6"/>
    <w:rsid w:val="00A95F1A"/>
    <w:rsid w:val="00A978E7"/>
    <w:rsid w:val="00A97B11"/>
    <w:rsid w:val="00A97CDE"/>
    <w:rsid w:val="00AA00C2"/>
    <w:rsid w:val="00AA0705"/>
    <w:rsid w:val="00AA23D3"/>
    <w:rsid w:val="00AA33AF"/>
    <w:rsid w:val="00AA3BF1"/>
    <w:rsid w:val="00AA40F4"/>
    <w:rsid w:val="00AA43EE"/>
    <w:rsid w:val="00AA4746"/>
    <w:rsid w:val="00AA52E1"/>
    <w:rsid w:val="00AA57B5"/>
    <w:rsid w:val="00AA5C88"/>
    <w:rsid w:val="00AA5F38"/>
    <w:rsid w:val="00AA6345"/>
    <w:rsid w:val="00AA792C"/>
    <w:rsid w:val="00AA7A2C"/>
    <w:rsid w:val="00AA7E8A"/>
    <w:rsid w:val="00AB069C"/>
    <w:rsid w:val="00AB0745"/>
    <w:rsid w:val="00AB097B"/>
    <w:rsid w:val="00AB2004"/>
    <w:rsid w:val="00AB2836"/>
    <w:rsid w:val="00AB2F3B"/>
    <w:rsid w:val="00AB30C2"/>
    <w:rsid w:val="00AB3118"/>
    <w:rsid w:val="00AB352F"/>
    <w:rsid w:val="00AB3712"/>
    <w:rsid w:val="00AB4F85"/>
    <w:rsid w:val="00AB55B8"/>
    <w:rsid w:val="00AB59BA"/>
    <w:rsid w:val="00AB5A7B"/>
    <w:rsid w:val="00AB6166"/>
    <w:rsid w:val="00AB665E"/>
    <w:rsid w:val="00AB6874"/>
    <w:rsid w:val="00AB7134"/>
    <w:rsid w:val="00AB7291"/>
    <w:rsid w:val="00AC043D"/>
    <w:rsid w:val="00AC045C"/>
    <w:rsid w:val="00AC0531"/>
    <w:rsid w:val="00AC2C74"/>
    <w:rsid w:val="00AC313B"/>
    <w:rsid w:val="00AC388E"/>
    <w:rsid w:val="00AC3EC1"/>
    <w:rsid w:val="00AC4106"/>
    <w:rsid w:val="00AC4C5A"/>
    <w:rsid w:val="00AC4E50"/>
    <w:rsid w:val="00AC4F7C"/>
    <w:rsid w:val="00AC619C"/>
    <w:rsid w:val="00AC6AE6"/>
    <w:rsid w:val="00AC7ABA"/>
    <w:rsid w:val="00AC7F4D"/>
    <w:rsid w:val="00AD0816"/>
    <w:rsid w:val="00AD089A"/>
    <w:rsid w:val="00AD1164"/>
    <w:rsid w:val="00AD1257"/>
    <w:rsid w:val="00AD1759"/>
    <w:rsid w:val="00AD1E27"/>
    <w:rsid w:val="00AD29F5"/>
    <w:rsid w:val="00AD2BC6"/>
    <w:rsid w:val="00AD34D9"/>
    <w:rsid w:val="00AD37C1"/>
    <w:rsid w:val="00AD38AF"/>
    <w:rsid w:val="00AD38E9"/>
    <w:rsid w:val="00AD4435"/>
    <w:rsid w:val="00AD452E"/>
    <w:rsid w:val="00AD4A7C"/>
    <w:rsid w:val="00AD4CD7"/>
    <w:rsid w:val="00AD4E05"/>
    <w:rsid w:val="00AD5C08"/>
    <w:rsid w:val="00AD5EB5"/>
    <w:rsid w:val="00AD671A"/>
    <w:rsid w:val="00AD7A33"/>
    <w:rsid w:val="00AE0873"/>
    <w:rsid w:val="00AE0DEC"/>
    <w:rsid w:val="00AE1302"/>
    <w:rsid w:val="00AE15A9"/>
    <w:rsid w:val="00AE1DFE"/>
    <w:rsid w:val="00AE1F0C"/>
    <w:rsid w:val="00AE38BC"/>
    <w:rsid w:val="00AE448F"/>
    <w:rsid w:val="00AE4C43"/>
    <w:rsid w:val="00AE6157"/>
    <w:rsid w:val="00AE6271"/>
    <w:rsid w:val="00AE66EC"/>
    <w:rsid w:val="00AE6AE5"/>
    <w:rsid w:val="00AE6F91"/>
    <w:rsid w:val="00AF0440"/>
    <w:rsid w:val="00AF0C26"/>
    <w:rsid w:val="00AF22CE"/>
    <w:rsid w:val="00AF24AF"/>
    <w:rsid w:val="00AF2782"/>
    <w:rsid w:val="00AF3344"/>
    <w:rsid w:val="00AF3895"/>
    <w:rsid w:val="00AF5571"/>
    <w:rsid w:val="00AF6831"/>
    <w:rsid w:val="00AF79FA"/>
    <w:rsid w:val="00B00E62"/>
    <w:rsid w:val="00B016BF"/>
    <w:rsid w:val="00B016EF"/>
    <w:rsid w:val="00B01D8D"/>
    <w:rsid w:val="00B033E8"/>
    <w:rsid w:val="00B03D29"/>
    <w:rsid w:val="00B057C9"/>
    <w:rsid w:val="00B05FCA"/>
    <w:rsid w:val="00B0667E"/>
    <w:rsid w:val="00B06BF4"/>
    <w:rsid w:val="00B072CB"/>
    <w:rsid w:val="00B07DF4"/>
    <w:rsid w:val="00B1155E"/>
    <w:rsid w:val="00B124E6"/>
    <w:rsid w:val="00B14110"/>
    <w:rsid w:val="00B1479A"/>
    <w:rsid w:val="00B14837"/>
    <w:rsid w:val="00B1519B"/>
    <w:rsid w:val="00B160A4"/>
    <w:rsid w:val="00B160C4"/>
    <w:rsid w:val="00B167E9"/>
    <w:rsid w:val="00B16FF4"/>
    <w:rsid w:val="00B1724A"/>
    <w:rsid w:val="00B17931"/>
    <w:rsid w:val="00B17E2C"/>
    <w:rsid w:val="00B204E7"/>
    <w:rsid w:val="00B207F5"/>
    <w:rsid w:val="00B20B83"/>
    <w:rsid w:val="00B21064"/>
    <w:rsid w:val="00B211D5"/>
    <w:rsid w:val="00B21BC5"/>
    <w:rsid w:val="00B22644"/>
    <w:rsid w:val="00B22C40"/>
    <w:rsid w:val="00B23A86"/>
    <w:rsid w:val="00B24843"/>
    <w:rsid w:val="00B26410"/>
    <w:rsid w:val="00B26D4E"/>
    <w:rsid w:val="00B27127"/>
    <w:rsid w:val="00B2728E"/>
    <w:rsid w:val="00B2742E"/>
    <w:rsid w:val="00B301E8"/>
    <w:rsid w:val="00B30278"/>
    <w:rsid w:val="00B30950"/>
    <w:rsid w:val="00B314DB"/>
    <w:rsid w:val="00B316A7"/>
    <w:rsid w:val="00B31EBE"/>
    <w:rsid w:val="00B3469B"/>
    <w:rsid w:val="00B34B9E"/>
    <w:rsid w:val="00B34D82"/>
    <w:rsid w:val="00B36E37"/>
    <w:rsid w:val="00B3718B"/>
    <w:rsid w:val="00B37883"/>
    <w:rsid w:val="00B37C3B"/>
    <w:rsid w:val="00B404E9"/>
    <w:rsid w:val="00B418CA"/>
    <w:rsid w:val="00B41915"/>
    <w:rsid w:val="00B41AAC"/>
    <w:rsid w:val="00B424CD"/>
    <w:rsid w:val="00B4294C"/>
    <w:rsid w:val="00B42AA4"/>
    <w:rsid w:val="00B42ABC"/>
    <w:rsid w:val="00B42E30"/>
    <w:rsid w:val="00B42FB2"/>
    <w:rsid w:val="00B432D6"/>
    <w:rsid w:val="00B44EEE"/>
    <w:rsid w:val="00B44F4C"/>
    <w:rsid w:val="00B454DC"/>
    <w:rsid w:val="00B45BE7"/>
    <w:rsid w:val="00B45ECD"/>
    <w:rsid w:val="00B46033"/>
    <w:rsid w:val="00B46313"/>
    <w:rsid w:val="00B4632A"/>
    <w:rsid w:val="00B478B1"/>
    <w:rsid w:val="00B478C4"/>
    <w:rsid w:val="00B506F8"/>
    <w:rsid w:val="00B50B12"/>
    <w:rsid w:val="00B50DE4"/>
    <w:rsid w:val="00B50F68"/>
    <w:rsid w:val="00B5149E"/>
    <w:rsid w:val="00B515A8"/>
    <w:rsid w:val="00B52A4B"/>
    <w:rsid w:val="00B5358C"/>
    <w:rsid w:val="00B540E8"/>
    <w:rsid w:val="00B553D0"/>
    <w:rsid w:val="00B55E95"/>
    <w:rsid w:val="00B56E61"/>
    <w:rsid w:val="00B574EE"/>
    <w:rsid w:val="00B575D6"/>
    <w:rsid w:val="00B60E25"/>
    <w:rsid w:val="00B61BD0"/>
    <w:rsid w:val="00B61F81"/>
    <w:rsid w:val="00B62894"/>
    <w:rsid w:val="00B62BC0"/>
    <w:rsid w:val="00B63572"/>
    <w:rsid w:val="00B63577"/>
    <w:rsid w:val="00B63E17"/>
    <w:rsid w:val="00B64AA8"/>
    <w:rsid w:val="00B64D22"/>
    <w:rsid w:val="00B673F4"/>
    <w:rsid w:val="00B67539"/>
    <w:rsid w:val="00B70462"/>
    <w:rsid w:val="00B7194C"/>
    <w:rsid w:val="00B7293C"/>
    <w:rsid w:val="00B72E00"/>
    <w:rsid w:val="00B73454"/>
    <w:rsid w:val="00B73D06"/>
    <w:rsid w:val="00B744F1"/>
    <w:rsid w:val="00B74DAF"/>
    <w:rsid w:val="00B75D57"/>
    <w:rsid w:val="00B765F1"/>
    <w:rsid w:val="00B76BE8"/>
    <w:rsid w:val="00B779B1"/>
    <w:rsid w:val="00B77B09"/>
    <w:rsid w:val="00B77B2B"/>
    <w:rsid w:val="00B80104"/>
    <w:rsid w:val="00B801CB"/>
    <w:rsid w:val="00B83A9C"/>
    <w:rsid w:val="00B83E63"/>
    <w:rsid w:val="00B8441C"/>
    <w:rsid w:val="00B84FC7"/>
    <w:rsid w:val="00B85791"/>
    <w:rsid w:val="00B85B6B"/>
    <w:rsid w:val="00B8646F"/>
    <w:rsid w:val="00B86577"/>
    <w:rsid w:val="00B8664E"/>
    <w:rsid w:val="00B868A4"/>
    <w:rsid w:val="00B871DF"/>
    <w:rsid w:val="00B8786D"/>
    <w:rsid w:val="00B90178"/>
    <w:rsid w:val="00B90B51"/>
    <w:rsid w:val="00B913F9"/>
    <w:rsid w:val="00B920B7"/>
    <w:rsid w:val="00B926B1"/>
    <w:rsid w:val="00B9294C"/>
    <w:rsid w:val="00B92DC9"/>
    <w:rsid w:val="00B933E4"/>
    <w:rsid w:val="00B93AB3"/>
    <w:rsid w:val="00B945B3"/>
    <w:rsid w:val="00B96AD9"/>
    <w:rsid w:val="00BA06DA"/>
    <w:rsid w:val="00BA0DE1"/>
    <w:rsid w:val="00BA0E3E"/>
    <w:rsid w:val="00BA11D2"/>
    <w:rsid w:val="00BA133D"/>
    <w:rsid w:val="00BA198F"/>
    <w:rsid w:val="00BA19D1"/>
    <w:rsid w:val="00BA1D41"/>
    <w:rsid w:val="00BA2531"/>
    <w:rsid w:val="00BA276C"/>
    <w:rsid w:val="00BA2988"/>
    <w:rsid w:val="00BA3099"/>
    <w:rsid w:val="00BA3133"/>
    <w:rsid w:val="00BA31DF"/>
    <w:rsid w:val="00BA483C"/>
    <w:rsid w:val="00BA4CA9"/>
    <w:rsid w:val="00BA6FFA"/>
    <w:rsid w:val="00BA7984"/>
    <w:rsid w:val="00BB020D"/>
    <w:rsid w:val="00BB151F"/>
    <w:rsid w:val="00BB285D"/>
    <w:rsid w:val="00BB3066"/>
    <w:rsid w:val="00BB306F"/>
    <w:rsid w:val="00BB31F9"/>
    <w:rsid w:val="00BB3466"/>
    <w:rsid w:val="00BB356D"/>
    <w:rsid w:val="00BB36D4"/>
    <w:rsid w:val="00BB413D"/>
    <w:rsid w:val="00BB438F"/>
    <w:rsid w:val="00BB4587"/>
    <w:rsid w:val="00BB521F"/>
    <w:rsid w:val="00BB53AD"/>
    <w:rsid w:val="00BB5A59"/>
    <w:rsid w:val="00BB6D96"/>
    <w:rsid w:val="00BB73EB"/>
    <w:rsid w:val="00BB78FE"/>
    <w:rsid w:val="00BB7B0A"/>
    <w:rsid w:val="00BB7C2F"/>
    <w:rsid w:val="00BB7C52"/>
    <w:rsid w:val="00BC04F8"/>
    <w:rsid w:val="00BC0C11"/>
    <w:rsid w:val="00BC1FAD"/>
    <w:rsid w:val="00BC2154"/>
    <w:rsid w:val="00BC243A"/>
    <w:rsid w:val="00BC2C00"/>
    <w:rsid w:val="00BC35EB"/>
    <w:rsid w:val="00BC397C"/>
    <w:rsid w:val="00BC5C8F"/>
    <w:rsid w:val="00BC5E67"/>
    <w:rsid w:val="00BC6061"/>
    <w:rsid w:val="00BC68ED"/>
    <w:rsid w:val="00BC6FB1"/>
    <w:rsid w:val="00BC73B5"/>
    <w:rsid w:val="00BC7493"/>
    <w:rsid w:val="00BC7FDD"/>
    <w:rsid w:val="00BD061B"/>
    <w:rsid w:val="00BD078A"/>
    <w:rsid w:val="00BD10AC"/>
    <w:rsid w:val="00BD232B"/>
    <w:rsid w:val="00BD2C5B"/>
    <w:rsid w:val="00BD3469"/>
    <w:rsid w:val="00BD356C"/>
    <w:rsid w:val="00BD393F"/>
    <w:rsid w:val="00BD3A0F"/>
    <w:rsid w:val="00BD4B89"/>
    <w:rsid w:val="00BD5B66"/>
    <w:rsid w:val="00BD7F14"/>
    <w:rsid w:val="00BE0098"/>
    <w:rsid w:val="00BE014C"/>
    <w:rsid w:val="00BE0B2E"/>
    <w:rsid w:val="00BE118B"/>
    <w:rsid w:val="00BE1395"/>
    <w:rsid w:val="00BE1438"/>
    <w:rsid w:val="00BE14B2"/>
    <w:rsid w:val="00BE201A"/>
    <w:rsid w:val="00BE35D9"/>
    <w:rsid w:val="00BE36D7"/>
    <w:rsid w:val="00BE4872"/>
    <w:rsid w:val="00BE4C89"/>
    <w:rsid w:val="00BE5BDB"/>
    <w:rsid w:val="00BE5F6B"/>
    <w:rsid w:val="00BE60A3"/>
    <w:rsid w:val="00BE6182"/>
    <w:rsid w:val="00BE6B74"/>
    <w:rsid w:val="00BE6FA8"/>
    <w:rsid w:val="00BE7E23"/>
    <w:rsid w:val="00BF0063"/>
    <w:rsid w:val="00BF08CB"/>
    <w:rsid w:val="00BF0C65"/>
    <w:rsid w:val="00BF1F10"/>
    <w:rsid w:val="00BF2000"/>
    <w:rsid w:val="00BF2523"/>
    <w:rsid w:val="00BF2939"/>
    <w:rsid w:val="00BF299E"/>
    <w:rsid w:val="00BF2FEA"/>
    <w:rsid w:val="00BF334F"/>
    <w:rsid w:val="00BF40E7"/>
    <w:rsid w:val="00BF4865"/>
    <w:rsid w:val="00BF4871"/>
    <w:rsid w:val="00BF4AF7"/>
    <w:rsid w:val="00BF7C42"/>
    <w:rsid w:val="00C0028D"/>
    <w:rsid w:val="00C010E4"/>
    <w:rsid w:val="00C01451"/>
    <w:rsid w:val="00C01BA5"/>
    <w:rsid w:val="00C03059"/>
    <w:rsid w:val="00C033CB"/>
    <w:rsid w:val="00C0391B"/>
    <w:rsid w:val="00C03A29"/>
    <w:rsid w:val="00C03B76"/>
    <w:rsid w:val="00C04473"/>
    <w:rsid w:val="00C056D8"/>
    <w:rsid w:val="00C065BC"/>
    <w:rsid w:val="00C070BA"/>
    <w:rsid w:val="00C07884"/>
    <w:rsid w:val="00C07DB9"/>
    <w:rsid w:val="00C101BC"/>
    <w:rsid w:val="00C11023"/>
    <w:rsid w:val="00C12FE4"/>
    <w:rsid w:val="00C130E2"/>
    <w:rsid w:val="00C144E7"/>
    <w:rsid w:val="00C14557"/>
    <w:rsid w:val="00C14701"/>
    <w:rsid w:val="00C14CE0"/>
    <w:rsid w:val="00C1515C"/>
    <w:rsid w:val="00C151E8"/>
    <w:rsid w:val="00C1525C"/>
    <w:rsid w:val="00C1586E"/>
    <w:rsid w:val="00C16D95"/>
    <w:rsid w:val="00C17EE9"/>
    <w:rsid w:val="00C204F6"/>
    <w:rsid w:val="00C21389"/>
    <w:rsid w:val="00C2142B"/>
    <w:rsid w:val="00C21569"/>
    <w:rsid w:val="00C21762"/>
    <w:rsid w:val="00C224DF"/>
    <w:rsid w:val="00C22DD6"/>
    <w:rsid w:val="00C231FF"/>
    <w:rsid w:val="00C2324A"/>
    <w:rsid w:val="00C2384A"/>
    <w:rsid w:val="00C23BA8"/>
    <w:rsid w:val="00C24049"/>
    <w:rsid w:val="00C24543"/>
    <w:rsid w:val="00C24E63"/>
    <w:rsid w:val="00C256A2"/>
    <w:rsid w:val="00C25808"/>
    <w:rsid w:val="00C26A69"/>
    <w:rsid w:val="00C272ED"/>
    <w:rsid w:val="00C31770"/>
    <w:rsid w:val="00C3238A"/>
    <w:rsid w:val="00C32A61"/>
    <w:rsid w:val="00C338B0"/>
    <w:rsid w:val="00C33D69"/>
    <w:rsid w:val="00C33EB0"/>
    <w:rsid w:val="00C340DC"/>
    <w:rsid w:val="00C3492D"/>
    <w:rsid w:val="00C34E6A"/>
    <w:rsid w:val="00C34F68"/>
    <w:rsid w:val="00C35CD6"/>
    <w:rsid w:val="00C35D26"/>
    <w:rsid w:val="00C3629F"/>
    <w:rsid w:val="00C36934"/>
    <w:rsid w:val="00C36E35"/>
    <w:rsid w:val="00C378D1"/>
    <w:rsid w:val="00C40496"/>
    <w:rsid w:val="00C4068A"/>
    <w:rsid w:val="00C40941"/>
    <w:rsid w:val="00C41602"/>
    <w:rsid w:val="00C41AB9"/>
    <w:rsid w:val="00C423E4"/>
    <w:rsid w:val="00C429A6"/>
    <w:rsid w:val="00C4380C"/>
    <w:rsid w:val="00C43FC7"/>
    <w:rsid w:val="00C443E8"/>
    <w:rsid w:val="00C44886"/>
    <w:rsid w:val="00C44ECB"/>
    <w:rsid w:val="00C45555"/>
    <w:rsid w:val="00C45976"/>
    <w:rsid w:val="00C45A93"/>
    <w:rsid w:val="00C45F79"/>
    <w:rsid w:val="00C4696E"/>
    <w:rsid w:val="00C46A80"/>
    <w:rsid w:val="00C4716E"/>
    <w:rsid w:val="00C47791"/>
    <w:rsid w:val="00C4793D"/>
    <w:rsid w:val="00C47C03"/>
    <w:rsid w:val="00C47CDE"/>
    <w:rsid w:val="00C47E39"/>
    <w:rsid w:val="00C506EB"/>
    <w:rsid w:val="00C50A5C"/>
    <w:rsid w:val="00C50C1E"/>
    <w:rsid w:val="00C53133"/>
    <w:rsid w:val="00C53C90"/>
    <w:rsid w:val="00C53F60"/>
    <w:rsid w:val="00C546AB"/>
    <w:rsid w:val="00C5474E"/>
    <w:rsid w:val="00C548FA"/>
    <w:rsid w:val="00C55378"/>
    <w:rsid w:val="00C55560"/>
    <w:rsid w:val="00C573C7"/>
    <w:rsid w:val="00C603CB"/>
    <w:rsid w:val="00C60506"/>
    <w:rsid w:val="00C60644"/>
    <w:rsid w:val="00C61997"/>
    <w:rsid w:val="00C62393"/>
    <w:rsid w:val="00C6266E"/>
    <w:rsid w:val="00C62BF4"/>
    <w:rsid w:val="00C669C1"/>
    <w:rsid w:val="00C66B72"/>
    <w:rsid w:val="00C674CD"/>
    <w:rsid w:val="00C67F18"/>
    <w:rsid w:val="00C67F66"/>
    <w:rsid w:val="00C700CA"/>
    <w:rsid w:val="00C7147D"/>
    <w:rsid w:val="00C714BB"/>
    <w:rsid w:val="00C7205C"/>
    <w:rsid w:val="00C7262E"/>
    <w:rsid w:val="00C7275B"/>
    <w:rsid w:val="00C7281A"/>
    <w:rsid w:val="00C731F7"/>
    <w:rsid w:val="00C73487"/>
    <w:rsid w:val="00C74AAA"/>
    <w:rsid w:val="00C74C37"/>
    <w:rsid w:val="00C7526E"/>
    <w:rsid w:val="00C75A4F"/>
    <w:rsid w:val="00C75E68"/>
    <w:rsid w:val="00C76135"/>
    <w:rsid w:val="00C768EA"/>
    <w:rsid w:val="00C7690A"/>
    <w:rsid w:val="00C76EBB"/>
    <w:rsid w:val="00C77013"/>
    <w:rsid w:val="00C771A2"/>
    <w:rsid w:val="00C77F47"/>
    <w:rsid w:val="00C80BAC"/>
    <w:rsid w:val="00C81339"/>
    <w:rsid w:val="00C819B4"/>
    <w:rsid w:val="00C81FBE"/>
    <w:rsid w:val="00C82267"/>
    <w:rsid w:val="00C82B0B"/>
    <w:rsid w:val="00C84B0E"/>
    <w:rsid w:val="00C84E16"/>
    <w:rsid w:val="00C84F23"/>
    <w:rsid w:val="00C850FD"/>
    <w:rsid w:val="00C85897"/>
    <w:rsid w:val="00C85CBD"/>
    <w:rsid w:val="00C85CF6"/>
    <w:rsid w:val="00C85DDE"/>
    <w:rsid w:val="00C866C0"/>
    <w:rsid w:val="00C86C06"/>
    <w:rsid w:val="00C86DE6"/>
    <w:rsid w:val="00C8737F"/>
    <w:rsid w:val="00C87D62"/>
    <w:rsid w:val="00C9055F"/>
    <w:rsid w:val="00C91299"/>
    <w:rsid w:val="00C921FC"/>
    <w:rsid w:val="00C92CF7"/>
    <w:rsid w:val="00C936C3"/>
    <w:rsid w:val="00C949E2"/>
    <w:rsid w:val="00C94BF5"/>
    <w:rsid w:val="00C94DFF"/>
    <w:rsid w:val="00C9567A"/>
    <w:rsid w:val="00C957E5"/>
    <w:rsid w:val="00C95AD2"/>
    <w:rsid w:val="00C95BF6"/>
    <w:rsid w:val="00C96035"/>
    <w:rsid w:val="00C9670F"/>
    <w:rsid w:val="00C96AF3"/>
    <w:rsid w:val="00C96BFF"/>
    <w:rsid w:val="00C974F4"/>
    <w:rsid w:val="00CA00C2"/>
    <w:rsid w:val="00CA0E2F"/>
    <w:rsid w:val="00CA249C"/>
    <w:rsid w:val="00CA28C5"/>
    <w:rsid w:val="00CA3C02"/>
    <w:rsid w:val="00CA43BB"/>
    <w:rsid w:val="00CA44E8"/>
    <w:rsid w:val="00CA53D1"/>
    <w:rsid w:val="00CA600A"/>
    <w:rsid w:val="00CA61E3"/>
    <w:rsid w:val="00CA65F1"/>
    <w:rsid w:val="00CA6E49"/>
    <w:rsid w:val="00CB004A"/>
    <w:rsid w:val="00CB0811"/>
    <w:rsid w:val="00CB088F"/>
    <w:rsid w:val="00CB13BC"/>
    <w:rsid w:val="00CB17C1"/>
    <w:rsid w:val="00CB1A0B"/>
    <w:rsid w:val="00CB2422"/>
    <w:rsid w:val="00CB2660"/>
    <w:rsid w:val="00CB2A1A"/>
    <w:rsid w:val="00CB3738"/>
    <w:rsid w:val="00CB3827"/>
    <w:rsid w:val="00CB3A1A"/>
    <w:rsid w:val="00CB4BF7"/>
    <w:rsid w:val="00CB6764"/>
    <w:rsid w:val="00CB712B"/>
    <w:rsid w:val="00CB71D6"/>
    <w:rsid w:val="00CB7A42"/>
    <w:rsid w:val="00CB7D84"/>
    <w:rsid w:val="00CC0D91"/>
    <w:rsid w:val="00CC10C8"/>
    <w:rsid w:val="00CC20D7"/>
    <w:rsid w:val="00CC2247"/>
    <w:rsid w:val="00CC30E5"/>
    <w:rsid w:val="00CC3FA1"/>
    <w:rsid w:val="00CC5E13"/>
    <w:rsid w:val="00CC5E90"/>
    <w:rsid w:val="00CC6B6C"/>
    <w:rsid w:val="00CD046C"/>
    <w:rsid w:val="00CD1BEC"/>
    <w:rsid w:val="00CD2EE9"/>
    <w:rsid w:val="00CD36BA"/>
    <w:rsid w:val="00CD46EA"/>
    <w:rsid w:val="00CD4A63"/>
    <w:rsid w:val="00CD4D5A"/>
    <w:rsid w:val="00CD6BCF"/>
    <w:rsid w:val="00CD70DA"/>
    <w:rsid w:val="00CD733C"/>
    <w:rsid w:val="00CD7BB2"/>
    <w:rsid w:val="00CE1390"/>
    <w:rsid w:val="00CE40DD"/>
    <w:rsid w:val="00CE4868"/>
    <w:rsid w:val="00CE4999"/>
    <w:rsid w:val="00CE4A45"/>
    <w:rsid w:val="00CE5199"/>
    <w:rsid w:val="00CE5561"/>
    <w:rsid w:val="00CE6543"/>
    <w:rsid w:val="00CE66D5"/>
    <w:rsid w:val="00CE6E2C"/>
    <w:rsid w:val="00CF0E6C"/>
    <w:rsid w:val="00CF100C"/>
    <w:rsid w:val="00CF1FF5"/>
    <w:rsid w:val="00CF24B3"/>
    <w:rsid w:val="00CF274C"/>
    <w:rsid w:val="00CF2824"/>
    <w:rsid w:val="00CF32B0"/>
    <w:rsid w:val="00CF3484"/>
    <w:rsid w:val="00CF39D1"/>
    <w:rsid w:val="00CF3EBB"/>
    <w:rsid w:val="00CF4138"/>
    <w:rsid w:val="00CF439C"/>
    <w:rsid w:val="00CF449A"/>
    <w:rsid w:val="00CF5539"/>
    <w:rsid w:val="00CF6754"/>
    <w:rsid w:val="00CF768E"/>
    <w:rsid w:val="00CF7CF2"/>
    <w:rsid w:val="00D002FC"/>
    <w:rsid w:val="00D0070C"/>
    <w:rsid w:val="00D00C23"/>
    <w:rsid w:val="00D014AE"/>
    <w:rsid w:val="00D02E9F"/>
    <w:rsid w:val="00D03633"/>
    <w:rsid w:val="00D03C39"/>
    <w:rsid w:val="00D04137"/>
    <w:rsid w:val="00D04674"/>
    <w:rsid w:val="00D05066"/>
    <w:rsid w:val="00D06389"/>
    <w:rsid w:val="00D07439"/>
    <w:rsid w:val="00D0799B"/>
    <w:rsid w:val="00D07A1B"/>
    <w:rsid w:val="00D07CEC"/>
    <w:rsid w:val="00D11349"/>
    <w:rsid w:val="00D1169D"/>
    <w:rsid w:val="00D11888"/>
    <w:rsid w:val="00D12D6C"/>
    <w:rsid w:val="00D14582"/>
    <w:rsid w:val="00D1488A"/>
    <w:rsid w:val="00D14B21"/>
    <w:rsid w:val="00D15ABB"/>
    <w:rsid w:val="00D15E54"/>
    <w:rsid w:val="00D16299"/>
    <w:rsid w:val="00D16C41"/>
    <w:rsid w:val="00D17577"/>
    <w:rsid w:val="00D20D54"/>
    <w:rsid w:val="00D211D9"/>
    <w:rsid w:val="00D2131F"/>
    <w:rsid w:val="00D21D95"/>
    <w:rsid w:val="00D21DA2"/>
    <w:rsid w:val="00D2250C"/>
    <w:rsid w:val="00D22F94"/>
    <w:rsid w:val="00D2345D"/>
    <w:rsid w:val="00D23785"/>
    <w:rsid w:val="00D24291"/>
    <w:rsid w:val="00D2456B"/>
    <w:rsid w:val="00D25889"/>
    <w:rsid w:val="00D25B45"/>
    <w:rsid w:val="00D25C75"/>
    <w:rsid w:val="00D27FBF"/>
    <w:rsid w:val="00D302DC"/>
    <w:rsid w:val="00D31A13"/>
    <w:rsid w:val="00D32D94"/>
    <w:rsid w:val="00D34063"/>
    <w:rsid w:val="00D340AA"/>
    <w:rsid w:val="00D34155"/>
    <w:rsid w:val="00D3442A"/>
    <w:rsid w:val="00D34786"/>
    <w:rsid w:val="00D35609"/>
    <w:rsid w:val="00D36696"/>
    <w:rsid w:val="00D36A2C"/>
    <w:rsid w:val="00D37539"/>
    <w:rsid w:val="00D4040F"/>
    <w:rsid w:val="00D40A1E"/>
    <w:rsid w:val="00D41308"/>
    <w:rsid w:val="00D41433"/>
    <w:rsid w:val="00D418F5"/>
    <w:rsid w:val="00D419CA"/>
    <w:rsid w:val="00D41DE7"/>
    <w:rsid w:val="00D421B4"/>
    <w:rsid w:val="00D42BAB"/>
    <w:rsid w:val="00D43061"/>
    <w:rsid w:val="00D438A1"/>
    <w:rsid w:val="00D43AC2"/>
    <w:rsid w:val="00D43C78"/>
    <w:rsid w:val="00D44A80"/>
    <w:rsid w:val="00D44B04"/>
    <w:rsid w:val="00D44B3B"/>
    <w:rsid w:val="00D44BDF"/>
    <w:rsid w:val="00D45150"/>
    <w:rsid w:val="00D45500"/>
    <w:rsid w:val="00D45C5D"/>
    <w:rsid w:val="00D46CDC"/>
    <w:rsid w:val="00D47631"/>
    <w:rsid w:val="00D47E97"/>
    <w:rsid w:val="00D5025B"/>
    <w:rsid w:val="00D50AFF"/>
    <w:rsid w:val="00D512DC"/>
    <w:rsid w:val="00D5170F"/>
    <w:rsid w:val="00D52B42"/>
    <w:rsid w:val="00D52B5B"/>
    <w:rsid w:val="00D532B4"/>
    <w:rsid w:val="00D537DA"/>
    <w:rsid w:val="00D53F3D"/>
    <w:rsid w:val="00D54FD9"/>
    <w:rsid w:val="00D558C4"/>
    <w:rsid w:val="00D55C50"/>
    <w:rsid w:val="00D55D01"/>
    <w:rsid w:val="00D55F4A"/>
    <w:rsid w:val="00D5681A"/>
    <w:rsid w:val="00D568A0"/>
    <w:rsid w:val="00D57019"/>
    <w:rsid w:val="00D57833"/>
    <w:rsid w:val="00D6092C"/>
    <w:rsid w:val="00D61163"/>
    <w:rsid w:val="00D6144B"/>
    <w:rsid w:val="00D61965"/>
    <w:rsid w:val="00D619D6"/>
    <w:rsid w:val="00D6258E"/>
    <w:rsid w:val="00D62BD0"/>
    <w:rsid w:val="00D62FFA"/>
    <w:rsid w:val="00D63033"/>
    <w:rsid w:val="00D63233"/>
    <w:rsid w:val="00D63998"/>
    <w:rsid w:val="00D65E4F"/>
    <w:rsid w:val="00D6603B"/>
    <w:rsid w:val="00D677D5"/>
    <w:rsid w:val="00D712D3"/>
    <w:rsid w:val="00D71422"/>
    <w:rsid w:val="00D7145E"/>
    <w:rsid w:val="00D71A30"/>
    <w:rsid w:val="00D72985"/>
    <w:rsid w:val="00D7314E"/>
    <w:rsid w:val="00D73376"/>
    <w:rsid w:val="00D73E27"/>
    <w:rsid w:val="00D74A1F"/>
    <w:rsid w:val="00D74B5B"/>
    <w:rsid w:val="00D74C5C"/>
    <w:rsid w:val="00D74C93"/>
    <w:rsid w:val="00D74F68"/>
    <w:rsid w:val="00D7558D"/>
    <w:rsid w:val="00D76163"/>
    <w:rsid w:val="00D76232"/>
    <w:rsid w:val="00D7649A"/>
    <w:rsid w:val="00D77629"/>
    <w:rsid w:val="00D800D8"/>
    <w:rsid w:val="00D80137"/>
    <w:rsid w:val="00D80440"/>
    <w:rsid w:val="00D80E32"/>
    <w:rsid w:val="00D811FF"/>
    <w:rsid w:val="00D813F1"/>
    <w:rsid w:val="00D81D92"/>
    <w:rsid w:val="00D82296"/>
    <w:rsid w:val="00D82451"/>
    <w:rsid w:val="00D826A0"/>
    <w:rsid w:val="00D82EA8"/>
    <w:rsid w:val="00D838BE"/>
    <w:rsid w:val="00D83DD3"/>
    <w:rsid w:val="00D83FFE"/>
    <w:rsid w:val="00D84B06"/>
    <w:rsid w:val="00D8584B"/>
    <w:rsid w:val="00D86569"/>
    <w:rsid w:val="00D87245"/>
    <w:rsid w:val="00D87416"/>
    <w:rsid w:val="00D8763F"/>
    <w:rsid w:val="00D9040B"/>
    <w:rsid w:val="00D9087A"/>
    <w:rsid w:val="00D915AB"/>
    <w:rsid w:val="00D91B1E"/>
    <w:rsid w:val="00D92441"/>
    <w:rsid w:val="00D92F73"/>
    <w:rsid w:val="00D93446"/>
    <w:rsid w:val="00D9382D"/>
    <w:rsid w:val="00D9409A"/>
    <w:rsid w:val="00D946AA"/>
    <w:rsid w:val="00D947DE"/>
    <w:rsid w:val="00D94D1C"/>
    <w:rsid w:val="00D9508D"/>
    <w:rsid w:val="00D9539C"/>
    <w:rsid w:val="00D95402"/>
    <w:rsid w:val="00D96245"/>
    <w:rsid w:val="00D978E5"/>
    <w:rsid w:val="00DA1520"/>
    <w:rsid w:val="00DA2A7C"/>
    <w:rsid w:val="00DA3005"/>
    <w:rsid w:val="00DA300A"/>
    <w:rsid w:val="00DA341C"/>
    <w:rsid w:val="00DA41B6"/>
    <w:rsid w:val="00DA446A"/>
    <w:rsid w:val="00DA4E4E"/>
    <w:rsid w:val="00DA5393"/>
    <w:rsid w:val="00DA559E"/>
    <w:rsid w:val="00DA55E5"/>
    <w:rsid w:val="00DA5ECF"/>
    <w:rsid w:val="00DA6800"/>
    <w:rsid w:val="00DA6AB3"/>
    <w:rsid w:val="00DA6F4C"/>
    <w:rsid w:val="00DA7151"/>
    <w:rsid w:val="00DA77AA"/>
    <w:rsid w:val="00DA7982"/>
    <w:rsid w:val="00DA79D0"/>
    <w:rsid w:val="00DA7B5F"/>
    <w:rsid w:val="00DB0D0D"/>
    <w:rsid w:val="00DB0F13"/>
    <w:rsid w:val="00DB1260"/>
    <w:rsid w:val="00DB187F"/>
    <w:rsid w:val="00DB18A8"/>
    <w:rsid w:val="00DB18FA"/>
    <w:rsid w:val="00DB2809"/>
    <w:rsid w:val="00DB3050"/>
    <w:rsid w:val="00DB30EC"/>
    <w:rsid w:val="00DB3374"/>
    <w:rsid w:val="00DB4A1E"/>
    <w:rsid w:val="00DB4D80"/>
    <w:rsid w:val="00DB5C3C"/>
    <w:rsid w:val="00DB5EE6"/>
    <w:rsid w:val="00DB67E9"/>
    <w:rsid w:val="00DB710E"/>
    <w:rsid w:val="00DB79B0"/>
    <w:rsid w:val="00DC008A"/>
    <w:rsid w:val="00DC07A4"/>
    <w:rsid w:val="00DC174D"/>
    <w:rsid w:val="00DC28C0"/>
    <w:rsid w:val="00DC2FF2"/>
    <w:rsid w:val="00DC3121"/>
    <w:rsid w:val="00DC4839"/>
    <w:rsid w:val="00DC5165"/>
    <w:rsid w:val="00DC5494"/>
    <w:rsid w:val="00DC5826"/>
    <w:rsid w:val="00DC58DC"/>
    <w:rsid w:val="00DC6453"/>
    <w:rsid w:val="00DC693D"/>
    <w:rsid w:val="00DC6D2C"/>
    <w:rsid w:val="00DC7597"/>
    <w:rsid w:val="00DC7693"/>
    <w:rsid w:val="00DD045E"/>
    <w:rsid w:val="00DD1967"/>
    <w:rsid w:val="00DD1E65"/>
    <w:rsid w:val="00DD2615"/>
    <w:rsid w:val="00DD2635"/>
    <w:rsid w:val="00DD2BE4"/>
    <w:rsid w:val="00DD2C54"/>
    <w:rsid w:val="00DD2DF2"/>
    <w:rsid w:val="00DD2EF0"/>
    <w:rsid w:val="00DD3E9A"/>
    <w:rsid w:val="00DD4C51"/>
    <w:rsid w:val="00DD6420"/>
    <w:rsid w:val="00DD6DEF"/>
    <w:rsid w:val="00DD6F04"/>
    <w:rsid w:val="00DD759E"/>
    <w:rsid w:val="00DD7C5E"/>
    <w:rsid w:val="00DE0266"/>
    <w:rsid w:val="00DE26A2"/>
    <w:rsid w:val="00DE36E2"/>
    <w:rsid w:val="00DE57CD"/>
    <w:rsid w:val="00DE5D25"/>
    <w:rsid w:val="00DE62F2"/>
    <w:rsid w:val="00DE657E"/>
    <w:rsid w:val="00DE67FF"/>
    <w:rsid w:val="00DE735D"/>
    <w:rsid w:val="00DE7417"/>
    <w:rsid w:val="00DE783D"/>
    <w:rsid w:val="00DE7D2E"/>
    <w:rsid w:val="00DF1CDD"/>
    <w:rsid w:val="00DF1DF9"/>
    <w:rsid w:val="00DF387C"/>
    <w:rsid w:val="00DF4BDE"/>
    <w:rsid w:val="00DF5077"/>
    <w:rsid w:val="00DF76CC"/>
    <w:rsid w:val="00DF7793"/>
    <w:rsid w:val="00E00EFF"/>
    <w:rsid w:val="00E01B40"/>
    <w:rsid w:val="00E02360"/>
    <w:rsid w:val="00E023DF"/>
    <w:rsid w:val="00E037C9"/>
    <w:rsid w:val="00E04093"/>
    <w:rsid w:val="00E04BFD"/>
    <w:rsid w:val="00E04CB3"/>
    <w:rsid w:val="00E052B0"/>
    <w:rsid w:val="00E05A56"/>
    <w:rsid w:val="00E0623C"/>
    <w:rsid w:val="00E067A6"/>
    <w:rsid w:val="00E06DDE"/>
    <w:rsid w:val="00E0702F"/>
    <w:rsid w:val="00E0734B"/>
    <w:rsid w:val="00E0740A"/>
    <w:rsid w:val="00E07908"/>
    <w:rsid w:val="00E1020E"/>
    <w:rsid w:val="00E10805"/>
    <w:rsid w:val="00E108D7"/>
    <w:rsid w:val="00E11392"/>
    <w:rsid w:val="00E11D68"/>
    <w:rsid w:val="00E1339C"/>
    <w:rsid w:val="00E137A7"/>
    <w:rsid w:val="00E1451D"/>
    <w:rsid w:val="00E1542D"/>
    <w:rsid w:val="00E15FBA"/>
    <w:rsid w:val="00E16F9D"/>
    <w:rsid w:val="00E17683"/>
    <w:rsid w:val="00E1796D"/>
    <w:rsid w:val="00E17C99"/>
    <w:rsid w:val="00E200F9"/>
    <w:rsid w:val="00E2058C"/>
    <w:rsid w:val="00E2121C"/>
    <w:rsid w:val="00E22278"/>
    <w:rsid w:val="00E2284A"/>
    <w:rsid w:val="00E230FD"/>
    <w:rsid w:val="00E2352B"/>
    <w:rsid w:val="00E2398E"/>
    <w:rsid w:val="00E23A98"/>
    <w:rsid w:val="00E240F2"/>
    <w:rsid w:val="00E24733"/>
    <w:rsid w:val="00E24DAD"/>
    <w:rsid w:val="00E24DBA"/>
    <w:rsid w:val="00E24EEF"/>
    <w:rsid w:val="00E25A41"/>
    <w:rsid w:val="00E2673A"/>
    <w:rsid w:val="00E26EDD"/>
    <w:rsid w:val="00E26F97"/>
    <w:rsid w:val="00E26FCD"/>
    <w:rsid w:val="00E27AA4"/>
    <w:rsid w:val="00E27EDD"/>
    <w:rsid w:val="00E30281"/>
    <w:rsid w:val="00E3227C"/>
    <w:rsid w:val="00E3317B"/>
    <w:rsid w:val="00E337D9"/>
    <w:rsid w:val="00E33B8B"/>
    <w:rsid w:val="00E33C3E"/>
    <w:rsid w:val="00E33E08"/>
    <w:rsid w:val="00E33E64"/>
    <w:rsid w:val="00E361A7"/>
    <w:rsid w:val="00E3622A"/>
    <w:rsid w:val="00E364C4"/>
    <w:rsid w:val="00E3757F"/>
    <w:rsid w:val="00E37980"/>
    <w:rsid w:val="00E42A14"/>
    <w:rsid w:val="00E42C74"/>
    <w:rsid w:val="00E43157"/>
    <w:rsid w:val="00E43212"/>
    <w:rsid w:val="00E4390D"/>
    <w:rsid w:val="00E43C54"/>
    <w:rsid w:val="00E43C96"/>
    <w:rsid w:val="00E43F4E"/>
    <w:rsid w:val="00E45D29"/>
    <w:rsid w:val="00E45DFC"/>
    <w:rsid w:val="00E461F9"/>
    <w:rsid w:val="00E46307"/>
    <w:rsid w:val="00E4781D"/>
    <w:rsid w:val="00E50136"/>
    <w:rsid w:val="00E52CF3"/>
    <w:rsid w:val="00E533FF"/>
    <w:rsid w:val="00E53BD8"/>
    <w:rsid w:val="00E53DC6"/>
    <w:rsid w:val="00E53E5E"/>
    <w:rsid w:val="00E54EF8"/>
    <w:rsid w:val="00E55C5A"/>
    <w:rsid w:val="00E56477"/>
    <w:rsid w:val="00E56B6C"/>
    <w:rsid w:val="00E5780B"/>
    <w:rsid w:val="00E57833"/>
    <w:rsid w:val="00E57B6B"/>
    <w:rsid w:val="00E57ECF"/>
    <w:rsid w:val="00E6049E"/>
    <w:rsid w:val="00E608CA"/>
    <w:rsid w:val="00E60EA1"/>
    <w:rsid w:val="00E61067"/>
    <w:rsid w:val="00E61732"/>
    <w:rsid w:val="00E61DC3"/>
    <w:rsid w:val="00E61FC3"/>
    <w:rsid w:val="00E62965"/>
    <w:rsid w:val="00E6356C"/>
    <w:rsid w:val="00E6364D"/>
    <w:rsid w:val="00E638AB"/>
    <w:rsid w:val="00E63B98"/>
    <w:rsid w:val="00E64645"/>
    <w:rsid w:val="00E64863"/>
    <w:rsid w:val="00E648F3"/>
    <w:rsid w:val="00E64AF6"/>
    <w:rsid w:val="00E64E6F"/>
    <w:rsid w:val="00E654A2"/>
    <w:rsid w:val="00E65CB4"/>
    <w:rsid w:val="00E664E5"/>
    <w:rsid w:val="00E66ACD"/>
    <w:rsid w:val="00E67989"/>
    <w:rsid w:val="00E70357"/>
    <w:rsid w:val="00E70442"/>
    <w:rsid w:val="00E70974"/>
    <w:rsid w:val="00E709B3"/>
    <w:rsid w:val="00E70B54"/>
    <w:rsid w:val="00E71079"/>
    <w:rsid w:val="00E711AB"/>
    <w:rsid w:val="00E7126F"/>
    <w:rsid w:val="00E71E57"/>
    <w:rsid w:val="00E71FD7"/>
    <w:rsid w:val="00E74123"/>
    <w:rsid w:val="00E74177"/>
    <w:rsid w:val="00E753FA"/>
    <w:rsid w:val="00E75FA5"/>
    <w:rsid w:val="00E766FD"/>
    <w:rsid w:val="00E7676B"/>
    <w:rsid w:val="00E767BD"/>
    <w:rsid w:val="00E76AE8"/>
    <w:rsid w:val="00E7739E"/>
    <w:rsid w:val="00E774E4"/>
    <w:rsid w:val="00E77747"/>
    <w:rsid w:val="00E80E04"/>
    <w:rsid w:val="00E80E83"/>
    <w:rsid w:val="00E81771"/>
    <w:rsid w:val="00E81A3E"/>
    <w:rsid w:val="00E82552"/>
    <w:rsid w:val="00E829F2"/>
    <w:rsid w:val="00E82F32"/>
    <w:rsid w:val="00E830CC"/>
    <w:rsid w:val="00E8557E"/>
    <w:rsid w:val="00E867DE"/>
    <w:rsid w:val="00E86ABD"/>
    <w:rsid w:val="00E86E84"/>
    <w:rsid w:val="00E86EAF"/>
    <w:rsid w:val="00E872F8"/>
    <w:rsid w:val="00E87515"/>
    <w:rsid w:val="00E8789F"/>
    <w:rsid w:val="00E908CF"/>
    <w:rsid w:val="00E91BE2"/>
    <w:rsid w:val="00E920D0"/>
    <w:rsid w:val="00E92215"/>
    <w:rsid w:val="00E922C4"/>
    <w:rsid w:val="00E92993"/>
    <w:rsid w:val="00E9316D"/>
    <w:rsid w:val="00E9318F"/>
    <w:rsid w:val="00E93262"/>
    <w:rsid w:val="00E93540"/>
    <w:rsid w:val="00E93BDB"/>
    <w:rsid w:val="00E94096"/>
    <w:rsid w:val="00E94203"/>
    <w:rsid w:val="00E94D19"/>
    <w:rsid w:val="00E94E3D"/>
    <w:rsid w:val="00E95E34"/>
    <w:rsid w:val="00E96942"/>
    <w:rsid w:val="00E96A96"/>
    <w:rsid w:val="00E972E9"/>
    <w:rsid w:val="00E978C5"/>
    <w:rsid w:val="00E97B71"/>
    <w:rsid w:val="00EA01E7"/>
    <w:rsid w:val="00EA077D"/>
    <w:rsid w:val="00EA0E0D"/>
    <w:rsid w:val="00EA1283"/>
    <w:rsid w:val="00EA26BA"/>
    <w:rsid w:val="00EA425E"/>
    <w:rsid w:val="00EA4410"/>
    <w:rsid w:val="00EA5A04"/>
    <w:rsid w:val="00EA5FE2"/>
    <w:rsid w:val="00EA603E"/>
    <w:rsid w:val="00EA6A6E"/>
    <w:rsid w:val="00EA6AB1"/>
    <w:rsid w:val="00EA6F1C"/>
    <w:rsid w:val="00EA70E0"/>
    <w:rsid w:val="00EA7342"/>
    <w:rsid w:val="00EB0252"/>
    <w:rsid w:val="00EB0504"/>
    <w:rsid w:val="00EB24D7"/>
    <w:rsid w:val="00EB2848"/>
    <w:rsid w:val="00EB291F"/>
    <w:rsid w:val="00EB3CD3"/>
    <w:rsid w:val="00EB3D95"/>
    <w:rsid w:val="00EB4080"/>
    <w:rsid w:val="00EB454D"/>
    <w:rsid w:val="00EB454F"/>
    <w:rsid w:val="00EB4B7E"/>
    <w:rsid w:val="00EB51DC"/>
    <w:rsid w:val="00EB51EA"/>
    <w:rsid w:val="00EB55C1"/>
    <w:rsid w:val="00EB6170"/>
    <w:rsid w:val="00EB62D9"/>
    <w:rsid w:val="00EB6316"/>
    <w:rsid w:val="00EB6B06"/>
    <w:rsid w:val="00EB7F0A"/>
    <w:rsid w:val="00EC0411"/>
    <w:rsid w:val="00EC0BA4"/>
    <w:rsid w:val="00EC112E"/>
    <w:rsid w:val="00EC1628"/>
    <w:rsid w:val="00EC20C2"/>
    <w:rsid w:val="00EC21F7"/>
    <w:rsid w:val="00EC22F7"/>
    <w:rsid w:val="00EC27D8"/>
    <w:rsid w:val="00EC2AAD"/>
    <w:rsid w:val="00EC2D55"/>
    <w:rsid w:val="00EC2E20"/>
    <w:rsid w:val="00EC31F9"/>
    <w:rsid w:val="00EC3F65"/>
    <w:rsid w:val="00EC45C1"/>
    <w:rsid w:val="00EC537B"/>
    <w:rsid w:val="00EC5570"/>
    <w:rsid w:val="00EC596F"/>
    <w:rsid w:val="00EC5C59"/>
    <w:rsid w:val="00EC68B2"/>
    <w:rsid w:val="00EC6931"/>
    <w:rsid w:val="00EC73C8"/>
    <w:rsid w:val="00EC74EB"/>
    <w:rsid w:val="00ED00FB"/>
    <w:rsid w:val="00ED0C52"/>
    <w:rsid w:val="00ED0E31"/>
    <w:rsid w:val="00ED1405"/>
    <w:rsid w:val="00ED147C"/>
    <w:rsid w:val="00ED18FD"/>
    <w:rsid w:val="00ED19E9"/>
    <w:rsid w:val="00ED1A76"/>
    <w:rsid w:val="00ED2D1D"/>
    <w:rsid w:val="00ED3A8E"/>
    <w:rsid w:val="00ED3AB2"/>
    <w:rsid w:val="00ED4CBA"/>
    <w:rsid w:val="00ED5232"/>
    <w:rsid w:val="00ED56AB"/>
    <w:rsid w:val="00ED5BE1"/>
    <w:rsid w:val="00ED75E9"/>
    <w:rsid w:val="00EE04C1"/>
    <w:rsid w:val="00EE0BA9"/>
    <w:rsid w:val="00EE0C37"/>
    <w:rsid w:val="00EE0D3E"/>
    <w:rsid w:val="00EE140F"/>
    <w:rsid w:val="00EE3522"/>
    <w:rsid w:val="00EE3612"/>
    <w:rsid w:val="00EE36D7"/>
    <w:rsid w:val="00EE39AD"/>
    <w:rsid w:val="00EE39F1"/>
    <w:rsid w:val="00EE4E4B"/>
    <w:rsid w:val="00EE5C5E"/>
    <w:rsid w:val="00EE5D7E"/>
    <w:rsid w:val="00EE5E58"/>
    <w:rsid w:val="00EF0460"/>
    <w:rsid w:val="00EF04A0"/>
    <w:rsid w:val="00EF0CEF"/>
    <w:rsid w:val="00EF1247"/>
    <w:rsid w:val="00EF2493"/>
    <w:rsid w:val="00EF36AC"/>
    <w:rsid w:val="00EF3F74"/>
    <w:rsid w:val="00EF49F0"/>
    <w:rsid w:val="00EF4EC3"/>
    <w:rsid w:val="00EF4F97"/>
    <w:rsid w:val="00EF51D2"/>
    <w:rsid w:val="00EF56CE"/>
    <w:rsid w:val="00EF5AA9"/>
    <w:rsid w:val="00EF619B"/>
    <w:rsid w:val="00EF6972"/>
    <w:rsid w:val="00EF7231"/>
    <w:rsid w:val="00EF774B"/>
    <w:rsid w:val="00F005EE"/>
    <w:rsid w:val="00F009D3"/>
    <w:rsid w:val="00F00B55"/>
    <w:rsid w:val="00F0193E"/>
    <w:rsid w:val="00F01E71"/>
    <w:rsid w:val="00F040BD"/>
    <w:rsid w:val="00F04AFE"/>
    <w:rsid w:val="00F059CF"/>
    <w:rsid w:val="00F06961"/>
    <w:rsid w:val="00F06B90"/>
    <w:rsid w:val="00F06DAD"/>
    <w:rsid w:val="00F0756A"/>
    <w:rsid w:val="00F0764A"/>
    <w:rsid w:val="00F07863"/>
    <w:rsid w:val="00F1005F"/>
    <w:rsid w:val="00F11242"/>
    <w:rsid w:val="00F1380F"/>
    <w:rsid w:val="00F13CDA"/>
    <w:rsid w:val="00F14F0E"/>
    <w:rsid w:val="00F14F98"/>
    <w:rsid w:val="00F1534F"/>
    <w:rsid w:val="00F15799"/>
    <w:rsid w:val="00F15B6A"/>
    <w:rsid w:val="00F16AD4"/>
    <w:rsid w:val="00F175ED"/>
    <w:rsid w:val="00F1763D"/>
    <w:rsid w:val="00F17799"/>
    <w:rsid w:val="00F20236"/>
    <w:rsid w:val="00F2059E"/>
    <w:rsid w:val="00F20D2B"/>
    <w:rsid w:val="00F21553"/>
    <w:rsid w:val="00F21703"/>
    <w:rsid w:val="00F2328B"/>
    <w:rsid w:val="00F24C29"/>
    <w:rsid w:val="00F253CC"/>
    <w:rsid w:val="00F25C31"/>
    <w:rsid w:val="00F25DB1"/>
    <w:rsid w:val="00F267BE"/>
    <w:rsid w:val="00F27458"/>
    <w:rsid w:val="00F277DB"/>
    <w:rsid w:val="00F27ACD"/>
    <w:rsid w:val="00F27CD8"/>
    <w:rsid w:val="00F27D9E"/>
    <w:rsid w:val="00F311E2"/>
    <w:rsid w:val="00F31814"/>
    <w:rsid w:val="00F3203A"/>
    <w:rsid w:val="00F3379A"/>
    <w:rsid w:val="00F34265"/>
    <w:rsid w:val="00F347D2"/>
    <w:rsid w:val="00F352FC"/>
    <w:rsid w:val="00F35C2A"/>
    <w:rsid w:val="00F35E2A"/>
    <w:rsid w:val="00F36BB9"/>
    <w:rsid w:val="00F36D40"/>
    <w:rsid w:val="00F36F27"/>
    <w:rsid w:val="00F37481"/>
    <w:rsid w:val="00F37F99"/>
    <w:rsid w:val="00F40879"/>
    <w:rsid w:val="00F40B92"/>
    <w:rsid w:val="00F427E6"/>
    <w:rsid w:val="00F434F9"/>
    <w:rsid w:val="00F438CD"/>
    <w:rsid w:val="00F441B9"/>
    <w:rsid w:val="00F441C7"/>
    <w:rsid w:val="00F4466A"/>
    <w:rsid w:val="00F45EBF"/>
    <w:rsid w:val="00F461D1"/>
    <w:rsid w:val="00F46498"/>
    <w:rsid w:val="00F47444"/>
    <w:rsid w:val="00F503B5"/>
    <w:rsid w:val="00F508E3"/>
    <w:rsid w:val="00F511F7"/>
    <w:rsid w:val="00F51F0D"/>
    <w:rsid w:val="00F545AC"/>
    <w:rsid w:val="00F548A6"/>
    <w:rsid w:val="00F5497B"/>
    <w:rsid w:val="00F55507"/>
    <w:rsid w:val="00F55F3B"/>
    <w:rsid w:val="00F5694D"/>
    <w:rsid w:val="00F56A40"/>
    <w:rsid w:val="00F56BA5"/>
    <w:rsid w:val="00F56BE1"/>
    <w:rsid w:val="00F56D59"/>
    <w:rsid w:val="00F57538"/>
    <w:rsid w:val="00F6022A"/>
    <w:rsid w:val="00F605A2"/>
    <w:rsid w:val="00F60E01"/>
    <w:rsid w:val="00F61379"/>
    <w:rsid w:val="00F6160F"/>
    <w:rsid w:val="00F61BE4"/>
    <w:rsid w:val="00F61C0D"/>
    <w:rsid w:val="00F62164"/>
    <w:rsid w:val="00F6255A"/>
    <w:rsid w:val="00F62C42"/>
    <w:rsid w:val="00F635FB"/>
    <w:rsid w:val="00F637BF"/>
    <w:rsid w:val="00F644E6"/>
    <w:rsid w:val="00F6589A"/>
    <w:rsid w:val="00F6604B"/>
    <w:rsid w:val="00F66451"/>
    <w:rsid w:val="00F66BDC"/>
    <w:rsid w:val="00F7107A"/>
    <w:rsid w:val="00F71643"/>
    <w:rsid w:val="00F71F53"/>
    <w:rsid w:val="00F725D1"/>
    <w:rsid w:val="00F737D9"/>
    <w:rsid w:val="00F7392C"/>
    <w:rsid w:val="00F746CA"/>
    <w:rsid w:val="00F74774"/>
    <w:rsid w:val="00F74B0B"/>
    <w:rsid w:val="00F760C8"/>
    <w:rsid w:val="00F76854"/>
    <w:rsid w:val="00F769C7"/>
    <w:rsid w:val="00F7730A"/>
    <w:rsid w:val="00F7784C"/>
    <w:rsid w:val="00F77995"/>
    <w:rsid w:val="00F77BFA"/>
    <w:rsid w:val="00F77E6F"/>
    <w:rsid w:val="00F820EF"/>
    <w:rsid w:val="00F824C3"/>
    <w:rsid w:val="00F82683"/>
    <w:rsid w:val="00F83D11"/>
    <w:rsid w:val="00F857F6"/>
    <w:rsid w:val="00F86E36"/>
    <w:rsid w:val="00F86EE8"/>
    <w:rsid w:val="00F87A9A"/>
    <w:rsid w:val="00F90E86"/>
    <w:rsid w:val="00F916AC"/>
    <w:rsid w:val="00F924BF"/>
    <w:rsid w:val="00F92CA1"/>
    <w:rsid w:val="00F93061"/>
    <w:rsid w:val="00F93826"/>
    <w:rsid w:val="00F9518D"/>
    <w:rsid w:val="00F95787"/>
    <w:rsid w:val="00F9653B"/>
    <w:rsid w:val="00F97397"/>
    <w:rsid w:val="00F97B89"/>
    <w:rsid w:val="00F97D53"/>
    <w:rsid w:val="00FA081A"/>
    <w:rsid w:val="00FA1297"/>
    <w:rsid w:val="00FA1524"/>
    <w:rsid w:val="00FA1759"/>
    <w:rsid w:val="00FA1ADA"/>
    <w:rsid w:val="00FA2245"/>
    <w:rsid w:val="00FA2C02"/>
    <w:rsid w:val="00FA2C1D"/>
    <w:rsid w:val="00FA310E"/>
    <w:rsid w:val="00FA359A"/>
    <w:rsid w:val="00FA3BDF"/>
    <w:rsid w:val="00FA63CD"/>
    <w:rsid w:val="00FA7036"/>
    <w:rsid w:val="00FA767C"/>
    <w:rsid w:val="00FA769D"/>
    <w:rsid w:val="00FA7982"/>
    <w:rsid w:val="00FA7CCD"/>
    <w:rsid w:val="00FB0896"/>
    <w:rsid w:val="00FB0E27"/>
    <w:rsid w:val="00FB0F94"/>
    <w:rsid w:val="00FB10AF"/>
    <w:rsid w:val="00FB1A16"/>
    <w:rsid w:val="00FB1A3C"/>
    <w:rsid w:val="00FB24B6"/>
    <w:rsid w:val="00FB2597"/>
    <w:rsid w:val="00FB42A0"/>
    <w:rsid w:val="00FB4EE9"/>
    <w:rsid w:val="00FB62CF"/>
    <w:rsid w:val="00FB70E7"/>
    <w:rsid w:val="00FC052E"/>
    <w:rsid w:val="00FC084F"/>
    <w:rsid w:val="00FC1E3D"/>
    <w:rsid w:val="00FC2392"/>
    <w:rsid w:val="00FC2C34"/>
    <w:rsid w:val="00FC3262"/>
    <w:rsid w:val="00FC3283"/>
    <w:rsid w:val="00FC3EB4"/>
    <w:rsid w:val="00FC544A"/>
    <w:rsid w:val="00FC552C"/>
    <w:rsid w:val="00FC6C58"/>
    <w:rsid w:val="00FC78B0"/>
    <w:rsid w:val="00FD0986"/>
    <w:rsid w:val="00FD0FAC"/>
    <w:rsid w:val="00FD1C8A"/>
    <w:rsid w:val="00FD1DD0"/>
    <w:rsid w:val="00FD279F"/>
    <w:rsid w:val="00FD3BD1"/>
    <w:rsid w:val="00FD49B3"/>
    <w:rsid w:val="00FD5518"/>
    <w:rsid w:val="00FD635E"/>
    <w:rsid w:val="00FD6EF3"/>
    <w:rsid w:val="00FD71F0"/>
    <w:rsid w:val="00FD746F"/>
    <w:rsid w:val="00FE09CA"/>
    <w:rsid w:val="00FE140A"/>
    <w:rsid w:val="00FE144F"/>
    <w:rsid w:val="00FE157F"/>
    <w:rsid w:val="00FE1EAD"/>
    <w:rsid w:val="00FE21AB"/>
    <w:rsid w:val="00FE26C8"/>
    <w:rsid w:val="00FE3B59"/>
    <w:rsid w:val="00FE3CEC"/>
    <w:rsid w:val="00FE4039"/>
    <w:rsid w:val="00FE40DE"/>
    <w:rsid w:val="00FE4368"/>
    <w:rsid w:val="00FE4DCD"/>
    <w:rsid w:val="00FE5165"/>
    <w:rsid w:val="00FE5628"/>
    <w:rsid w:val="00FE57F6"/>
    <w:rsid w:val="00FE67A2"/>
    <w:rsid w:val="00FE6B45"/>
    <w:rsid w:val="00FE6B58"/>
    <w:rsid w:val="00FE6EBC"/>
    <w:rsid w:val="00FE769E"/>
    <w:rsid w:val="00FF05BC"/>
    <w:rsid w:val="00FF0651"/>
    <w:rsid w:val="00FF1B5F"/>
    <w:rsid w:val="00FF1C1C"/>
    <w:rsid w:val="00FF379A"/>
    <w:rsid w:val="00FF3FB7"/>
    <w:rsid w:val="00FF40C3"/>
    <w:rsid w:val="00FF4B22"/>
    <w:rsid w:val="00FF4C3A"/>
    <w:rsid w:val="00FF5724"/>
    <w:rsid w:val="00FF5851"/>
    <w:rsid w:val="00FF6C89"/>
    <w:rsid w:val="00FF7318"/>
    <w:rsid w:val="00FF7B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D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AE6157"/>
    <w:pPr>
      <w:tabs>
        <w:tab w:val="left" w:pos="1080"/>
        <w:tab w:val="left" w:pos="1440"/>
        <w:tab w:val="left" w:pos="1800"/>
        <w:tab w:val="right" w:leader="dot" w:pos="9350"/>
      </w:tabs>
      <w:spacing w:after="100"/>
      <w:ind w:left="1440" w:hanging="360"/>
    </w:pPr>
  </w:style>
  <w:style w:type="paragraph" w:styleId="TOC1">
    <w:name w:val="toc 1"/>
    <w:basedOn w:val="Normal"/>
    <w:next w:val="Normal"/>
    <w:autoRedefine/>
    <w:uiPriority w:val="39"/>
    <w:unhideWhenUsed/>
    <w:rsid w:val="00BB020D"/>
    <w:pPr>
      <w:tabs>
        <w:tab w:val="left" w:pos="1080"/>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7"/>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9"/>
      </w:numPr>
    </w:pPr>
  </w:style>
  <w:style w:type="numbering" w:customStyle="1" w:styleId="ImportedStyle4">
    <w:name w:val="Imported Style 4"/>
    <w:rsid w:val="00EA425E"/>
    <w:pPr>
      <w:numPr>
        <w:numId w:val="60"/>
      </w:numPr>
    </w:pPr>
  </w:style>
  <w:style w:type="numbering" w:customStyle="1" w:styleId="ImportedStyle5">
    <w:name w:val="Imported Style 5"/>
    <w:rsid w:val="00C80BAC"/>
    <w:pPr>
      <w:numPr>
        <w:numId w:val="61"/>
      </w:numPr>
    </w:pPr>
  </w:style>
  <w:style w:type="numbering" w:customStyle="1" w:styleId="ImportedStyle6">
    <w:name w:val="Imported Style 6"/>
    <w:rsid w:val="00264225"/>
    <w:pPr>
      <w:numPr>
        <w:numId w:val="62"/>
      </w:numPr>
    </w:pPr>
  </w:style>
  <w:style w:type="numbering" w:customStyle="1" w:styleId="ImportedStyle8">
    <w:name w:val="Imported Style 8"/>
    <w:rsid w:val="00037CC9"/>
    <w:pPr>
      <w:numPr>
        <w:numId w:val="63"/>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41635449">
      <w:bodyDiv w:val="1"/>
      <w:marLeft w:val="0"/>
      <w:marRight w:val="0"/>
      <w:marTop w:val="0"/>
      <w:marBottom w:val="0"/>
      <w:divBdr>
        <w:top w:val="none" w:sz="0" w:space="0" w:color="auto"/>
        <w:left w:val="none" w:sz="0" w:space="0" w:color="auto"/>
        <w:bottom w:val="none" w:sz="0" w:space="0" w:color="auto"/>
        <w:right w:val="none" w:sz="0" w:space="0" w:color="auto"/>
      </w:divBdr>
      <w:divsChild>
        <w:div w:id="1701928203">
          <w:marLeft w:val="0"/>
          <w:marRight w:val="0"/>
          <w:marTop w:val="0"/>
          <w:marBottom w:val="0"/>
          <w:divBdr>
            <w:top w:val="none" w:sz="0" w:space="0" w:color="auto"/>
            <w:left w:val="none" w:sz="0" w:space="0" w:color="auto"/>
            <w:bottom w:val="none" w:sz="0" w:space="0" w:color="auto"/>
            <w:right w:val="none" w:sz="0" w:space="0" w:color="auto"/>
          </w:divBdr>
          <w:divsChild>
            <w:div w:id="1788694042">
              <w:marLeft w:val="0"/>
              <w:marRight w:val="0"/>
              <w:marTop w:val="0"/>
              <w:marBottom w:val="0"/>
              <w:divBdr>
                <w:top w:val="single" w:sz="6" w:space="0" w:color="CCCCCC"/>
                <w:left w:val="single" w:sz="6" w:space="0" w:color="CCCCCC"/>
                <w:bottom w:val="single" w:sz="6" w:space="0" w:color="CCCCCC"/>
                <w:right w:val="single" w:sz="6" w:space="0" w:color="CCCCCC"/>
              </w:divBdr>
              <w:divsChild>
                <w:div w:id="1064596494">
                  <w:marLeft w:val="0"/>
                  <w:marRight w:val="0"/>
                  <w:marTop w:val="0"/>
                  <w:marBottom w:val="0"/>
                  <w:divBdr>
                    <w:top w:val="none" w:sz="0" w:space="0" w:color="auto"/>
                    <w:left w:val="none" w:sz="0" w:space="0" w:color="auto"/>
                    <w:bottom w:val="none" w:sz="0" w:space="0" w:color="auto"/>
                    <w:right w:val="none" w:sz="0" w:space="0" w:color="auto"/>
                  </w:divBdr>
                  <w:divsChild>
                    <w:div w:id="5999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87">
      <w:bodyDiv w:val="1"/>
      <w:marLeft w:val="0"/>
      <w:marRight w:val="0"/>
      <w:marTop w:val="0"/>
      <w:marBottom w:val="0"/>
      <w:divBdr>
        <w:top w:val="none" w:sz="0" w:space="0" w:color="auto"/>
        <w:left w:val="none" w:sz="0" w:space="0" w:color="auto"/>
        <w:bottom w:val="none" w:sz="0" w:space="0" w:color="auto"/>
        <w:right w:val="none" w:sz="0" w:space="0" w:color="auto"/>
      </w:divBdr>
      <w:divsChild>
        <w:div w:id="792481931">
          <w:marLeft w:val="0"/>
          <w:marRight w:val="0"/>
          <w:marTop w:val="0"/>
          <w:marBottom w:val="0"/>
          <w:divBdr>
            <w:top w:val="none" w:sz="0" w:space="0" w:color="auto"/>
            <w:left w:val="none" w:sz="0" w:space="0" w:color="auto"/>
            <w:bottom w:val="none" w:sz="0" w:space="0" w:color="auto"/>
            <w:right w:val="none" w:sz="0" w:space="0" w:color="auto"/>
          </w:divBdr>
          <w:divsChild>
            <w:div w:id="1950046063">
              <w:marLeft w:val="0"/>
              <w:marRight w:val="0"/>
              <w:marTop w:val="0"/>
              <w:marBottom w:val="0"/>
              <w:divBdr>
                <w:top w:val="none" w:sz="0" w:space="0" w:color="auto"/>
                <w:left w:val="none" w:sz="0" w:space="0" w:color="auto"/>
                <w:bottom w:val="none" w:sz="0" w:space="0" w:color="auto"/>
                <w:right w:val="none" w:sz="0" w:space="0" w:color="auto"/>
              </w:divBdr>
              <w:divsChild>
                <w:div w:id="1731419409">
                  <w:marLeft w:val="0"/>
                  <w:marRight w:val="0"/>
                  <w:marTop w:val="0"/>
                  <w:marBottom w:val="0"/>
                  <w:divBdr>
                    <w:top w:val="none" w:sz="0" w:space="0" w:color="auto"/>
                    <w:left w:val="none" w:sz="0" w:space="0" w:color="auto"/>
                    <w:bottom w:val="none" w:sz="0" w:space="0" w:color="auto"/>
                    <w:right w:val="none" w:sz="0" w:space="0" w:color="auto"/>
                  </w:divBdr>
                </w:div>
              </w:divsChild>
            </w:div>
            <w:div w:id="2134515933">
              <w:marLeft w:val="0"/>
              <w:marRight w:val="0"/>
              <w:marTop w:val="0"/>
              <w:marBottom w:val="0"/>
              <w:divBdr>
                <w:top w:val="none" w:sz="0" w:space="0" w:color="auto"/>
                <w:left w:val="none" w:sz="0" w:space="0" w:color="auto"/>
                <w:bottom w:val="none" w:sz="0" w:space="0" w:color="auto"/>
                <w:right w:val="none" w:sz="0" w:space="0" w:color="auto"/>
              </w:divBdr>
              <w:divsChild>
                <w:div w:id="1431508840">
                  <w:marLeft w:val="0"/>
                  <w:marRight w:val="0"/>
                  <w:marTop w:val="0"/>
                  <w:marBottom w:val="0"/>
                  <w:divBdr>
                    <w:top w:val="none" w:sz="0" w:space="0" w:color="auto"/>
                    <w:left w:val="none" w:sz="0" w:space="0" w:color="auto"/>
                    <w:bottom w:val="none" w:sz="0" w:space="0" w:color="auto"/>
                    <w:right w:val="none" w:sz="0" w:space="0" w:color="auto"/>
                  </w:divBdr>
                </w:div>
              </w:divsChild>
            </w:div>
            <w:div w:id="373505296">
              <w:marLeft w:val="0"/>
              <w:marRight w:val="0"/>
              <w:marTop w:val="0"/>
              <w:marBottom w:val="0"/>
              <w:divBdr>
                <w:top w:val="none" w:sz="0" w:space="0" w:color="auto"/>
                <w:left w:val="none" w:sz="0" w:space="0" w:color="auto"/>
                <w:bottom w:val="none" w:sz="0" w:space="0" w:color="auto"/>
                <w:right w:val="none" w:sz="0" w:space="0" w:color="auto"/>
              </w:divBdr>
              <w:divsChild>
                <w:div w:id="1441994958">
                  <w:marLeft w:val="0"/>
                  <w:marRight w:val="0"/>
                  <w:marTop w:val="0"/>
                  <w:marBottom w:val="0"/>
                  <w:divBdr>
                    <w:top w:val="none" w:sz="0" w:space="0" w:color="auto"/>
                    <w:left w:val="none" w:sz="0" w:space="0" w:color="auto"/>
                    <w:bottom w:val="none" w:sz="0" w:space="0" w:color="auto"/>
                    <w:right w:val="none" w:sz="0" w:space="0" w:color="auto"/>
                  </w:divBdr>
                </w:div>
              </w:divsChild>
            </w:div>
            <w:div w:id="1710884645">
              <w:marLeft w:val="0"/>
              <w:marRight w:val="0"/>
              <w:marTop w:val="0"/>
              <w:marBottom w:val="0"/>
              <w:divBdr>
                <w:top w:val="none" w:sz="0" w:space="0" w:color="auto"/>
                <w:left w:val="none" w:sz="0" w:space="0" w:color="auto"/>
                <w:bottom w:val="none" w:sz="0" w:space="0" w:color="auto"/>
                <w:right w:val="none" w:sz="0" w:space="0" w:color="auto"/>
              </w:divBdr>
              <w:divsChild>
                <w:div w:id="668093268">
                  <w:marLeft w:val="0"/>
                  <w:marRight w:val="0"/>
                  <w:marTop w:val="0"/>
                  <w:marBottom w:val="0"/>
                  <w:divBdr>
                    <w:top w:val="none" w:sz="0" w:space="0" w:color="auto"/>
                    <w:left w:val="none" w:sz="0" w:space="0" w:color="auto"/>
                    <w:bottom w:val="none" w:sz="0" w:space="0" w:color="auto"/>
                    <w:right w:val="none" w:sz="0" w:space="0" w:color="auto"/>
                  </w:divBdr>
                </w:div>
              </w:divsChild>
            </w:div>
            <w:div w:id="1941916112">
              <w:marLeft w:val="0"/>
              <w:marRight w:val="0"/>
              <w:marTop w:val="0"/>
              <w:marBottom w:val="0"/>
              <w:divBdr>
                <w:top w:val="none" w:sz="0" w:space="0" w:color="auto"/>
                <w:left w:val="none" w:sz="0" w:space="0" w:color="auto"/>
                <w:bottom w:val="none" w:sz="0" w:space="0" w:color="auto"/>
                <w:right w:val="none" w:sz="0" w:space="0" w:color="auto"/>
              </w:divBdr>
              <w:divsChild>
                <w:div w:id="485709409">
                  <w:marLeft w:val="0"/>
                  <w:marRight w:val="0"/>
                  <w:marTop w:val="0"/>
                  <w:marBottom w:val="0"/>
                  <w:divBdr>
                    <w:top w:val="none" w:sz="0" w:space="0" w:color="auto"/>
                    <w:left w:val="none" w:sz="0" w:space="0" w:color="auto"/>
                    <w:bottom w:val="none" w:sz="0" w:space="0" w:color="auto"/>
                    <w:right w:val="none" w:sz="0" w:space="0" w:color="auto"/>
                  </w:divBdr>
                </w:div>
              </w:divsChild>
            </w:div>
            <w:div w:id="2056926840">
              <w:marLeft w:val="0"/>
              <w:marRight w:val="0"/>
              <w:marTop w:val="0"/>
              <w:marBottom w:val="0"/>
              <w:divBdr>
                <w:top w:val="none" w:sz="0" w:space="0" w:color="auto"/>
                <w:left w:val="none" w:sz="0" w:space="0" w:color="auto"/>
                <w:bottom w:val="none" w:sz="0" w:space="0" w:color="auto"/>
                <w:right w:val="none" w:sz="0" w:space="0" w:color="auto"/>
              </w:divBdr>
              <w:divsChild>
                <w:div w:id="13545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07296216">
      <w:bodyDiv w:val="1"/>
      <w:marLeft w:val="0"/>
      <w:marRight w:val="0"/>
      <w:marTop w:val="0"/>
      <w:marBottom w:val="0"/>
      <w:divBdr>
        <w:top w:val="none" w:sz="0" w:space="0" w:color="auto"/>
        <w:left w:val="none" w:sz="0" w:space="0" w:color="auto"/>
        <w:bottom w:val="none" w:sz="0" w:space="0" w:color="auto"/>
        <w:right w:val="none" w:sz="0" w:space="0" w:color="auto"/>
      </w:divBdr>
      <w:divsChild>
        <w:div w:id="1089429906">
          <w:marLeft w:val="0"/>
          <w:marRight w:val="0"/>
          <w:marTop w:val="0"/>
          <w:marBottom w:val="0"/>
          <w:divBdr>
            <w:top w:val="none" w:sz="0" w:space="0" w:color="auto"/>
            <w:left w:val="none" w:sz="0" w:space="0" w:color="auto"/>
            <w:bottom w:val="none" w:sz="0" w:space="0" w:color="auto"/>
            <w:right w:val="none" w:sz="0" w:space="0" w:color="auto"/>
          </w:divBdr>
          <w:divsChild>
            <w:div w:id="32312152">
              <w:marLeft w:val="0"/>
              <w:marRight w:val="0"/>
              <w:marTop w:val="0"/>
              <w:marBottom w:val="0"/>
              <w:divBdr>
                <w:top w:val="none" w:sz="0" w:space="0" w:color="auto"/>
                <w:left w:val="none" w:sz="0" w:space="0" w:color="auto"/>
                <w:bottom w:val="none" w:sz="0" w:space="0" w:color="auto"/>
                <w:right w:val="none" w:sz="0" w:space="0" w:color="auto"/>
              </w:divBdr>
              <w:divsChild>
                <w:div w:id="491483317">
                  <w:marLeft w:val="0"/>
                  <w:marRight w:val="0"/>
                  <w:marTop w:val="0"/>
                  <w:marBottom w:val="0"/>
                  <w:divBdr>
                    <w:top w:val="none" w:sz="0" w:space="0" w:color="auto"/>
                    <w:left w:val="none" w:sz="0" w:space="0" w:color="auto"/>
                    <w:bottom w:val="none" w:sz="0" w:space="0" w:color="auto"/>
                    <w:right w:val="none" w:sz="0" w:space="0" w:color="auto"/>
                  </w:divBdr>
                  <w:divsChild>
                    <w:div w:id="1401051643">
                      <w:marLeft w:val="0"/>
                      <w:marRight w:val="0"/>
                      <w:marTop w:val="0"/>
                      <w:marBottom w:val="0"/>
                      <w:divBdr>
                        <w:top w:val="none" w:sz="0" w:space="0" w:color="auto"/>
                        <w:left w:val="none" w:sz="0" w:space="0" w:color="auto"/>
                        <w:bottom w:val="none" w:sz="0" w:space="0" w:color="auto"/>
                        <w:right w:val="none" w:sz="0" w:space="0" w:color="auto"/>
                      </w:divBdr>
                      <w:divsChild>
                        <w:div w:id="1004211956">
                          <w:marLeft w:val="0"/>
                          <w:marRight w:val="0"/>
                          <w:marTop w:val="0"/>
                          <w:marBottom w:val="0"/>
                          <w:divBdr>
                            <w:top w:val="none" w:sz="0" w:space="0" w:color="auto"/>
                            <w:left w:val="none" w:sz="0" w:space="0" w:color="auto"/>
                            <w:bottom w:val="none" w:sz="0" w:space="0" w:color="auto"/>
                            <w:right w:val="none" w:sz="0" w:space="0" w:color="auto"/>
                          </w:divBdr>
                          <w:divsChild>
                            <w:div w:id="6190691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077745750">
      <w:bodyDiv w:val="1"/>
      <w:marLeft w:val="0"/>
      <w:marRight w:val="0"/>
      <w:marTop w:val="0"/>
      <w:marBottom w:val="0"/>
      <w:divBdr>
        <w:top w:val="none" w:sz="0" w:space="0" w:color="auto"/>
        <w:left w:val="none" w:sz="0" w:space="0" w:color="auto"/>
        <w:bottom w:val="none" w:sz="0" w:space="0" w:color="auto"/>
        <w:right w:val="none" w:sz="0" w:space="0" w:color="auto"/>
      </w:divBdr>
      <w:divsChild>
        <w:div w:id="963197657">
          <w:marLeft w:val="0"/>
          <w:marRight w:val="0"/>
          <w:marTop w:val="0"/>
          <w:marBottom w:val="0"/>
          <w:divBdr>
            <w:top w:val="none" w:sz="0" w:space="0" w:color="auto"/>
            <w:left w:val="none" w:sz="0" w:space="0" w:color="auto"/>
            <w:bottom w:val="none" w:sz="0" w:space="0" w:color="auto"/>
            <w:right w:val="none" w:sz="0" w:space="0" w:color="auto"/>
          </w:divBdr>
          <w:divsChild>
            <w:div w:id="520825997">
              <w:marLeft w:val="0"/>
              <w:marRight w:val="0"/>
              <w:marTop w:val="0"/>
              <w:marBottom w:val="0"/>
              <w:divBdr>
                <w:top w:val="single" w:sz="6" w:space="0" w:color="CCCCCC"/>
                <w:left w:val="single" w:sz="6" w:space="0" w:color="CCCCCC"/>
                <w:bottom w:val="single" w:sz="6" w:space="0" w:color="CCCCCC"/>
                <w:right w:val="single" w:sz="6" w:space="0" w:color="CCCCCC"/>
              </w:divBdr>
              <w:divsChild>
                <w:div w:id="977151083">
                  <w:marLeft w:val="0"/>
                  <w:marRight w:val="0"/>
                  <w:marTop w:val="0"/>
                  <w:marBottom w:val="0"/>
                  <w:divBdr>
                    <w:top w:val="none" w:sz="0" w:space="0" w:color="auto"/>
                    <w:left w:val="none" w:sz="0" w:space="0" w:color="auto"/>
                    <w:bottom w:val="none" w:sz="0" w:space="0" w:color="auto"/>
                    <w:right w:val="none" w:sz="0" w:space="0" w:color="auto"/>
                  </w:divBdr>
                  <w:divsChild>
                    <w:div w:id="963777655">
                      <w:marLeft w:val="0"/>
                      <w:marRight w:val="0"/>
                      <w:marTop w:val="0"/>
                      <w:marBottom w:val="0"/>
                      <w:divBdr>
                        <w:top w:val="none" w:sz="0" w:space="0" w:color="auto"/>
                        <w:left w:val="none" w:sz="0" w:space="0" w:color="auto"/>
                        <w:bottom w:val="none" w:sz="0" w:space="0" w:color="auto"/>
                        <w:right w:val="none" w:sz="0" w:space="0" w:color="auto"/>
                      </w:divBdr>
                      <w:divsChild>
                        <w:div w:id="1701937026">
                          <w:marLeft w:val="120"/>
                          <w:marRight w:val="120"/>
                          <w:marTop w:val="60"/>
                          <w:marBottom w:val="60"/>
                          <w:divBdr>
                            <w:top w:val="none" w:sz="0" w:space="0" w:color="auto"/>
                            <w:left w:val="none" w:sz="0" w:space="0" w:color="auto"/>
                            <w:bottom w:val="none" w:sz="0" w:space="0" w:color="auto"/>
                            <w:right w:val="none" w:sz="0" w:space="0" w:color="auto"/>
                          </w:divBdr>
                          <w:divsChild>
                            <w:div w:id="498233541">
                              <w:marLeft w:val="0"/>
                              <w:marRight w:val="0"/>
                              <w:marTop w:val="0"/>
                              <w:marBottom w:val="0"/>
                              <w:divBdr>
                                <w:top w:val="none" w:sz="0" w:space="0" w:color="auto"/>
                                <w:left w:val="none" w:sz="0" w:space="0" w:color="auto"/>
                                <w:bottom w:val="none" w:sz="0" w:space="0" w:color="auto"/>
                                <w:right w:val="none" w:sz="0" w:space="0" w:color="auto"/>
                              </w:divBdr>
                              <w:divsChild>
                                <w:div w:id="679628066">
                                  <w:marLeft w:val="0"/>
                                  <w:marRight w:val="0"/>
                                  <w:marTop w:val="0"/>
                                  <w:marBottom w:val="0"/>
                                  <w:divBdr>
                                    <w:top w:val="none" w:sz="0" w:space="0" w:color="auto"/>
                                    <w:left w:val="none" w:sz="0" w:space="0" w:color="auto"/>
                                    <w:bottom w:val="none" w:sz="0" w:space="0" w:color="auto"/>
                                    <w:right w:val="none" w:sz="0" w:space="0" w:color="auto"/>
                                  </w:divBdr>
                                  <w:divsChild>
                                    <w:div w:id="1754081400">
                                      <w:marLeft w:val="0"/>
                                      <w:marRight w:val="0"/>
                                      <w:marTop w:val="0"/>
                                      <w:marBottom w:val="0"/>
                                      <w:divBdr>
                                        <w:top w:val="none" w:sz="0" w:space="0" w:color="auto"/>
                                        <w:left w:val="none" w:sz="0" w:space="0" w:color="auto"/>
                                        <w:bottom w:val="none" w:sz="0" w:space="0" w:color="auto"/>
                                        <w:right w:val="none" w:sz="0" w:space="0" w:color="auto"/>
                                      </w:divBdr>
                                      <w:divsChild>
                                        <w:div w:id="1994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918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505261">
      <w:bodyDiv w:val="1"/>
      <w:marLeft w:val="0"/>
      <w:marRight w:val="0"/>
      <w:marTop w:val="0"/>
      <w:marBottom w:val="0"/>
      <w:divBdr>
        <w:top w:val="none" w:sz="0" w:space="0" w:color="auto"/>
        <w:left w:val="none" w:sz="0" w:space="0" w:color="auto"/>
        <w:bottom w:val="none" w:sz="0" w:space="0" w:color="auto"/>
        <w:right w:val="none" w:sz="0" w:space="0" w:color="auto"/>
      </w:divBdr>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41907950">
      <w:bodyDiv w:val="1"/>
      <w:marLeft w:val="0"/>
      <w:marRight w:val="0"/>
      <w:marTop w:val="0"/>
      <w:marBottom w:val="0"/>
      <w:divBdr>
        <w:top w:val="none" w:sz="0" w:space="0" w:color="auto"/>
        <w:left w:val="none" w:sz="0" w:space="0" w:color="auto"/>
        <w:bottom w:val="none" w:sz="0" w:space="0" w:color="auto"/>
        <w:right w:val="none" w:sz="0" w:space="0" w:color="auto"/>
      </w:divBdr>
      <w:divsChild>
        <w:div w:id="474949210">
          <w:marLeft w:val="0"/>
          <w:marRight w:val="0"/>
          <w:marTop w:val="0"/>
          <w:marBottom w:val="0"/>
          <w:divBdr>
            <w:top w:val="none" w:sz="0" w:space="0" w:color="auto"/>
            <w:left w:val="none" w:sz="0" w:space="0" w:color="auto"/>
            <w:bottom w:val="none" w:sz="0" w:space="0" w:color="auto"/>
            <w:right w:val="none" w:sz="0" w:space="0" w:color="auto"/>
          </w:divBdr>
          <w:divsChild>
            <w:div w:id="189488302">
              <w:marLeft w:val="0"/>
              <w:marRight w:val="0"/>
              <w:marTop w:val="0"/>
              <w:marBottom w:val="0"/>
              <w:divBdr>
                <w:top w:val="none" w:sz="0" w:space="0" w:color="auto"/>
                <w:left w:val="none" w:sz="0" w:space="0" w:color="auto"/>
                <w:bottom w:val="none" w:sz="0" w:space="0" w:color="auto"/>
                <w:right w:val="none" w:sz="0" w:space="0" w:color="auto"/>
              </w:divBdr>
              <w:divsChild>
                <w:div w:id="2881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65847747">
      <w:bodyDiv w:val="1"/>
      <w:marLeft w:val="0"/>
      <w:marRight w:val="0"/>
      <w:marTop w:val="0"/>
      <w:marBottom w:val="0"/>
      <w:divBdr>
        <w:top w:val="none" w:sz="0" w:space="0" w:color="auto"/>
        <w:left w:val="none" w:sz="0" w:space="0" w:color="auto"/>
        <w:bottom w:val="none" w:sz="0" w:space="0" w:color="auto"/>
        <w:right w:val="none" w:sz="0" w:space="0" w:color="auto"/>
      </w:divBdr>
      <w:divsChild>
        <w:div w:id="1438209429">
          <w:marLeft w:val="0"/>
          <w:marRight w:val="0"/>
          <w:marTop w:val="0"/>
          <w:marBottom w:val="0"/>
          <w:divBdr>
            <w:top w:val="none" w:sz="0" w:space="0" w:color="auto"/>
            <w:left w:val="none" w:sz="0" w:space="0" w:color="auto"/>
            <w:bottom w:val="none" w:sz="0" w:space="0" w:color="auto"/>
            <w:right w:val="none" w:sz="0" w:space="0" w:color="auto"/>
          </w:divBdr>
          <w:divsChild>
            <w:div w:id="1718896183">
              <w:marLeft w:val="0"/>
              <w:marRight w:val="0"/>
              <w:marTop w:val="0"/>
              <w:marBottom w:val="0"/>
              <w:divBdr>
                <w:top w:val="none" w:sz="0" w:space="0" w:color="auto"/>
                <w:left w:val="none" w:sz="0" w:space="0" w:color="auto"/>
                <w:bottom w:val="none" w:sz="0" w:space="0" w:color="auto"/>
                <w:right w:val="none" w:sz="0" w:space="0" w:color="auto"/>
              </w:divBdr>
            </w:div>
            <w:div w:id="1315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37657479">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ncpunishment.com/forums/showthread.php?2461-Gregory-Thompson-Tennessee-Death-Row&amp;s=c76f148ba695ead1c3caa06a548d98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4BC1-1534-624C-B278-E656F21E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13164</Words>
  <Characters>64640</Characters>
  <Application>Microsoft Office Word</Application>
  <DocSecurity>0</DocSecurity>
  <Lines>1042</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455/21</dc:title>
  <dc:creator/>
  <cp:lastModifiedBy/>
  <cp:revision>1</cp:revision>
  <dcterms:created xsi:type="dcterms:W3CDTF">2022-04-04T16:26:00Z</dcterms:created>
  <dcterms:modified xsi:type="dcterms:W3CDTF">2022-04-04T16:27:00Z</dcterms:modified>
</cp:coreProperties>
</file>