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003D2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459974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85849">
                              <w:rPr>
                                <w:rFonts w:asciiTheme="majorHAnsi" w:hAnsiTheme="majorHAnsi" w:cs="Arial"/>
                                <w:b/>
                                <w:bCs/>
                                <w:color w:val="0D0D0D" w:themeColor="text1" w:themeTint="F2"/>
                                <w:sz w:val="36"/>
                                <w:szCs w:val="40"/>
                              </w:rPr>
                              <w:t>4</w:t>
                            </w:r>
                            <w:r w:rsidR="00322450" w:rsidRPr="004B7EB6">
                              <w:rPr>
                                <w:rFonts w:asciiTheme="majorHAnsi" w:hAnsiTheme="majorHAnsi" w:cs="Arial"/>
                                <w:b/>
                                <w:bCs/>
                                <w:color w:val="0D0D0D" w:themeColor="text1" w:themeTint="F2"/>
                                <w:sz w:val="36"/>
                                <w:szCs w:val="40"/>
                              </w:rPr>
                              <w:t>/</w:t>
                            </w:r>
                            <w:r w:rsidR="00A85849">
                              <w:rPr>
                                <w:rFonts w:asciiTheme="majorHAnsi" w:hAnsiTheme="majorHAnsi" w:cs="Arial"/>
                                <w:b/>
                                <w:bCs/>
                                <w:color w:val="0D0D0D" w:themeColor="text1" w:themeTint="F2"/>
                                <w:sz w:val="36"/>
                                <w:szCs w:val="40"/>
                              </w:rPr>
                              <w:t>21</w:t>
                            </w:r>
                          </w:p>
                          <w:p w14:paraId="081F51F3" w14:textId="5AE2543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F0D04">
                              <w:rPr>
                                <w:rFonts w:asciiTheme="majorHAnsi" w:hAnsiTheme="majorHAnsi" w:cs="Arial"/>
                                <w:b/>
                                <w:bCs/>
                                <w:color w:val="0D0D0D" w:themeColor="text1" w:themeTint="F2"/>
                                <w:sz w:val="36"/>
                                <w:szCs w:val="40"/>
                              </w:rPr>
                              <w:t>797</w:t>
                            </w:r>
                            <w:r w:rsidR="00F621C3">
                              <w:rPr>
                                <w:rFonts w:asciiTheme="majorHAnsi" w:hAnsiTheme="majorHAnsi" w:cs="Arial"/>
                                <w:b/>
                                <w:bCs/>
                                <w:color w:val="0D0D0D" w:themeColor="text1" w:themeTint="F2"/>
                                <w:sz w:val="36"/>
                                <w:szCs w:val="40"/>
                              </w:rPr>
                              <w:t>-</w:t>
                            </w:r>
                            <w:r w:rsidR="001F0D04">
                              <w:rPr>
                                <w:rFonts w:asciiTheme="majorHAnsi" w:hAnsiTheme="majorHAnsi" w:cs="Arial"/>
                                <w:b/>
                                <w:bCs/>
                                <w:color w:val="0D0D0D" w:themeColor="text1" w:themeTint="F2"/>
                                <w:sz w:val="36"/>
                                <w:szCs w:val="40"/>
                              </w:rPr>
                              <w:t>12</w:t>
                            </w:r>
                          </w:p>
                          <w:p w14:paraId="34978E5A" w14:textId="18A10D05" w:rsidR="002C1641" w:rsidRPr="004B7EB6" w:rsidRDefault="001F0D0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0554CC5D" w:rsidR="00F42B71" w:rsidRPr="004B625D" w:rsidRDefault="001F0D0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SAVOY ROBINSON</w:t>
                            </w:r>
                          </w:p>
                          <w:p w14:paraId="48EBC31A" w14:textId="2E41178E" w:rsidR="00F42B71" w:rsidRPr="004B625D" w:rsidRDefault="001F0D0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459974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85849">
                        <w:rPr>
                          <w:rFonts w:asciiTheme="majorHAnsi" w:hAnsiTheme="majorHAnsi" w:cs="Arial"/>
                          <w:b/>
                          <w:bCs/>
                          <w:color w:val="0D0D0D" w:themeColor="text1" w:themeTint="F2"/>
                          <w:sz w:val="36"/>
                          <w:szCs w:val="40"/>
                        </w:rPr>
                        <w:t>4</w:t>
                      </w:r>
                      <w:r w:rsidR="00322450" w:rsidRPr="004B7EB6">
                        <w:rPr>
                          <w:rFonts w:asciiTheme="majorHAnsi" w:hAnsiTheme="majorHAnsi" w:cs="Arial"/>
                          <w:b/>
                          <w:bCs/>
                          <w:color w:val="0D0D0D" w:themeColor="text1" w:themeTint="F2"/>
                          <w:sz w:val="36"/>
                          <w:szCs w:val="40"/>
                        </w:rPr>
                        <w:t>/</w:t>
                      </w:r>
                      <w:r w:rsidR="00A85849">
                        <w:rPr>
                          <w:rFonts w:asciiTheme="majorHAnsi" w:hAnsiTheme="majorHAnsi" w:cs="Arial"/>
                          <w:b/>
                          <w:bCs/>
                          <w:color w:val="0D0D0D" w:themeColor="text1" w:themeTint="F2"/>
                          <w:sz w:val="36"/>
                          <w:szCs w:val="40"/>
                        </w:rPr>
                        <w:t>21</w:t>
                      </w:r>
                    </w:p>
                    <w:p w14:paraId="081F51F3" w14:textId="5AE2543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F0D04">
                        <w:rPr>
                          <w:rFonts w:asciiTheme="majorHAnsi" w:hAnsiTheme="majorHAnsi" w:cs="Arial"/>
                          <w:b/>
                          <w:bCs/>
                          <w:color w:val="0D0D0D" w:themeColor="text1" w:themeTint="F2"/>
                          <w:sz w:val="36"/>
                          <w:szCs w:val="40"/>
                        </w:rPr>
                        <w:t>797</w:t>
                      </w:r>
                      <w:r w:rsidR="00F621C3">
                        <w:rPr>
                          <w:rFonts w:asciiTheme="majorHAnsi" w:hAnsiTheme="majorHAnsi" w:cs="Arial"/>
                          <w:b/>
                          <w:bCs/>
                          <w:color w:val="0D0D0D" w:themeColor="text1" w:themeTint="F2"/>
                          <w:sz w:val="36"/>
                          <w:szCs w:val="40"/>
                        </w:rPr>
                        <w:t>-</w:t>
                      </w:r>
                      <w:r w:rsidR="001F0D04">
                        <w:rPr>
                          <w:rFonts w:asciiTheme="majorHAnsi" w:hAnsiTheme="majorHAnsi" w:cs="Arial"/>
                          <w:b/>
                          <w:bCs/>
                          <w:color w:val="0D0D0D" w:themeColor="text1" w:themeTint="F2"/>
                          <w:sz w:val="36"/>
                          <w:szCs w:val="40"/>
                        </w:rPr>
                        <w:t>12</w:t>
                      </w:r>
                    </w:p>
                    <w:p w14:paraId="34978E5A" w14:textId="18A10D05" w:rsidR="002C1641" w:rsidRPr="004B7EB6" w:rsidRDefault="001F0D0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0554CC5D" w:rsidR="00F42B71" w:rsidRPr="004B625D" w:rsidRDefault="001F0D0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SAVOY ROBINSON</w:t>
                      </w:r>
                    </w:p>
                    <w:p w14:paraId="48EBC31A" w14:textId="2E41178E" w:rsidR="00F42B71" w:rsidRPr="004B625D" w:rsidRDefault="001F0D0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AE10EE4" w:rsidR="00627C9F" w:rsidRPr="00AE79DA" w:rsidRDefault="00A85849" w:rsidP="009E566A">
                            <w:pPr>
                              <w:jc w:val="right"/>
                              <w:rPr>
                                <w:rFonts w:asciiTheme="minorHAnsi" w:hAnsiTheme="minorHAnsi"/>
                                <w:color w:val="FFFFFF" w:themeColor="background1"/>
                                <w:sz w:val="22"/>
                                <w:lang w:val="es-US"/>
                              </w:rPr>
                            </w:pPr>
                            <w:r w:rsidRPr="00AE79DA">
                              <w:rPr>
                                <w:rFonts w:asciiTheme="minorHAnsi" w:hAnsiTheme="minorHAnsi"/>
                                <w:color w:val="FFFFFF" w:themeColor="background1"/>
                                <w:sz w:val="22"/>
                                <w:lang w:val="es-US"/>
                              </w:rPr>
                              <w:t>OEA/</w:t>
                            </w:r>
                            <w:proofErr w:type="spellStart"/>
                            <w:r w:rsidRPr="00AE79DA">
                              <w:rPr>
                                <w:rFonts w:asciiTheme="minorHAnsi" w:hAnsiTheme="minorHAnsi"/>
                                <w:color w:val="FFFFFF" w:themeColor="background1"/>
                                <w:sz w:val="22"/>
                                <w:lang w:val="es-US"/>
                              </w:rPr>
                              <w:t>Ser.L</w:t>
                            </w:r>
                            <w:proofErr w:type="spellEnd"/>
                            <w:r w:rsidRPr="00AE79DA">
                              <w:rPr>
                                <w:rFonts w:asciiTheme="minorHAnsi" w:hAnsiTheme="minorHAnsi"/>
                                <w:color w:val="FFFFFF" w:themeColor="background1"/>
                                <w:sz w:val="22"/>
                                <w:lang w:val="es-US"/>
                              </w:rPr>
                              <w:t>/V/II</w:t>
                            </w:r>
                          </w:p>
                          <w:p w14:paraId="4AA08A8C" w14:textId="18C3B40C" w:rsidR="00627C9F" w:rsidRPr="00AE79DA" w:rsidRDefault="00CA6577" w:rsidP="009E566A">
                            <w:pPr>
                              <w:jc w:val="right"/>
                              <w:rPr>
                                <w:rFonts w:asciiTheme="minorHAnsi" w:hAnsiTheme="minorHAnsi"/>
                                <w:color w:val="FFFFFF" w:themeColor="background1"/>
                                <w:sz w:val="22"/>
                                <w:lang w:val="es-US"/>
                              </w:rPr>
                            </w:pPr>
                            <w:r w:rsidRPr="00AE79DA">
                              <w:rPr>
                                <w:rFonts w:asciiTheme="minorHAnsi" w:hAnsiTheme="minorHAnsi"/>
                                <w:color w:val="FFFFFF" w:themeColor="background1"/>
                                <w:sz w:val="22"/>
                                <w:lang w:val="es-US"/>
                              </w:rPr>
                              <w:t xml:space="preserve">Doc. </w:t>
                            </w:r>
                            <w:r w:rsidR="00A85849" w:rsidRPr="00AE79DA">
                              <w:rPr>
                                <w:rFonts w:asciiTheme="minorHAnsi" w:hAnsiTheme="minorHAnsi"/>
                                <w:color w:val="FFFFFF" w:themeColor="background1"/>
                                <w:sz w:val="22"/>
                                <w:lang w:val="es-US"/>
                              </w:rPr>
                              <w:t>4</w:t>
                            </w:r>
                          </w:p>
                          <w:p w14:paraId="0BEFF61A" w14:textId="0DB2D8F0" w:rsidR="00627C9F" w:rsidRPr="00A85849" w:rsidRDefault="00022CF5" w:rsidP="009E566A">
                            <w:pPr>
                              <w:jc w:val="right"/>
                              <w:rPr>
                                <w:rFonts w:asciiTheme="minorHAnsi" w:hAnsiTheme="minorHAnsi"/>
                                <w:color w:val="FFFFFF" w:themeColor="background1"/>
                                <w:sz w:val="22"/>
                              </w:rPr>
                            </w:pPr>
                            <w:r w:rsidRPr="00AE79DA">
                              <w:rPr>
                                <w:rFonts w:asciiTheme="minorHAnsi" w:hAnsiTheme="minorHAnsi"/>
                                <w:color w:val="FFFFFF" w:themeColor="background1"/>
                                <w:sz w:val="22"/>
                                <w:lang w:val="es-US"/>
                              </w:rPr>
                              <w:t xml:space="preserve"> </w:t>
                            </w:r>
                            <w:r w:rsidR="00A85849">
                              <w:rPr>
                                <w:rFonts w:asciiTheme="minorHAnsi" w:hAnsiTheme="minorHAnsi"/>
                                <w:color w:val="FFFFFF" w:themeColor="background1"/>
                                <w:sz w:val="22"/>
                              </w:rPr>
                              <w:t>5 January</w:t>
                            </w:r>
                            <w:r w:rsidR="000C4365" w:rsidRPr="00A85849">
                              <w:rPr>
                                <w:rFonts w:asciiTheme="minorHAnsi" w:hAnsiTheme="minorHAnsi"/>
                                <w:color w:val="FFFFFF" w:themeColor="background1"/>
                                <w:sz w:val="22"/>
                              </w:rPr>
                              <w:t xml:space="preserve"> </w:t>
                            </w:r>
                            <w:r w:rsidR="00F42B71" w:rsidRPr="00A85849">
                              <w:rPr>
                                <w:rFonts w:asciiTheme="minorHAnsi" w:hAnsiTheme="minorHAnsi"/>
                                <w:color w:val="FFFFFF" w:themeColor="background1"/>
                                <w:sz w:val="22"/>
                              </w:rPr>
                              <w:t>20</w:t>
                            </w:r>
                            <w:r w:rsidR="00A85849">
                              <w:rPr>
                                <w:rFonts w:asciiTheme="minorHAnsi" w:hAnsiTheme="minorHAnsi"/>
                                <w:color w:val="FFFFFF" w:themeColor="background1"/>
                                <w:sz w:val="22"/>
                              </w:rPr>
                              <w:t>21</w:t>
                            </w:r>
                          </w:p>
                          <w:p w14:paraId="0FC103BD" w14:textId="5CEC58CA" w:rsidR="00627C9F" w:rsidRPr="00A85849" w:rsidRDefault="00627C9F" w:rsidP="009E566A">
                            <w:pPr>
                              <w:jc w:val="right"/>
                              <w:rPr>
                                <w:rFonts w:asciiTheme="minorHAnsi" w:hAnsiTheme="minorHAnsi"/>
                                <w:color w:val="FFFFFF" w:themeColor="background1"/>
                                <w:sz w:val="22"/>
                              </w:rPr>
                            </w:pPr>
                            <w:r w:rsidRPr="00A85849">
                              <w:rPr>
                                <w:rFonts w:asciiTheme="minorHAnsi" w:hAnsiTheme="minorHAnsi"/>
                                <w:color w:val="FFFFFF" w:themeColor="background1"/>
                                <w:sz w:val="22"/>
                              </w:rPr>
                              <w:t>Original:</w:t>
                            </w:r>
                            <w:r w:rsidR="002C1641" w:rsidRPr="00A85849">
                              <w:rPr>
                                <w:rFonts w:asciiTheme="minorHAnsi" w:hAnsiTheme="minorHAnsi"/>
                                <w:color w:val="FFFFFF" w:themeColor="background1"/>
                                <w:sz w:val="22"/>
                              </w:rPr>
                              <w:t xml:space="preserve"> </w:t>
                            </w:r>
                            <w:r w:rsidR="000C4365" w:rsidRPr="00A85849">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AE10EE4" w:rsidR="00627C9F" w:rsidRPr="00A85849" w:rsidRDefault="00A85849" w:rsidP="009E566A">
                      <w:pPr>
                        <w:jc w:val="right"/>
                        <w:rPr>
                          <w:rFonts w:asciiTheme="minorHAnsi" w:hAnsiTheme="minorHAnsi"/>
                          <w:color w:val="FFFFFF" w:themeColor="background1"/>
                          <w:sz w:val="22"/>
                        </w:rPr>
                      </w:pPr>
                      <w:r w:rsidRPr="00A85849">
                        <w:rPr>
                          <w:rFonts w:asciiTheme="minorHAnsi" w:hAnsiTheme="minorHAnsi"/>
                          <w:color w:val="FFFFFF" w:themeColor="background1"/>
                          <w:sz w:val="22"/>
                        </w:rPr>
                        <w:t>OEA/Ser.L/V/II</w:t>
                      </w:r>
                    </w:p>
                    <w:p w14:paraId="4AA08A8C" w14:textId="18C3B40C" w:rsidR="00627C9F" w:rsidRPr="00A85849" w:rsidRDefault="00CA6577" w:rsidP="009E566A">
                      <w:pPr>
                        <w:jc w:val="right"/>
                        <w:rPr>
                          <w:rFonts w:asciiTheme="minorHAnsi" w:hAnsiTheme="minorHAnsi"/>
                          <w:color w:val="FFFFFF" w:themeColor="background1"/>
                          <w:sz w:val="22"/>
                        </w:rPr>
                      </w:pPr>
                      <w:r w:rsidRPr="00A85849">
                        <w:rPr>
                          <w:rFonts w:asciiTheme="minorHAnsi" w:hAnsiTheme="minorHAnsi"/>
                          <w:color w:val="FFFFFF" w:themeColor="background1"/>
                          <w:sz w:val="22"/>
                        </w:rPr>
                        <w:t xml:space="preserve">Doc. </w:t>
                      </w:r>
                      <w:r w:rsidR="00A85849" w:rsidRPr="00A85849">
                        <w:rPr>
                          <w:rFonts w:asciiTheme="minorHAnsi" w:hAnsiTheme="minorHAnsi"/>
                          <w:color w:val="FFFFFF" w:themeColor="background1"/>
                          <w:sz w:val="22"/>
                        </w:rPr>
                        <w:t>4</w:t>
                      </w:r>
                    </w:p>
                    <w:p w14:paraId="0BEFF61A" w14:textId="0DB2D8F0" w:rsidR="00627C9F" w:rsidRPr="00A85849" w:rsidRDefault="00022CF5" w:rsidP="009E566A">
                      <w:pPr>
                        <w:jc w:val="right"/>
                        <w:rPr>
                          <w:rFonts w:asciiTheme="minorHAnsi" w:hAnsiTheme="minorHAnsi"/>
                          <w:color w:val="FFFFFF" w:themeColor="background1"/>
                          <w:sz w:val="22"/>
                        </w:rPr>
                      </w:pPr>
                      <w:r w:rsidRPr="00A85849">
                        <w:rPr>
                          <w:rFonts w:asciiTheme="minorHAnsi" w:hAnsiTheme="minorHAnsi"/>
                          <w:color w:val="FFFFFF" w:themeColor="background1"/>
                          <w:sz w:val="22"/>
                        </w:rPr>
                        <w:t xml:space="preserve"> </w:t>
                      </w:r>
                      <w:r w:rsidR="00A85849">
                        <w:rPr>
                          <w:rFonts w:asciiTheme="minorHAnsi" w:hAnsiTheme="minorHAnsi"/>
                          <w:color w:val="FFFFFF" w:themeColor="background1"/>
                          <w:sz w:val="22"/>
                        </w:rPr>
                        <w:t>5 January</w:t>
                      </w:r>
                      <w:bookmarkStart w:id="1" w:name="_GoBack"/>
                      <w:bookmarkEnd w:id="1"/>
                      <w:r w:rsidR="000C4365" w:rsidRPr="00A85849">
                        <w:rPr>
                          <w:rFonts w:asciiTheme="minorHAnsi" w:hAnsiTheme="minorHAnsi"/>
                          <w:color w:val="FFFFFF" w:themeColor="background1"/>
                          <w:sz w:val="22"/>
                        </w:rPr>
                        <w:t xml:space="preserve"> </w:t>
                      </w:r>
                      <w:r w:rsidR="00F42B71" w:rsidRPr="00A85849">
                        <w:rPr>
                          <w:rFonts w:asciiTheme="minorHAnsi" w:hAnsiTheme="minorHAnsi"/>
                          <w:color w:val="FFFFFF" w:themeColor="background1"/>
                          <w:sz w:val="22"/>
                        </w:rPr>
                        <w:t>20</w:t>
                      </w:r>
                      <w:r w:rsidR="00A85849">
                        <w:rPr>
                          <w:rFonts w:asciiTheme="minorHAnsi" w:hAnsiTheme="minorHAnsi"/>
                          <w:color w:val="FFFFFF" w:themeColor="background1"/>
                          <w:sz w:val="22"/>
                        </w:rPr>
                        <w:t>21</w:t>
                      </w:r>
                    </w:p>
                    <w:p w14:paraId="0FC103BD" w14:textId="5CEC58CA" w:rsidR="00627C9F" w:rsidRPr="00A85849" w:rsidRDefault="00627C9F" w:rsidP="009E566A">
                      <w:pPr>
                        <w:jc w:val="right"/>
                        <w:rPr>
                          <w:rFonts w:asciiTheme="minorHAnsi" w:hAnsiTheme="minorHAnsi"/>
                          <w:color w:val="FFFFFF" w:themeColor="background1"/>
                          <w:sz w:val="22"/>
                        </w:rPr>
                      </w:pPr>
                      <w:r w:rsidRPr="00A85849">
                        <w:rPr>
                          <w:rFonts w:asciiTheme="minorHAnsi" w:hAnsiTheme="minorHAnsi"/>
                          <w:color w:val="FFFFFF" w:themeColor="background1"/>
                          <w:sz w:val="22"/>
                        </w:rPr>
                        <w:t>Original:</w:t>
                      </w:r>
                      <w:r w:rsidR="002C1641" w:rsidRPr="00A85849">
                        <w:rPr>
                          <w:rFonts w:asciiTheme="minorHAnsi" w:hAnsiTheme="minorHAnsi"/>
                          <w:color w:val="FFFFFF" w:themeColor="background1"/>
                          <w:sz w:val="22"/>
                        </w:rPr>
                        <w:t xml:space="preserve"> </w:t>
                      </w:r>
                      <w:r w:rsidR="000C4365" w:rsidRPr="00A85849">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5B47DB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85849">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A85849">
                              <w:rPr>
                                <w:rFonts w:asciiTheme="majorHAnsi" w:hAnsiTheme="majorHAnsi"/>
                                <w:color w:val="0D0D0D" w:themeColor="text1" w:themeTint="F2"/>
                                <w:sz w:val="18"/>
                                <w:szCs w:val="20"/>
                              </w:rPr>
                              <w:t>January 5, 2021</w:t>
                            </w:r>
                            <w:r w:rsidR="00AE79DA">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5B47DB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85849">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A85849">
                        <w:rPr>
                          <w:rFonts w:asciiTheme="majorHAnsi" w:hAnsiTheme="majorHAnsi"/>
                          <w:color w:val="0D0D0D" w:themeColor="text1" w:themeTint="F2"/>
                          <w:sz w:val="18"/>
                          <w:szCs w:val="20"/>
                        </w:rPr>
                        <w:t>January 5, 2021</w:t>
                      </w:r>
                      <w:r w:rsidR="00AE79DA">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E20B49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85849">
                              <w:rPr>
                                <w:rFonts w:asciiTheme="majorHAnsi" w:hAnsiTheme="majorHAnsi"/>
                                <w:color w:val="595959" w:themeColor="text1" w:themeTint="A6"/>
                                <w:sz w:val="18"/>
                              </w:rPr>
                              <w:t>4</w:t>
                            </w:r>
                            <w:r w:rsidR="00022CF5">
                              <w:rPr>
                                <w:rFonts w:asciiTheme="majorHAnsi" w:hAnsiTheme="majorHAnsi"/>
                                <w:color w:val="595959" w:themeColor="text1" w:themeTint="A6"/>
                                <w:sz w:val="18"/>
                              </w:rPr>
                              <w:t>/</w:t>
                            </w:r>
                            <w:r w:rsidR="00A85849">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proofErr w:type="gramStart"/>
                            <w:r w:rsidR="00A85849">
                              <w:rPr>
                                <w:rFonts w:asciiTheme="majorHAnsi" w:hAnsiTheme="majorHAnsi"/>
                                <w:color w:val="595959" w:themeColor="text1" w:themeTint="A6"/>
                                <w:sz w:val="18"/>
                              </w:rPr>
                              <w:t>Petition</w:t>
                            </w:r>
                            <w:proofErr w:type="gramEnd"/>
                            <w:r w:rsidR="00A85849">
                              <w:rPr>
                                <w:rFonts w:asciiTheme="majorHAnsi" w:hAnsiTheme="majorHAnsi"/>
                                <w:color w:val="595959" w:themeColor="text1" w:themeTint="A6"/>
                                <w:sz w:val="18"/>
                              </w:rPr>
                              <w:t xml:space="preserve"> 797</w:t>
                            </w:r>
                            <w:r w:rsidR="00F621C3">
                              <w:rPr>
                                <w:rFonts w:asciiTheme="majorHAnsi" w:hAnsiTheme="majorHAnsi"/>
                                <w:color w:val="595959" w:themeColor="text1" w:themeTint="A6"/>
                                <w:sz w:val="18"/>
                              </w:rPr>
                              <w:t>-</w:t>
                            </w:r>
                            <w:r w:rsidR="00A85849">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A85849">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Savoy Robinson</w:t>
                            </w:r>
                            <w:r w:rsidRPr="003C32BC">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January 5,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E20B49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85849">
                        <w:rPr>
                          <w:rFonts w:asciiTheme="majorHAnsi" w:hAnsiTheme="majorHAnsi"/>
                          <w:color w:val="595959" w:themeColor="text1" w:themeTint="A6"/>
                          <w:sz w:val="18"/>
                        </w:rPr>
                        <w:t>4</w:t>
                      </w:r>
                      <w:r w:rsidR="00022CF5">
                        <w:rPr>
                          <w:rFonts w:asciiTheme="majorHAnsi" w:hAnsiTheme="majorHAnsi"/>
                          <w:color w:val="595959" w:themeColor="text1" w:themeTint="A6"/>
                          <w:sz w:val="18"/>
                        </w:rPr>
                        <w:t>/</w:t>
                      </w:r>
                      <w:r w:rsidR="00A85849">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Petition 797</w:t>
                      </w:r>
                      <w:r w:rsidR="00F621C3">
                        <w:rPr>
                          <w:rFonts w:asciiTheme="majorHAnsi" w:hAnsiTheme="majorHAnsi"/>
                          <w:color w:val="595959" w:themeColor="text1" w:themeTint="A6"/>
                          <w:sz w:val="18"/>
                        </w:rPr>
                        <w:t>-</w:t>
                      </w:r>
                      <w:r w:rsidR="00A85849">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A85849">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Savoy Robinson</w:t>
                      </w:r>
                      <w:r w:rsidRPr="003C32BC">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A85849">
                        <w:rPr>
                          <w:rFonts w:asciiTheme="majorHAnsi" w:hAnsiTheme="majorHAnsi"/>
                          <w:color w:val="595959" w:themeColor="text1" w:themeTint="A6"/>
                          <w:sz w:val="18"/>
                        </w:rPr>
                        <w:t>January 5, 2021</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904EC3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8584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6904EC3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8584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9587C03" w:rsidR="00F621C3" w:rsidRPr="000B6B7A" w:rsidRDefault="001F0D04" w:rsidP="009163FC">
            <w:pPr>
              <w:jc w:val="both"/>
              <w:rPr>
                <w:rFonts w:ascii="Cambria" w:hAnsi="Cambria"/>
                <w:bCs/>
                <w:sz w:val="20"/>
                <w:szCs w:val="20"/>
              </w:rPr>
            </w:pPr>
            <w:r>
              <w:rPr>
                <w:rFonts w:ascii="Cambria" w:hAnsi="Cambria"/>
                <w:bCs/>
                <w:sz w:val="20"/>
                <w:szCs w:val="20"/>
              </w:rPr>
              <w:t>Savoy Robinson</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3F4DD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1AA52C0" w:rsidR="00F621C3" w:rsidRPr="000B6B7A" w:rsidRDefault="001F0D04" w:rsidP="009163FC">
            <w:pPr>
              <w:jc w:val="both"/>
              <w:rPr>
                <w:rFonts w:ascii="Cambria" w:hAnsi="Cambria"/>
                <w:bCs/>
                <w:sz w:val="20"/>
                <w:szCs w:val="20"/>
              </w:rPr>
            </w:pPr>
            <w:r>
              <w:rPr>
                <w:rFonts w:ascii="Cambria" w:hAnsi="Cambria"/>
                <w:bCs/>
                <w:sz w:val="20"/>
                <w:szCs w:val="20"/>
              </w:rPr>
              <w:t>Savoy Robinson</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BEDD598" w:rsidR="00F621C3" w:rsidRPr="000B6B7A" w:rsidRDefault="001F0D04" w:rsidP="009163FC">
            <w:pPr>
              <w:jc w:val="both"/>
              <w:rPr>
                <w:rFonts w:ascii="Cambria" w:hAnsi="Cambria"/>
                <w:bCs/>
                <w:sz w:val="20"/>
                <w:szCs w:val="20"/>
              </w:rPr>
            </w:pPr>
            <w:r w:rsidRPr="001F0D04">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53C078B" w:rsidR="00E47F3D" w:rsidRPr="000B6B7A" w:rsidRDefault="00107AF5" w:rsidP="00107AF5">
            <w:pPr>
              <w:jc w:val="both"/>
              <w:rPr>
                <w:rFonts w:ascii="Cambria" w:hAnsi="Cambria"/>
                <w:bCs/>
                <w:sz w:val="20"/>
                <w:szCs w:val="20"/>
              </w:rPr>
            </w:pPr>
            <w:r w:rsidRPr="00107AF5">
              <w:rPr>
                <w:rFonts w:ascii="Cambria" w:hAnsi="Cambria"/>
                <w:bCs/>
                <w:sz w:val="20"/>
                <w:szCs w:val="20"/>
              </w:rPr>
              <w:t>Articles I</w:t>
            </w:r>
            <w:r>
              <w:rPr>
                <w:rFonts w:ascii="Cambria" w:hAnsi="Cambria"/>
                <w:bCs/>
                <w:sz w:val="20"/>
                <w:szCs w:val="20"/>
              </w:rPr>
              <w:t xml:space="preserve"> (right to liberty)</w:t>
            </w:r>
            <w:r w:rsidRPr="00107AF5">
              <w:rPr>
                <w:rFonts w:ascii="Cambria" w:hAnsi="Cambria"/>
                <w:bCs/>
                <w:sz w:val="20"/>
                <w:szCs w:val="20"/>
              </w:rPr>
              <w:t>, II</w:t>
            </w:r>
            <w:r>
              <w:rPr>
                <w:rFonts w:ascii="Cambria" w:hAnsi="Cambria"/>
                <w:bCs/>
                <w:sz w:val="20"/>
                <w:szCs w:val="20"/>
              </w:rPr>
              <w:t xml:space="preserve"> (r</w:t>
            </w:r>
            <w:r w:rsidRPr="00107AF5">
              <w:rPr>
                <w:rFonts w:ascii="Cambria" w:hAnsi="Cambria"/>
                <w:bCs/>
                <w:sz w:val="20"/>
                <w:szCs w:val="20"/>
              </w:rPr>
              <w:t>ight to equality before law), XVIII</w:t>
            </w:r>
            <w:r w:rsidR="00870123">
              <w:rPr>
                <w:rFonts w:ascii="Cambria" w:hAnsi="Cambria"/>
                <w:bCs/>
                <w:sz w:val="20"/>
                <w:szCs w:val="20"/>
              </w:rPr>
              <w:t xml:space="preserve"> (right to a fair trial) </w:t>
            </w:r>
            <w:r w:rsidRPr="00107AF5">
              <w:rPr>
                <w:rFonts w:ascii="Cambria" w:hAnsi="Cambria"/>
                <w:bCs/>
                <w:sz w:val="20"/>
                <w:szCs w:val="20"/>
              </w:rPr>
              <w:t>and XXVI</w:t>
            </w:r>
            <w:r w:rsidR="00870123">
              <w:rPr>
                <w:rFonts w:ascii="Cambria" w:hAnsi="Cambria"/>
                <w:bCs/>
                <w:sz w:val="20"/>
                <w:szCs w:val="20"/>
              </w:rPr>
              <w:t xml:space="preserve"> (r</w:t>
            </w:r>
            <w:r w:rsidR="00870123" w:rsidRPr="00870123">
              <w:rPr>
                <w:rFonts w:ascii="Cambria" w:hAnsi="Cambria"/>
                <w:bCs/>
                <w:sz w:val="20"/>
                <w:szCs w:val="20"/>
              </w:rPr>
              <w:t>ight to due process of law)</w:t>
            </w:r>
            <w:r w:rsidR="00870123">
              <w:rPr>
                <w:rFonts w:ascii="Cambria" w:hAnsi="Cambria"/>
                <w:bCs/>
                <w:sz w:val="20"/>
                <w:szCs w:val="20"/>
              </w:rPr>
              <w:t xml:space="preserve"> </w:t>
            </w:r>
            <w:r w:rsidR="00870123" w:rsidRPr="00870123">
              <w:rPr>
                <w:rFonts w:ascii="Cambria" w:hAnsi="Cambria"/>
                <w:bCs/>
                <w:sz w:val="20"/>
                <w:szCs w:val="20"/>
              </w:rPr>
              <w:t>of the American Declaration of the Rights and Duties of Man</w:t>
            </w:r>
            <w:r w:rsidR="00870123">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5E7C8E7" w:rsidR="00F621C3" w:rsidRPr="000B6B7A" w:rsidRDefault="00F6422A" w:rsidP="009163FC">
            <w:pPr>
              <w:jc w:val="both"/>
              <w:rPr>
                <w:rFonts w:ascii="Cambria" w:hAnsi="Cambria"/>
                <w:bCs/>
                <w:sz w:val="20"/>
                <w:szCs w:val="20"/>
              </w:rPr>
            </w:pPr>
            <w:r w:rsidRPr="00F6422A">
              <w:rPr>
                <w:rFonts w:ascii="Cambria" w:hAnsi="Cambria"/>
                <w:bCs/>
                <w:sz w:val="20"/>
                <w:szCs w:val="20"/>
              </w:rPr>
              <w:t>April 27 2012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BB7CAC9" w:rsidR="00F621C3" w:rsidRPr="000B6B7A" w:rsidRDefault="000F3805" w:rsidP="009163FC">
            <w:pPr>
              <w:jc w:val="both"/>
              <w:rPr>
                <w:rFonts w:ascii="Cambria" w:hAnsi="Cambria"/>
                <w:bCs/>
                <w:sz w:val="20"/>
                <w:szCs w:val="20"/>
              </w:rPr>
            </w:pPr>
            <w:r>
              <w:rPr>
                <w:rFonts w:ascii="Cambria" w:hAnsi="Cambria"/>
                <w:bCs/>
                <w:sz w:val="20"/>
                <w:szCs w:val="20"/>
              </w:rPr>
              <w:t>January 15, 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BA75181" w:rsidR="00F621C3" w:rsidRPr="000B6B7A" w:rsidRDefault="000F3805" w:rsidP="009163FC">
            <w:pPr>
              <w:jc w:val="both"/>
              <w:rPr>
                <w:rFonts w:ascii="Cambria" w:hAnsi="Cambria"/>
                <w:bCs/>
                <w:sz w:val="20"/>
                <w:szCs w:val="20"/>
              </w:rPr>
            </w:pPr>
            <w:r>
              <w:rPr>
                <w:rFonts w:ascii="Cambria" w:hAnsi="Cambria"/>
                <w:bCs/>
                <w:sz w:val="20"/>
                <w:szCs w:val="20"/>
              </w:rPr>
              <w:t>September 8,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696A9FC5" w:rsidR="00F621C3" w:rsidRPr="000B6B7A" w:rsidRDefault="001F0D0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4CFE5C5B" w:rsidR="00F621C3" w:rsidRPr="000B6B7A" w:rsidRDefault="001F0D0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40DB0E0C" w:rsidR="00F621C3" w:rsidRPr="000B6B7A" w:rsidRDefault="001F0D04"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0067480F" w:rsidR="00F621C3" w:rsidRPr="000B6B7A" w:rsidRDefault="00870123" w:rsidP="00870123">
            <w:pPr>
              <w:jc w:val="both"/>
              <w:rPr>
                <w:rFonts w:asciiTheme="majorHAnsi" w:hAnsiTheme="majorHAnsi"/>
                <w:bCs/>
                <w:sz w:val="20"/>
                <w:szCs w:val="20"/>
              </w:rPr>
            </w:pPr>
            <w:r w:rsidRPr="00870123">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C9F6068" w:rsidR="00F621C3" w:rsidRPr="000B6B7A" w:rsidRDefault="00870123"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5ABD32E9" w:rsidR="00F621C3" w:rsidRPr="000B6B7A" w:rsidRDefault="00870123"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1E5A18C9" w14:textId="33CEF2F5" w:rsidR="000F3805" w:rsidRPr="000B6B7A" w:rsidRDefault="000F3805" w:rsidP="009163FC">
            <w:pPr>
              <w:rPr>
                <w:rFonts w:ascii="Cambria" w:hAnsi="Cambria"/>
                <w:bCs/>
                <w:sz w:val="20"/>
                <w:szCs w:val="20"/>
              </w:rPr>
            </w:pPr>
            <w:r w:rsidRPr="000F3805">
              <w:rPr>
                <w:rFonts w:ascii="Cambria" w:hAnsi="Cambria"/>
                <w:bCs/>
                <w:sz w:val="20"/>
                <w:szCs w:val="20"/>
              </w:rPr>
              <w:t>Yes (in terms of Section VI)</w:t>
            </w:r>
          </w:p>
          <w:p w14:paraId="432DC56B" w14:textId="674A09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9074630" w:rsidR="00F621C3" w:rsidRPr="000B6B7A" w:rsidRDefault="000F3805" w:rsidP="009163FC">
            <w:pPr>
              <w:rPr>
                <w:rFonts w:asciiTheme="majorHAnsi" w:hAnsiTheme="majorHAnsi"/>
                <w:bCs/>
                <w:sz w:val="20"/>
                <w:szCs w:val="20"/>
              </w:rPr>
            </w:pPr>
            <w:r w:rsidRPr="000F3805">
              <w:rPr>
                <w:rFonts w:asciiTheme="majorHAnsi" w:hAnsiTheme="majorHAnsi"/>
                <w:bCs/>
                <w:sz w:val="20"/>
                <w:szCs w:val="20"/>
              </w:rPr>
              <w:t>Yes (in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953F7A4" w14:textId="547EC98C" w:rsidR="00F621C3" w:rsidRPr="00814711" w:rsidRDefault="001F0D04" w:rsidP="001F0D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0D04">
        <w:rPr>
          <w:rFonts w:ascii="Cambria" w:hAnsi="Cambria"/>
          <w:sz w:val="20"/>
          <w:szCs w:val="20"/>
        </w:rPr>
        <w:t>This petition deals primarily with allegations of due process violations during criminal proceedings against the petitioner and alleged victim Savoy Robinson</w:t>
      </w:r>
      <w:r>
        <w:rPr>
          <w:rStyle w:val="FootnoteReference"/>
          <w:rFonts w:ascii="Cambria" w:hAnsi="Cambria"/>
          <w:sz w:val="20"/>
          <w:szCs w:val="20"/>
        </w:rPr>
        <w:footnoteReference w:id="5"/>
      </w:r>
      <w:r w:rsidRPr="001F0D04">
        <w:rPr>
          <w:rFonts w:ascii="Cambria" w:hAnsi="Cambria"/>
          <w:sz w:val="20"/>
          <w:szCs w:val="20"/>
        </w:rPr>
        <w:t xml:space="preserve">  who was ultimately convicted of first degree murder and possession of an instrument of crime. </w:t>
      </w:r>
    </w:p>
    <w:p w14:paraId="734E677C" w14:textId="1E9EF9B0" w:rsidR="00C84D0A" w:rsidRDefault="001F0D04" w:rsidP="001F0D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0D04">
        <w:rPr>
          <w:rFonts w:ascii="Cambria" w:hAnsi="Cambria"/>
          <w:sz w:val="20"/>
          <w:szCs w:val="20"/>
        </w:rPr>
        <w:t xml:space="preserve">According to the petition, in July 2004, the alleged victim, an African-American, was living in a half-way house called Coleman Hall, in Philadelphia, Pennsylvania.  This facility housed men who had been released on parole.  The petition indicates that Geary Turner, another resident of the facility, was fatally shot in his room on July 11, 2004.    The petitioner states that (a) he was subsequently arrested and prosecuted for the murder of Geary Turner (“Mr. Turner”); (b) on February 3, 2005 he was convicted (before </w:t>
      </w:r>
      <w:r w:rsidR="006E60EC">
        <w:rPr>
          <w:rFonts w:ascii="Cambria" w:hAnsi="Cambria"/>
          <w:sz w:val="20"/>
          <w:szCs w:val="20"/>
        </w:rPr>
        <w:t xml:space="preserve">the </w:t>
      </w:r>
      <w:r w:rsidRPr="001F0D04">
        <w:rPr>
          <w:rFonts w:ascii="Cambria" w:hAnsi="Cambria"/>
          <w:sz w:val="20"/>
          <w:szCs w:val="20"/>
        </w:rPr>
        <w:t xml:space="preserve">Court of Common Pleas for the First Judicial District in Philadelphia) of the first degree murder of Mr. Turner and simultaneously for the possession of an instrument of crime; </w:t>
      </w:r>
      <w:r w:rsidR="006E60EC">
        <w:rPr>
          <w:rFonts w:ascii="Cambria" w:hAnsi="Cambria"/>
          <w:sz w:val="20"/>
          <w:szCs w:val="20"/>
        </w:rPr>
        <w:t xml:space="preserve">and </w:t>
      </w:r>
      <w:r w:rsidRPr="001F0D04">
        <w:rPr>
          <w:rFonts w:ascii="Cambria" w:hAnsi="Cambria"/>
          <w:sz w:val="20"/>
          <w:szCs w:val="20"/>
        </w:rPr>
        <w:t xml:space="preserve">(c) that on April 13, 2005, he was sentenced </w:t>
      </w:r>
      <w:r w:rsidRPr="001F0D04">
        <w:rPr>
          <w:rFonts w:ascii="Cambria" w:hAnsi="Cambria"/>
          <w:sz w:val="20"/>
          <w:szCs w:val="20"/>
        </w:rPr>
        <w:lastRenderedPageBreak/>
        <w:t>to life imprisonment (for murder) plus a consecutive term 2.5 to 5 years (for possession of an instrument of crime).</w:t>
      </w:r>
    </w:p>
    <w:p w14:paraId="10FB4295" w14:textId="02AE1D09" w:rsidR="001F0D04"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 xml:space="preserve">According to the petitioner, </w:t>
      </w:r>
      <w:r w:rsidR="000F3805">
        <w:rPr>
          <w:rFonts w:ascii="Cambria" w:hAnsi="Cambria"/>
          <w:sz w:val="20"/>
          <w:szCs w:val="20"/>
        </w:rPr>
        <w:t>the</w:t>
      </w:r>
      <w:r w:rsidRPr="006E60EC">
        <w:rPr>
          <w:rFonts w:ascii="Cambria" w:hAnsi="Cambria"/>
          <w:sz w:val="20"/>
          <w:szCs w:val="20"/>
        </w:rPr>
        <w:t xml:space="preserve"> lawfulness of his conviction was vitiated by (a) withholding of videotape evidence by the prosecution; and (b) ineffective assistance of trial counsel.  The petitioner also contends that in subsequent appellate processes, he was also denied effective assistance of counsel.</w:t>
      </w:r>
    </w:p>
    <w:p w14:paraId="5DB27795" w14:textId="3A2FEBC5"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 xml:space="preserve">According to the petitioner there was a videotape that was generated by a surveillance camera on the day of the murder which the petitioner claims was ultimately exculpatory.  In this respect, the petitioner claims that the videotape showed (a) that the murder victim was alive and well, walking down hallway with an iron in his hand, and that he entered his room 1025 (where he was subsequently shot); (b) other Coleman Hall residents were in the company of Mr. Turner during and after the shooting; (c) there was a trail of bloody foot prints from the Mr. Turner’s room to a nearby room (room 1029); (d) that the petitioner was not recorded in the company of the accused before or during the shooting of deceased.  </w:t>
      </w:r>
    </w:p>
    <w:p w14:paraId="5B74A9B9" w14:textId="78CBBBEB"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With respect to the petitioner’s claims of ineffectiveness of trial counsel, the petitioner states that he initially instructed counsel that he had acted in self-defense.  However, he claims that (a) counsel is not obliged to act on this if there were more plausible defenses; (b) that trial counsel “erroneously believed he was required to present the version of events that his frightened, inexperienced, and confused client was telling him”.  The petitioner claims that the prosecution provided a list of documents to trial counsel that included a reference to the videotape.  The petitioner also contends that trial counsel generally failed to investigate the information/evidence provided by the State or to procure the videotape.  In this regard, the petitioner alleges that there was no DNA testing on the shoes and sneakers of the occupants of the room 1029 to compare with the bloody footprints (in the hallway between rooms 1025 and 1029); and that trial counsel failed to challenge this during the course of the trial.   The petitioner also claims that he was coerced into giving a false confession to the police, but that trial counsel failed to take steps to have it suppressed.</w:t>
      </w:r>
    </w:p>
    <w:p w14:paraId="3AF5297F" w14:textId="2D04A8FB"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The petitioner also complains that on appeal to the Pennsylvania Superior Court, his appellate counsel rendered ineffective assistance by submitting a “procedurally defective brief”; and also “demonstrated a conflict of interest” when he sent a letter to petitioner that read “Unfortunately, you seem dissatisfied with my sterling efforts on your behalf.  I tried my best. Unfortunately, you killed your roommate.  That is all that can be said.  Best of luck in prison.”</w:t>
      </w:r>
    </w:p>
    <w:p w14:paraId="26D3822C" w14:textId="0C458D89"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The petitioner contends that he unsuccessfully invoked and exhausted various appellate and post-conviction remedies between 2006 and 2012.  These remedies include (a) appeal to the Pennsylvania Superior Court – filed March 23, 2006, and dismissed on November 14, 2006; (b) appeal to the Pennsylvania Supreme Court – filed November 30, 2006, and dismissed on May 15, 2007; (c) Petition to the Pennsylvania Court of Common Pleas pursuant to Pennsylvania’s Post Conviction Relief Act (PCRA) - filed on July 10, 2007 and denied on October 3, 2008; (d) appeal (of PCRA decision) to the Pennsylvania Superior Court which was  denied on November 24, 2009; (e) application for habeas corpus in US District Court on January 20, 2010 which was denied on May 26, 2011;  (f) appeal to US Court of Appeals on November 10, 2011 which was  denied on February 7 2012; and (g) petition for certiorari to the US Supreme Court which was denied on April 16, 2012.</w:t>
      </w:r>
    </w:p>
    <w:p w14:paraId="635384F4" w14:textId="6F4728E9"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The petitioner also generally complains that in the United States, poor African Americans are systematically denied due process and equal protection of the law and are often sentenced to life imprisonment as a means of ethnic population control.</w:t>
      </w:r>
    </w:p>
    <w:p w14:paraId="17F955C7" w14:textId="168B75F2"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The State rejects the petition primarily on the basis of (a) failure to exhaust domestic remedies; (b) to state facts that tend to establish a violation of the American Declaration; and (c) adjudication of the petition would constitute a violation of the Commission’s fourth instance formula.</w:t>
      </w:r>
    </w:p>
    <w:p w14:paraId="7F387863" w14:textId="5890979C"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 xml:space="preserve">By way of background, the State presents a narrative that is largely at variance with the petitioner’s narrative.  According to the State, on July 11, 2004, the petitioner shot his roommate, Geary Turner, at Coleman Hall Transitional Housing Facility, a halfway house in North Philadelphia, Pennsylvania, where both men were living after being released from prison on parole. A police officer arrived at the facility at 8:00 a.m. </w:t>
      </w:r>
      <w:r w:rsidRPr="006E60EC">
        <w:rPr>
          <w:rFonts w:ascii="Cambria" w:hAnsi="Cambria"/>
          <w:sz w:val="20"/>
          <w:szCs w:val="20"/>
        </w:rPr>
        <w:lastRenderedPageBreak/>
        <w:t>and observed a bullet hole in the center of Turner’s chest. Turner was pronounced dead at 8:10 a.m. All parolees of Coleman Hall were secured in their rooms at that time except for Mr. Robinson, who fled to his brother’s house in Northeast Philadelphia. The following day, law enforcement officials arrived at the home and negotiated with Mr. Robinson for two hours before he finally surrendered.  Once in custody, Mr. Robinson told one of the police officers that “he had a beef” with Turner and that “he had to do what he had to do.” He also told the officers that he hid the murder weapon, a nine millimeter pistol, inside a shoebox in his brother’s house. Mr. Robinson was then taken to the police station and informed both orally and in writing of his rights under the Fifth and Sixth Amendments to the U.S. Constitution, as interpreted by the U.S. Supreme Court in Miranda v. Arizona (“Miranda rights”)—that is, the right against self-incrimination and the right to have an attorney present during police questioning. He agreed to make a statement to police and signed a Miranda waiver form. Mr. Robinson then recounted to detectives that Turner had threatened him, that Turner initiated an altercation against him, and that Turner also had a gun. Shortly after his arrest, Mr. Robinson called his parole agent, a state official that supervises and counsels parolees, and stated that “I didn’t have a choice, I had to do this”.</w:t>
      </w:r>
    </w:p>
    <w:p w14:paraId="3E15180F" w14:textId="3F3FE8B5"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 xml:space="preserve">According to the State, Pennsylvania state prosecutors charged Mr. Robinson </w:t>
      </w:r>
      <w:r>
        <w:rPr>
          <w:rFonts w:ascii="Cambria" w:hAnsi="Cambria"/>
          <w:sz w:val="20"/>
          <w:szCs w:val="20"/>
        </w:rPr>
        <w:t xml:space="preserve">with </w:t>
      </w:r>
      <w:r w:rsidRPr="006E60EC">
        <w:rPr>
          <w:rFonts w:ascii="Cambria" w:hAnsi="Cambria"/>
          <w:sz w:val="20"/>
          <w:szCs w:val="20"/>
        </w:rPr>
        <w:t>first-degree murder</w:t>
      </w:r>
      <w:r>
        <w:rPr>
          <w:rFonts w:ascii="Cambria" w:hAnsi="Cambria"/>
          <w:sz w:val="20"/>
          <w:szCs w:val="20"/>
        </w:rPr>
        <w:t xml:space="preserve"> and possession of an instrument of crime. The State further indicates that the </w:t>
      </w:r>
      <w:r w:rsidR="002C2025">
        <w:rPr>
          <w:rFonts w:ascii="Cambria" w:hAnsi="Cambria"/>
          <w:sz w:val="20"/>
          <w:szCs w:val="20"/>
        </w:rPr>
        <w:t xml:space="preserve">petitioner’s </w:t>
      </w:r>
      <w:r w:rsidR="002C2025" w:rsidRPr="006E60EC">
        <w:rPr>
          <w:rFonts w:ascii="Cambria" w:hAnsi="Cambria"/>
          <w:sz w:val="20"/>
          <w:szCs w:val="20"/>
        </w:rPr>
        <w:t>case</w:t>
      </w:r>
      <w:r w:rsidRPr="006E60EC">
        <w:rPr>
          <w:rFonts w:ascii="Cambria" w:hAnsi="Cambria"/>
          <w:sz w:val="20"/>
          <w:szCs w:val="20"/>
        </w:rPr>
        <w:t xml:space="preserve"> went to a jury trial in the Court of Common Pleas for the First Judicial District in Philadelphia, a Pennsylvania state trial court. At trial, Mr. Robinson testified that he shot and killed Turner in self-defense. Ultimately, a Philadelphia jury concluded in February 2005 that Mr. Robinson was guilty of first-degree murder and a second crime called possession of an instrument of a crime. The Court of Common Pleas sentenced him in April 2005 to consecutive terms of life imprisonment for the crime of murder and 30 to 60 months for the crime of possessing an instrument of crime.</w:t>
      </w:r>
    </w:p>
    <w:p w14:paraId="6EDA7D85" w14:textId="69404C35" w:rsidR="006E60EC" w:rsidRDefault="006E60EC" w:rsidP="006E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60EC">
        <w:rPr>
          <w:rFonts w:ascii="Cambria" w:hAnsi="Cambria"/>
          <w:sz w:val="20"/>
          <w:szCs w:val="20"/>
        </w:rPr>
        <w:t>With respect to exhaustion of domestic remedies, the State contends that following his conviction Mr. Robinson subsequently benefited from an extensive judicial review process in both state and federal court which so far have affirmed his conviction.  The State acknowledges (as stated by the petitioner) that between 2005 and 2012, Mr. Robinson initiated a number of appeals and post-conviction proceedings (up to the US Supreme Court) which were all dismissed</w:t>
      </w:r>
      <w:r w:rsidR="002C2025">
        <w:rPr>
          <w:rStyle w:val="FootnoteReference"/>
          <w:rFonts w:ascii="Cambria" w:hAnsi="Cambria"/>
          <w:sz w:val="20"/>
          <w:szCs w:val="20"/>
        </w:rPr>
        <w:footnoteReference w:id="6"/>
      </w:r>
      <w:r w:rsidRPr="006E60EC">
        <w:rPr>
          <w:rFonts w:ascii="Cambria" w:hAnsi="Cambria"/>
          <w:sz w:val="20"/>
          <w:szCs w:val="20"/>
        </w:rPr>
        <w:t xml:space="preserve"> .  The State also indicates that between 2013 and 2016, the petitioner continued to litigate claims concerning his conviction.  In this regard, the State indicates that the petitioner filed a new, PCRA petition that was dismissed by the Pennsylvania trial court in December 2013, a decision that was ultimately affirmed by the Superior Court of Pennsylvania in January 2015. In response, Mr. Robinson filed yet another PCRA petition, which was also dismissed by the Pennsylvania trial court in July 2015, and ultimately affirmed by the Superior Court of Pennsylvania in February 2016. Mr. Robinson then filed another application for writ of certiorari to the U.S. Supreme Court, in July 2016 which the State alleges is still pending resolution.  Given the foregoing, the State argues that the incompletion of domestic proceedings pursued by the petitioner signifies that he has not effectively exhausted domestic remedies.</w:t>
      </w:r>
    </w:p>
    <w:p w14:paraId="62B86AFD" w14:textId="40267F33" w:rsidR="002C2025" w:rsidRDefault="002C2025" w:rsidP="002C20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2025">
        <w:rPr>
          <w:rFonts w:ascii="Cambria" w:hAnsi="Cambria"/>
          <w:sz w:val="20"/>
          <w:szCs w:val="20"/>
        </w:rPr>
        <w:t>The State rejects the petitioner’s claims as manifestly unfounded.  With regard to the petitioner’s claim about the videotape evidence, the State contends that there is no evidence substantiate the allegation that prosecuting officials suppressed the videotape.  To the contrary, the State contends that domestic tribunals have rejected this claim and found that the videotape was disclosed and discussed at Mr. Robinson’s trial, in Mr. Robinson’s presence</w:t>
      </w:r>
      <w:r>
        <w:rPr>
          <w:rStyle w:val="FootnoteReference"/>
          <w:rFonts w:ascii="Cambria" w:hAnsi="Cambria"/>
          <w:sz w:val="20"/>
          <w:szCs w:val="20"/>
        </w:rPr>
        <w:footnoteReference w:id="7"/>
      </w:r>
      <w:r w:rsidRPr="002C2025">
        <w:rPr>
          <w:rFonts w:ascii="Cambria" w:hAnsi="Cambria"/>
          <w:sz w:val="20"/>
          <w:szCs w:val="20"/>
        </w:rPr>
        <w:t xml:space="preserve"> .   The State further argues that the petition itself concedes that the videotape was placed on a property receipt that was specifically disclosed to defense counsel.</w:t>
      </w:r>
    </w:p>
    <w:p w14:paraId="1FEAA81D" w14:textId="4585A5E3" w:rsidR="002C2025" w:rsidRDefault="002C2025" w:rsidP="002C20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2025">
        <w:rPr>
          <w:rFonts w:ascii="Cambria" w:hAnsi="Cambria"/>
          <w:sz w:val="20"/>
          <w:szCs w:val="20"/>
        </w:rPr>
        <w:lastRenderedPageBreak/>
        <w:t>The State similarly rejects (as groundless) the petitioners claims about ineffectiveness of counsel (trial and appellate).   Generally, the State argues that this issue has been litigated before the domestic courts and been rejected.   With respect to alleged ineffectiveness of trial counsel, the State rejects the petitioner’s complaint regarding the defense of self-defense proffered at his trial by his counsel.  In this regard, the State contends that (a) the petitioner agreed to a strategy of self—defense (and there is no evidence that Mr. Robinson disagreed with trial counsel’s assessment that a theory of self-defense offered the best chance of acquittal; (b) the petitioner has not offered any alternative legal theories that could realistically have led to his acquittal</w:t>
      </w:r>
      <w:r>
        <w:rPr>
          <w:rFonts w:ascii="Cambria" w:hAnsi="Cambria"/>
          <w:sz w:val="20"/>
          <w:szCs w:val="20"/>
        </w:rPr>
        <w:t>;  and (c) the petitioner</w:t>
      </w:r>
      <w:r w:rsidRPr="002C2025">
        <w:rPr>
          <w:rFonts w:ascii="Cambria" w:hAnsi="Cambria"/>
          <w:sz w:val="20"/>
          <w:szCs w:val="20"/>
        </w:rPr>
        <w:t xml:space="preserve"> chose to take the stand at this trial (which he was not required to) and testified that he shot Mr. Turner in self-defense.   The State further notes that petitioner had previously made statements to the police that he had shot Mr. Turner in self-defense.  Further, the State argues that there was uncontested evidence (before the domestic courts) that the weapon used to shoot Mr. Turner was found inside the petitioner’s brother’s home after the petitioner directed the police to that location.</w:t>
      </w:r>
    </w:p>
    <w:p w14:paraId="20126605" w14:textId="3EFBBEE1" w:rsidR="002C2025" w:rsidRDefault="000674BD" w:rsidP="000674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74BD">
        <w:rPr>
          <w:rFonts w:ascii="Cambria" w:hAnsi="Cambria"/>
          <w:sz w:val="20"/>
          <w:szCs w:val="20"/>
        </w:rPr>
        <w:t xml:space="preserve">With respect to appellate counsel, the State contends that there is no evidence of ineffectiveness. </w:t>
      </w:r>
      <w:r>
        <w:rPr>
          <w:rFonts w:ascii="Cambria" w:hAnsi="Cambria"/>
          <w:sz w:val="20"/>
          <w:szCs w:val="20"/>
        </w:rPr>
        <w:t xml:space="preserve"> The </w:t>
      </w:r>
      <w:r w:rsidRPr="000674BD">
        <w:rPr>
          <w:rFonts w:ascii="Cambria" w:hAnsi="Cambria"/>
          <w:sz w:val="20"/>
          <w:szCs w:val="20"/>
        </w:rPr>
        <w:t>State notes that the petitioner claims that appellate counsel filed a “procedural defective brief”, but that the petitioner has failed to substantiate this claim.  In any event the State argues that the fact that the petitioner’s claims were fully heard by the Superior Court of Pennsylvania on its merits is conclusively demonstrates that even if there were a procedural defect in the brief, it did not inhibit the court from rendering a judgment.  Accordingly, any “procedural defect” if it did exist, was immaterial.   The State also rejects the petitioner’s claim that appellate counsel had a conflict of interest. The State notes that the petitioner bases this claim on a letter</w:t>
      </w:r>
      <w:r>
        <w:rPr>
          <w:rStyle w:val="FootnoteReference"/>
          <w:rFonts w:ascii="Cambria" w:hAnsi="Cambria"/>
          <w:sz w:val="20"/>
          <w:szCs w:val="20"/>
        </w:rPr>
        <w:footnoteReference w:id="8"/>
      </w:r>
      <w:r w:rsidRPr="000674BD">
        <w:rPr>
          <w:rFonts w:ascii="Cambria" w:hAnsi="Cambria"/>
          <w:sz w:val="20"/>
          <w:szCs w:val="20"/>
        </w:rPr>
        <w:t xml:space="preserve">  received from appellate counsel in December 2006, a month after the petitioner’s conviction was affirmed by the Superior Court of Pennsylvania.   The State argues that while this letter might demonstrate appellate counsel’s frustration with the petitioner after the fact, it shows no interest of appellate counsel that would have come into conflict with his defense of Mr. Robinson on appeal.  Further, the State contends that this evidence is completely irrelevant to counsel’s effectiveness in preparing and presenting the petitioner’s appeal.  Ultimately, the State contends that this issue has been repeatedly considered and rejected by US courts</w:t>
      </w:r>
      <w:r>
        <w:rPr>
          <w:rFonts w:ascii="Cambria" w:hAnsi="Cambria"/>
          <w:sz w:val="20"/>
          <w:szCs w:val="20"/>
        </w:rPr>
        <w:t>.</w:t>
      </w:r>
    </w:p>
    <w:p w14:paraId="5AD690C2" w14:textId="615DAB4F" w:rsidR="000674BD" w:rsidRDefault="000674BD" w:rsidP="000674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74BD">
        <w:rPr>
          <w:rFonts w:ascii="Cambria" w:hAnsi="Cambria"/>
          <w:sz w:val="20"/>
          <w:szCs w:val="20"/>
        </w:rPr>
        <w:t>Regarding the petitioner’s claim about systematic discrimination against African-Americans, the State argues that petitioner has presented no evidence to support this claim, within the context of the criminal proceedings against him.  In this regard, the State further contends that there is no evidence that the trial judge (who was African-American) or the jury at this trial exhibited any hostility to the petitioner; or that the State of Pennsylvania is generally hostile to African-Americans. The State also submits that the Commission’s jurisdiction is limited to addressing concrete violations of the rights of individuals, and that a petition is not the appropriate mechanism for adjudicating general allegations about racially discriminatory application of criminal laws in the State.</w:t>
      </w:r>
    </w:p>
    <w:p w14:paraId="6181D7B4" w14:textId="44780EF7" w:rsidR="000674BD" w:rsidRPr="000674BD" w:rsidRDefault="000674BD" w:rsidP="000674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74BD">
        <w:rPr>
          <w:rFonts w:ascii="Cambria" w:hAnsi="Cambria"/>
          <w:sz w:val="20"/>
          <w:szCs w:val="20"/>
        </w:rPr>
        <w:t>Finally, the State contends that adjudication of the petition would constitute a violation of the Commission’s fourth instance formula.  In this regard, the State submits that the petitioner’s complaints regarding the legality of his trial and conviction have been considered at multiple levels of the judiciary (both state and federal) and been rejected</w:t>
      </w:r>
      <w:r w:rsidRPr="000674BD">
        <w:rPr>
          <w:rFonts w:ascii="Cambria" w:hAnsi="Cambria"/>
          <w:sz w:val="20"/>
          <w:szCs w:val="20"/>
          <w:vertAlign w:val="superscript"/>
        </w:rPr>
        <w:footnoteReference w:id="9"/>
      </w:r>
      <w:r w:rsidRPr="000674BD">
        <w:rPr>
          <w:rFonts w:ascii="Cambria" w:hAnsi="Cambria"/>
          <w:sz w:val="20"/>
          <w:szCs w:val="20"/>
        </w:rPr>
        <w:t xml:space="preserve">.  The State contends that the petitioner was guaranteed and received abundant due process protections, and that the evidence showed beyond reasonable doubt that he murdered another human being (Mr. Turner).  The State argues the petitioner was not guaranteed a favorable result; and that mere dissatisfaction with the outcome of the domestic proceedings is not a legitimate basis for invoking </w:t>
      </w:r>
      <w:r>
        <w:rPr>
          <w:rFonts w:ascii="Cambria" w:hAnsi="Cambria"/>
          <w:sz w:val="20"/>
          <w:szCs w:val="20"/>
        </w:rPr>
        <w:t xml:space="preserve">the </w:t>
      </w:r>
      <w:r w:rsidRPr="000674BD">
        <w:rPr>
          <w:rFonts w:ascii="Cambria" w:hAnsi="Cambria"/>
          <w:sz w:val="20"/>
          <w:szCs w:val="20"/>
        </w:rPr>
        <w:t>jurisdiction of the Commission.   Accordingly, in keeping with the fourth instance formula, the State argues that the Commission lacks the jurisdiction to substitute its judgment for that of the domestic courts.</w:t>
      </w:r>
    </w:p>
    <w:p w14:paraId="0FB67DE9" w14:textId="164538D1" w:rsidR="00C84D0A" w:rsidRPr="00814711" w:rsidRDefault="00C84D0A" w:rsidP="000674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lastRenderedPageBreak/>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3FAEDCFE" w14:textId="18E02F04" w:rsidR="00C84D0A" w:rsidRDefault="000674BD" w:rsidP="000674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74BD">
        <w:rPr>
          <w:rFonts w:ascii="Cambria" w:hAnsi="Cambria"/>
          <w:sz w:val="20"/>
          <w:szCs w:val="20"/>
        </w:rPr>
        <w:t xml:space="preserve">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take cognizance of the alleged violation of the protected right and, if appropriate, resolve the matter before it is </w:t>
      </w:r>
      <w:r>
        <w:rPr>
          <w:rFonts w:ascii="Cambria" w:hAnsi="Cambria"/>
          <w:sz w:val="20"/>
          <w:szCs w:val="20"/>
        </w:rPr>
        <w:t>heard by an international body.</w:t>
      </w:r>
    </w:p>
    <w:p w14:paraId="05415C74" w14:textId="5AF7CF84" w:rsidR="00F621C3" w:rsidRPr="009A16FB" w:rsidRDefault="000674BD" w:rsidP="009A16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74BD">
        <w:rPr>
          <w:rFonts w:ascii="Cambria" w:hAnsi="Cambria"/>
          <w:sz w:val="20"/>
          <w:szCs w:val="20"/>
        </w:rPr>
        <w:t>The Commission observes that the petitioner exercised the legal remedies available and considered suitable, which included appellate and post-conviction proceedings at both the state and federal levels. The final decision was issued by the US Supreme Court on April 16, 2012 which declined to hear a petition for certiorari.  On the other hand, the State the State contends that there is still an ongoing procedure at the domestic level, rendering the petition inadmissible. While the Commission accepts that a proceeding is still pending before a national court, the requirement of exhaustion of domestic remedies does not mean that the alleged victim has the obligation to exhaust every possible remedy available to them. The Inter-American Commission has maintained that if the alleged victim endeavored to resolve the matter by making use of a valid, adequate alternative available in the domestic legal system and the State had an opportunity to remedy the issue within its jurisdiction, the purpose of the international legal precept is fulfilled. The Commission therefore concludes that the domestic remedies were exhausted with the US Supreme Court’s decision of April 16, 2012. The petition to the IACHR was filed on April 27, 2012 and thus meets the requirement set in Article 32</w:t>
      </w:r>
      <w:r w:rsidR="009A16FB">
        <w:rPr>
          <w:rFonts w:ascii="Cambria" w:hAnsi="Cambria"/>
          <w:sz w:val="20"/>
          <w:szCs w:val="20"/>
        </w:rPr>
        <w:t>(</w:t>
      </w:r>
      <w:r w:rsidRPr="000674BD">
        <w:rPr>
          <w:rFonts w:ascii="Cambria" w:hAnsi="Cambria"/>
          <w:sz w:val="20"/>
          <w:szCs w:val="20"/>
        </w:rPr>
        <w:t>1</w:t>
      </w:r>
      <w:r w:rsidR="009A16FB">
        <w:rPr>
          <w:rFonts w:ascii="Cambria" w:hAnsi="Cambria"/>
          <w:sz w:val="20"/>
          <w:szCs w:val="20"/>
        </w:rPr>
        <w:t>)</w:t>
      </w:r>
      <w:r w:rsidRPr="000674BD">
        <w:rPr>
          <w:rFonts w:ascii="Cambria" w:hAnsi="Cambria"/>
          <w:sz w:val="20"/>
          <w:szCs w:val="20"/>
        </w:rPr>
        <w:t xml:space="preserve"> of the </w:t>
      </w:r>
      <w:r>
        <w:rPr>
          <w:rFonts w:ascii="Cambria" w:hAnsi="Cambria"/>
          <w:sz w:val="20"/>
          <w:szCs w:val="20"/>
        </w:rPr>
        <w:t>Commission’s Rules of P</w:t>
      </w:r>
      <w:r w:rsidRPr="000674BD">
        <w:rPr>
          <w:rFonts w:ascii="Cambria" w:hAnsi="Cambria"/>
          <w:sz w:val="20"/>
          <w:szCs w:val="20"/>
        </w:rPr>
        <w:t>rocedure</w:t>
      </w:r>
      <w:r>
        <w:rPr>
          <w:rFonts w:ascii="Cambria" w:hAnsi="Cambria"/>
          <w:sz w:val="20"/>
          <w:szCs w:val="20"/>
        </w:rPr>
        <w:t>.</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C166675" w14:textId="34EEA69F" w:rsidR="007D2048" w:rsidRPr="00814711" w:rsidRDefault="009A16F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16FB">
        <w:rPr>
          <w:rFonts w:ascii="Cambria" w:hAnsi="Cambria"/>
          <w:sz w:val="20"/>
          <w:szCs w:val="20"/>
        </w:rPr>
        <w:t>The Commission notes that this petition principally alleges due process violations during the course of criminal proceedings against the petitioner.</w:t>
      </w:r>
    </w:p>
    <w:p w14:paraId="19E271A3" w14:textId="266C77F5" w:rsidR="00C84D0A" w:rsidRDefault="009A16F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16FB">
        <w:rPr>
          <w:rFonts w:ascii="Cambria" w:hAnsi="Cambria"/>
          <w:sz w:val="20"/>
          <w:szCs w:val="20"/>
        </w:rPr>
        <w:t>For purposes of admissibility, the Commission must decide whether the alleged facts tend to establish a violation of rights, as stipulated in Article 34 (a) of the Commission’s Rules of Procedure, or whether the petition is “manifestly groundless” or “obviously out of order,” as described in Article 34 (b). The criterion for analyzing admissibility is different from that used for the analysis of the merits, given that the Commission only performs a prima facie analysis to determine whether the petitioner establishes an apparent or possible violation of a right guaranteed by the American Declaration. It is a summary analysis that does not imply prejudging or issuing a preliminary opinion on the merits.</w:t>
      </w:r>
    </w:p>
    <w:p w14:paraId="2A42B584" w14:textId="2E6552F9" w:rsidR="009A16FB" w:rsidRPr="00814711" w:rsidRDefault="009A16F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16FB">
        <w:rPr>
          <w:rFonts w:ascii="Cambria" w:hAnsi="Cambria"/>
          <w:sz w:val="20"/>
          <w:szCs w:val="20"/>
        </w:rPr>
        <w:t>The petitioner alleges various due process violations in the context of his criminal convictions. All of these alleged violations were raised in various trials, appellate and review courts and rejected. The petitioner is dissatisfied with the outcome of the domestic judicial proceedings and now seeks relief from the Commission.</w:t>
      </w:r>
      <w:r>
        <w:rPr>
          <w:rFonts w:ascii="Cambria" w:hAnsi="Cambria"/>
          <w:sz w:val="20"/>
          <w:szCs w:val="20"/>
        </w:rPr>
        <w:t xml:space="preserve">  </w:t>
      </w:r>
      <w:r w:rsidRPr="009A16FB">
        <w:rPr>
          <w:rFonts w:ascii="Cambria" w:hAnsi="Cambria"/>
          <w:sz w:val="20"/>
          <w:szCs w:val="20"/>
        </w:rPr>
        <w:t>The Commission has observed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sentences handed down by domestic courts acting within their competence and applying all due judicial guarantees unless it finds that a violation of one of the rights protected by the American Declaration has been committed</w:t>
      </w:r>
      <w:r>
        <w:rPr>
          <w:rFonts w:ascii="Cambria" w:hAnsi="Cambria"/>
          <w:sz w:val="20"/>
          <w:szCs w:val="20"/>
        </w:rPr>
        <w:t xml:space="preserve">.  </w:t>
      </w:r>
    </w:p>
    <w:p w14:paraId="61587BB1" w14:textId="0A2C5BF1" w:rsidR="006F4458" w:rsidRPr="00814711" w:rsidRDefault="009A16F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16FB">
        <w:rPr>
          <w:rFonts w:ascii="Cambria" w:hAnsi="Cambria"/>
          <w:sz w:val="20"/>
          <w:szCs w:val="20"/>
        </w:rPr>
        <w:t xml:space="preserve">Based on available information, the Commission considers that the petitioner was accorded all due judicial guarantees, and that he has not provided sufficient evidence to indicate, prima facie, any violations of his due process rights as guaranteed by the American Declaration.  In view of these considerations, the Commission considers that the claims of the petitioner are manifestly unfounded. </w:t>
      </w:r>
    </w:p>
    <w:p w14:paraId="1F2E3975" w14:textId="66629B60" w:rsidR="00C84D0A" w:rsidRPr="00814711" w:rsidRDefault="00107AF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7AF5">
        <w:rPr>
          <w:rFonts w:ascii="Cambria" w:hAnsi="Cambria"/>
          <w:sz w:val="20"/>
          <w:szCs w:val="20"/>
        </w:rPr>
        <w:t>In light of the foregoing, the IACHR concludes that the petition should be ruled inadmissible, in keeping with Article 34 (a) of the Commission’s Rules of Procedure and the application of the fourth instance formula.</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47F30965" w14:textId="221CF68E" w:rsidR="00F621C3" w:rsidRPr="00677D2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6C779E">
        <w:rPr>
          <w:rFonts w:asciiTheme="majorHAnsi" w:hAnsiTheme="majorHAnsi"/>
          <w:sz w:val="20"/>
          <w:szCs w:val="20"/>
        </w:rPr>
        <w:t>in</w:t>
      </w:r>
      <w:r w:rsidRPr="000B6B7A">
        <w:rPr>
          <w:rFonts w:asciiTheme="majorHAnsi" w:hAnsiTheme="majorHAnsi"/>
          <w:sz w:val="20"/>
          <w:szCs w:val="20"/>
        </w:rPr>
        <w:t>admissible;</w:t>
      </w:r>
      <w:r w:rsidR="006C779E" w:rsidRPr="006C779E">
        <w:rPr>
          <w:rFonts w:asciiTheme="majorHAnsi" w:hAnsiTheme="majorHAnsi"/>
          <w:sz w:val="20"/>
          <w:szCs w:val="20"/>
        </w:rPr>
        <w:t xml:space="preserve"> and</w:t>
      </w:r>
    </w:p>
    <w:p w14:paraId="22CC8DDA" w14:textId="0575CDB7"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w:t>
      </w:r>
      <w:r w:rsidR="006C779E">
        <w:rPr>
          <w:rFonts w:asciiTheme="majorHAnsi" w:hAnsiTheme="majorHAnsi"/>
          <w:sz w:val="20"/>
          <w:szCs w:val="20"/>
        </w:rPr>
        <w:t>fy the parties of this decision</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E777578" w14:textId="2A369B3F" w:rsidR="00A85849" w:rsidRDefault="00A85849" w:rsidP="00A85849">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A85849">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sidR="00AB6EA4">
        <w:rPr>
          <w:rFonts w:ascii="Cambria" w:hAnsi="Cambria"/>
          <w:spacing w:val="-2"/>
          <w:sz w:val="20"/>
        </w:rPr>
        <w:t>ay of the month of January, 2021</w:t>
      </w:r>
      <w:r w:rsidRPr="006D25D7">
        <w:rPr>
          <w:rFonts w:ascii="Cambria" w:hAnsi="Cambria"/>
          <w:spacing w:val="-2"/>
          <w:sz w:val="20"/>
        </w:rPr>
        <w:t xml:space="preserve">. </w:t>
      </w:r>
      <w:r w:rsidR="00BB6BC5">
        <w:rPr>
          <w:rFonts w:ascii="Cambria" w:hAnsi="Cambria"/>
          <w:spacing w:val="-2"/>
          <w:sz w:val="20"/>
        </w:rPr>
        <w:t>(</w:t>
      </w:r>
      <w:proofErr w:type="gramStart"/>
      <w:r w:rsidR="00BB6BC5">
        <w:rPr>
          <w:rFonts w:ascii="Cambria" w:hAnsi="Cambria"/>
          <w:spacing w:val="-2"/>
          <w:sz w:val="20"/>
        </w:rPr>
        <w:t>Signed:</w:t>
      </w:r>
      <w:proofErr w:type="gramEnd"/>
      <w:r w:rsidR="00BB6BC5">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Pr>
          <w:rFonts w:ascii="Cambria" w:hAnsi="Cambria"/>
          <w:sz w:val="20"/>
        </w:rPr>
        <w:t xml:space="preserve"> Margarette May Macaulay and</w:t>
      </w:r>
      <w:r w:rsidRPr="006D25D7">
        <w:rPr>
          <w:rFonts w:ascii="Cambria" w:hAnsi="Cambria"/>
          <w:sz w:val="20"/>
        </w:rPr>
        <w:t xml:space="preserve"> </w:t>
      </w:r>
      <w:r>
        <w:rPr>
          <w:rFonts w:asciiTheme="majorHAnsi" w:hAnsiTheme="majorHAnsi" w:cs="Arial"/>
          <w:noProof/>
          <w:spacing w:val="-2"/>
          <w:sz w:val="20"/>
          <w:szCs w:val="20"/>
        </w:rPr>
        <w:t>Julissa Mantilla Falcón,</w:t>
      </w:r>
      <w:r w:rsidRPr="006D25D7">
        <w:rPr>
          <w:rFonts w:ascii="Cambria" w:hAnsi="Cambria" w:cs="Arial"/>
          <w:noProof/>
          <w:spacing w:val="-2"/>
          <w:sz w:val="20"/>
        </w:rPr>
        <w:t xml:space="preserve"> Commissioners</w:t>
      </w:r>
      <w:r w:rsidRPr="006D25D7">
        <w:rPr>
          <w:rFonts w:ascii="Cambria" w:hAnsi="Cambria"/>
          <w:spacing w:val="-2"/>
          <w:sz w:val="20"/>
        </w:rPr>
        <w:t>.</w:t>
      </w:r>
    </w:p>
    <w:p w14:paraId="37E25469" w14:textId="77777777" w:rsidR="00A85849" w:rsidRPr="006D25D7" w:rsidRDefault="00A85849" w:rsidP="00A85849">
      <w:pPr>
        <w:suppressAutoHyphens/>
        <w:ind w:firstLine="720"/>
        <w:jc w:val="both"/>
        <w:rPr>
          <w:rFonts w:ascii="Cambria" w:hAnsi="Cambria"/>
          <w:spacing w:val="-2"/>
          <w:sz w:val="20"/>
        </w:rPr>
      </w:pPr>
    </w:p>
    <w:sectPr w:rsidR="00A85849" w:rsidRPr="006D25D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E9FB" w14:textId="77777777" w:rsidR="003F4DD1" w:rsidRDefault="003F4DD1" w:rsidP="00036A8A">
      <w:r>
        <w:separator/>
      </w:r>
    </w:p>
  </w:endnote>
  <w:endnote w:type="continuationSeparator" w:id="0">
    <w:p w14:paraId="30F0FFD8" w14:textId="77777777" w:rsidR="003F4DD1" w:rsidRDefault="003F4DD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8A528" w14:textId="77777777" w:rsidR="00DB39EE" w:rsidRDefault="00DB3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4A812B4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B39EE">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DD0A" w14:textId="77777777" w:rsidR="003F4DD1" w:rsidRPr="00036A8A" w:rsidRDefault="003F4DD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2388C2C" w14:textId="77777777" w:rsidR="003F4DD1" w:rsidRPr="00036A8A" w:rsidRDefault="003F4DD1" w:rsidP="00036A8A">
      <w:pPr>
        <w:rPr>
          <w:rFonts w:asciiTheme="majorHAnsi" w:hAnsiTheme="majorHAnsi"/>
          <w:sz w:val="16"/>
          <w:szCs w:val="16"/>
        </w:rPr>
      </w:pPr>
      <w:r w:rsidRPr="00036A8A">
        <w:rPr>
          <w:rFonts w:asciiTheme="majorHAnsi" w:hAnsiTheme="majorHAnsi"/>
          <w:sz w:val="16"/>
          <w:szCs w:val="16"/>
        </w:rPr>
        <w:separator/>
      </w:r>
    </w:p>
    <w:p w14:paraId="1E66204E" w14:textId="77777777" w:rsidR="003F4DD1" w:rsidRPr="00036A8A" w:rsidRDefault="003F4DD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77EADAB" w14:textId="77777777" w:rsidR="003F4DD1" w:rsidRPr="0093441A" w:rsidRDefault="003F4DD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E28347B" w14:textId="439C0B12" w:rsidR="001F0D04" w:rsidRPr="001F0D04" w:rsidRDefault="00A85849">
      <w:pPr>
        <w:pStyle w:val="FootnoteText"/>
        <w:rPr>
          <w:rFonts w:asciiTheme="majorHAnsi" w:hAnsiTheme="majorHAnsi"/>
          <w:sz w:val="16"/>
          <w:szCs w:val="16"/>
        </w:rPr>
      </w:pPr>
      <w:r>
        <w:rPr>
          <w:rFonts w:asciiTheme="majorHAnsi" w:hAnsiTheme="majorHAnsi"/>
          <w:sz w:val="16"/>
          <w:szCs w:val="16"/>
        </w:rPr>
        <w:tab/>
      </w:r>
      <w:r w:rsidR="001F0D04" w:rsidRPr="001F0D04">
        <w:rPr>
          <w:rStyle w:val="FootnoteReference"/>
          <w:rFonts w:asciiTheme="majorHAnsi" w:hAnsiTheme="majorHAnsi"/>
          <w:sz w:val="16"/>
          <w:szCs w:val="16"/>
        </w:rPr>
        <w:footnoteRef/>
      </w:r>
      <w:r w:rsidR="001F0D04" w:rsidRPr="001F0D04">
        <w:rPr>
          <w:rFonts w:asciiTheme="majorHAnsi" w:hAnsiTheme="majorHAnsi"/>
          <w:sz w:val="16"/>
          <w:szCs w:val="16"/>
        </w:rPr>
        <w:t xml:space="preserve"> Hereinafter “USA”, “US”, or “United States”.</w:t>
      </w:r>
    </w:p>
  </w:footnote>
  <w:footnote w:id="3">
    <w:p w14:paraId="7AFA4FCF" w14:textId="1400EAA7" w:rsidR="00870123" w:rsidRPr="00870123" w:rsidRDefault="00A85849">
      <w:pPr>
        <w:pStyle w:val="FootnoteText"/>
        <w:rPr>
          <w:rFonts w:asciiTheme="majorHAnsi" w:hAnsiTheme="majorHAnsi"/>
          <w:sz w:val="16"/>
          <w:szCs w:val="16"/>
        </w:rPr>
      </w:pPr>
      <w:r>
        <w:rPr>
          <w:rFonts w:asciiTheme="majorHAnsi" w:hAnsiTheme="majorHAnsi"/>
          <w:sz w:val="16"/>
          <w:szCs w:val="16"/>
        </w:rPr>
        <w:tab/>
      </w:r>
      <w:r w:rsidR="00870123" w:rsidRPr="00870123">
        <w:rPr>
          <w:rStyle w:val="FootnoteReference"/>
          <w:rFonts w:asciiTheme="majorHAnsi" w:hAnsiTheme="majorHAnsi"/>
          <w:sz w:val="16"/>
          <w:szCs w:val="16"/>
        </w:rPr>
        <w:footnoteRef/>
      </w:r>
      <w:r w:rsidR="00870123" w:rsidRPr="00870123">
        <w:rPr>
          <w:rFonts w:asciiTheme="majorHAnsi" w:hAnsiTheme="majorHAnsi"/>
          <w:sz w:val="16"/>
          <w:szCs w:val="16"/>
        </w:rPr>
        <w:t xml:space="preserve"> Hereinafter “American Declaration.”</w:t>
      </w:r>
    </w:p>
  </w:footnote>
  <w:footnote w:id="4">
    <w:p w14:paraId="6F51BDAF" w14:textId="518DCC5E" w:rsidR="00653EA6" w:rsidRPr="000B6B7A" w:rsidRDefault="00A85849" w:rsidP="001F0D04">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1F06EFE1" w14:textId="3561E72D" w:rsidR="001F0D04" w:rsidRPr="001F0D04" w:rsidRDefault="00A85849" w:rsidP="001F0D04">
      <w:pPr>
        <w:pStyle w:val="FootnoteText"/>
        <w:rPr>
          <w:rFonts w:asciiTheme="majorHAnsi" w:hAnsiTheme="majorHAnsi"/>
          <w:sz w:val="16"/>
          <w:szCs w:val="16"/>
        </w:rPr>
      </w:pPr>
      <w:r>
        <w:rPr>
          <w:rFonts w:asciiTheme="majorHAnsi" w:hAnsiTheme="majorHAnsi"/>
          <w:sz w:val="16"/>
          <w:szCs w:val="16"/>
        </w:rPr>
        <w:tab/>
      </w:r>
      <w:r w:rsidR="001F0D04" w:rsidRPr="001F0D04">
        <w:rPr>
          <w:rStyle w:val="FootnoteReference"/>
          <w:rFonts w:asciiTheme="majorHAnsi" w:hAnsiTheme="majorHAnsi"/>
          <w:sz w:val="16"/>
          <w:szCs w:val="16"/>
        </w:rPr>
        <w:footnoteRef/>
      </w:r>
      <w:r w:rsidR="001F0D04" w:rsidRPr="001F0D04">
        <w:rPr>
          <w:rFonts w:asciiTheme="majorHAnsi" w:hAnsiTheme="majorHAnsi"/>
          <w:sz w:val="16"/>
          <w:szCs w:val="16"/>
        </w:rPr>
        <w:t xml:space="preserve"> Hereafter “the petitioner” or “the alleged victim” or “Mr. Robinson”.</w:t>
      </w:r>
    </w:p>
  </w:footnote>
  <w:footnote w:id="6">
    <w:p w14:paraId="1B6828D5" w14:textId="2319B85C" w:rsidR="002C2025" w:rsidRPr="002C2025" w:rsidRDefault="00A85849">
      <w:pPr>
        <w:pStyle w:val="FootnoteText"/>
        <w:rPr>
          <w:rFonts w:asciiTheme="majorHAnsi" w:hAnsiTheme="majorHAnsi"/>
          <w:sz w:val="16"/>
          <w:szCs w:val="16"/>
        </w:rPr>
      </w:pPr>
      <w:r>
        <w:rPr>
          <w:rFonts w:asciiTheme="majorHAnsi" w:hAnsiTheme="majorHAnsi"/>
          <w:sz w:val="16"/>
          <w:szCs w:val="16"/>
        </w:rPr>
        <w:tab/>
      </w:r>
      <w:r w:rsidR="002C2025" w:rsidRPr="002C2025">
        <w:rPr>
          <w:rStyle w:val="FootnoteReference"/>
          <w:rFonts w:asciiTheme="majorHAnsi" w:hAnsiTheme="majorHAnsi"/>
          <w:sz w:val="16"/>
          <w:szCs w:val="16"/>
        </w:rPr>
        <w:footnoteRef/>
      </w:r>
      <w:r w:rsidR="002C2025" w:rsidRPr="002C2025">
        <w:rPr>
          <w:rFonts w:asciiTheme="majorHAnsi" w:hAnsiTheme="majorHAnsi"/>
          <w:sz w:val="16"/>
          <w:szCs w:val="16"/>
        </w:rPr>
        <w:t xml:space="preserve"> Among the judicial remedies mentioned by the State are: (a) appeal to Court of Common Pleas rejected on December 2005; (b) appeal to Pennsylvania Superior Court rejected on November 2006; (c) appeal to Supreme Court of Pennsylvania rejected on May 15, 2007; (d) petition with the Court of Common Pleas under Pennsylvania’s Post Conviction Relief Act (PCRA rejected on  October 3, 2008;( e) subsequent appeal of this decision dismissed by  The Superior Court of Pennsylvania on November 24, 2009; (f) petition for habeas corpus in in the U.S. District Court for the Eastern District of Pennsylvania dismissed in 2011, and decision affirmed on appeal by U.S. Court of Appeals for the Third Circuit in April 2012; (g)  application for writ of certiorari to the U.S. Supreme Court, and that application was denied on April 16, 2012</w:t>
      </w:r>
      <w:r w:rsidR="002C2025">
        <w:rPr>
          <w:rFonts w:asciiTheme="majorHAnsi" w:hAnsiTheme="majorHAnsi"/>
          <w:sz w:val="16"/>
          <w:szCs w:val="16"/>
        </w:rPr>
        <w:t>.</w:t>
      </w:r>
    </w:p>
  </w:footnote>
  <w:footnote w:id="7">
    <w:p w14:paraId="5E8FC733" w14:textId="44F80936" w:rsidR="002C2025" w:rsidRPr="002C2025" w:rsidRDefault="00A85849">
      <w:pPr>
        <w:pStyle w:val="FootnoteText"/>
        <w:rPr>
          <w:rFonts w:asciiTheme="majorHAnsi" w:hAnsiTheme="majorHAnsi"/>
          <w:sz w:val="16"/>
          <w:szCs w:val="16"/>
        </w:rPr>
      </w:pPr>
      <w:r>
        <w:rPr>
          <w:rFonts w:asciiTheme="majorHAnsi" w:hAnsiTheme="majorHAnsi"/>
          <w:sz w:val="16"/>
          <w:szCs w:val="16"/>
        </w:rPr>
        <w:tab/>
      </w:r>
      <w:r w:rsidR="002C2025" w:rsidRPr="002C2025">
        <w:rPr>
          <w:rStyle w:val="FootnoteReference"/>
          <w:rFonts w:asciiTheme="majorHAnsi" w:hAnsiTheme="majorHAnsi"/>
          <w:sz w:val="16"/>
          <w:szCs w:val="16"/>
        </w:rPr>
        <w:footnoteRef/>
      </w:r>
      <w:r w:rsidR="002C2025" w:rsidRPr="002C2025">
        <w:rPr>
          <w:rFonts w:asciiTheme="majorHAnsi" w:hAnsiTheme="majorHAnsi"/>
          <w:sz w:val="16"/>
          <w:szCs w:val="16"/>
        </w:rPr>
        <w:t xml:space="preserve"> In support of this contention the State cites the 2011 judgment of the U.S District of for the Eastern District of Pennsylvania in which the court stated: “[T] he evidence makes plain that the videotape was not kept secret from the defense.  Rather the videotape was placed on a property receipt numbered 2527418 and that the receipt was specifically disclosed to the defense in August 31, 2004 letter to defense counsel disclosing various discovery items…”    According to the State, the court also observed that “…at trial during defense counsel’s cross-examination of one of the detectives involved in the investigation, defense counsel marked the property receipt as a defense exhibit and questioned the detective at length about the receipt and the contents of the videotape…”</w:t>
      </w:r>
    </w:p>
  </w:footnote>
  <w:footnote w:id="8">
    <w:p w14:paraId="0849A23D" w14:textId="2792C86C" w:rsidR="000674BD" w:rsidRPr="000674BD" w:rsidRDefault="00A85849">
      <w:pPr>
        <w:pStyle w:val="FootnoteText"/>
        <w:rPr>
          <w:rFonts w:asciiTheme="majorHAnsi" w:hAnsiTheme="majorHAnsi"/>
          <w:sz w:val="16"/>
          <w:szCs w:val="16"/>
        </w:rPr>
      </w:pPr>
      <w:r>
        <w:rPr>
          <w:rFonts w:asciiTheme="majorHAnsi" w:hAnsiTheme="majorHAnsi"/>
          <w:sz w:val="16"/>
          <w:szCs w:val="16"/>
        </w:rPr>
        <w:tab/>
      </w:r>
      <w:r w:rsidR="000674BD" w:rsidRPr="000674BD">
        <w:rPr>
          <w:rStyle w:val="FootnoteReference"/>
          <w:rFonts w:asciiTheme="majorHAnsi" w:hAnsiTheme="majorHAnsi"/>
          <w:sz w:val="16"/>
          <w:szCs w:val="16"/>
        </w:rPr>
        <w:footnoteRef/>
      </w:r>
      <w:r w:rsidR="000674BD" w:rsidRPr="000674BD">
        <w:rPr>
          <w:rFonts w:asciiTheme="majorHAnsi" w:hAnsiTheme="majorHAnsi"/>
          <w:sz w:val="16"/>
          <w:szCs w:val="16"/>
        </w:rPr>
        <w:t xml:space="preserve"> The petitioner took issue with this portion of the letter (as manifesting conflict of interest): “Unfortunately, you seem dissatisfied with my sterling efforts on your behalf.  I tried my best. Unfortunately, you killed your roommate.  That is all that can be said.  Best of luck in prison.”</w:t>
      </w:r>
    </w:p>
  </w:footnote>
  <w:footnote w:id="9">
    <w:p w14:paraId="7A013DEC" w14:textId="79A01561" w:rsidR="000674BD" w:rsidRPr="000674BD" w:rsidRDefault="00A85849" w:rsidP="000674BD">
      <w:pPr>
        <w:pStyle w:val="FootnoteText"/>
        <w:rPr>
          <w:rFonts w:asciiTheme="majorHAnsi" w:hAnsiTheme="majorHAnsi"/>
          <w:sz w:val="16"/>
          <w:szCs w:val="16"/>
        </w:rPr>
      </w:pPr>
      <w:r>
        <w:rPr>
          <w:rFonts w:asciiTheme="majorHAnsi" w:hAnsiTheme="majorHAnsi"/>
          <w:sz w:val="16"/>
          <w:szCs w:val="16"/>
        </w:rPr>
        <w:tab/>
      </w:r>
      <w:r w:rsidR="000674BD" w:rsidRPr="000674BD">
        <w:rPr>
          <w:rStyle w:val="FootnoteReference"/>
          <w:rFonts w:asciiTheme="majorHAnsi" w:hAnsiTheme="majorHAnsi"/>
          <w:sz w:val="16"/>
          <w:szCs w:val="16"/>
        </w:rPr>
        <w:footnoteRef/>
      </w:r>
      <w:r w:rsidR="000674BD" w:rsidRPr="000674BD">
        <w:rPr>
          <w:rFonts w:asciiTheme="majorHAnsi" w:hAnsiTheme="majorHAnsi"/>
          <w:sz w:val="16"/>
          <w:szCs w:val="16"/>
        </w:rPr>
        <w:t xml:space="preserve"> The State attaches a number of the judgments that were issued during the domestic criminal proceedings against the petitioner (including trial, appellate, post-conviction).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F4DD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835B" w14:textId="77777777" w:rsidR="00DB39EE" w:rsidRDefault="00DB3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674BD"/>
    <w:rsid w:val="00070F3A"/>
    <w:rsid w:val="000716C5"/>
    <w:rsid w:val="0007417C"/>
    <w:rsid w:val="00075E23"/>
    <w:rsid w:val="0008422C"/>
    <w:rsid w:val="000858A7"/>
    <w:rsid w:val="00092F32"/>
    <w:rsid w:val="0009344A"/>
    <w:rsid w:val="000A575F"/>
    <w:rsid w:val="000B2F51"/>
    <w:rsid w:val="000C3414"/>
    <w:rsid w:val="000C4365"/>
    <w:rsid w:val="000D10DB"/>
    <w:rsid w:val="000F3805"/>
    <w:rsid w:val="00107AF5"/>
    <w:rsid w:val="00124116"/>
    <w:rsid w:val="0013104F"/>
    <w:rsid w:val="00137EBA"/>
    <w:rsid w:val="00145EDC"/>
    <w:rsid w:val="00153084"/>
    <w:rsid w:val="00167A34"/>
    <w:rsid w:val="001714B4"/>
    <w:rsid w:val="0018037F"/>
    <w:rsid w:val="001A5F27"/>
    <w:rsid w:val="001A65E4"/>
    <w:rsid w:val="001A7870"/>
    <w:rsid w:val="001B27CC"/>
    <w:rsid w:val="001C1B41"/>
    <w:rsid w:val="001E366B"/>
    <w:rsid w:val="001F0D04"/>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C2025"/>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2E0B"/>
    <w:rsid w:val="003A4348"/>
    <w:rsid w:val="003C32BC"/>
    <w:rsid w:val="003D102A"/>
    <w:rsid w:val="003E3E03"/>
    <w:rsid w:val="003F1BBF"/>
    <w:rsid w:val="003F4DD1"/>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7BC4"/>
    <w:rsid w:val="005128E4"/>
    <w:rsid w:val="00520468"/>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77D21"/>
    <w:rsid w:val="0068009E"/>
    <w:rsid w:val="006A17D2"/>
    <w:rsid w:val="006A73E6"/>
    <w:rsid w:val="006B2D5C"/>
    <w:rsid w:val="006C4EB1"/>
    <w:rsid w:val="006C779E"/>
    <w:rsid w:val="006D4707"/>
    <w:rsid w:val="006E0166"/>
    <w:rsid w:val="006E60EC"/>
    <w:rsid w:val="006E7B34"/>
    <w:rsid w:val="006F1022"/>
    <w:rsid w:val="006F4458"/>
    <w:rsid w:val="00701B24"/>
    <w:rsid w:val="00706858"/>
    <w:rsid w:val="0071495F"/>
    <w:rsid w:val="0073798E"/>
    <w:rsid w:val="00745899"/>
    <w:rsid w:val="007607C4"/>
    <w:rsid w:val="0076643F"/>
    <w:rsid w:val="00781653"/>
    <w:rsid w:val="00792CC2"/>
    <w:rsid w:val="007A2F70"/>
    <w:rsid w:val="007A4E36"/>
    <w:rsid w:val="007C3334"/>
    <w:rsid w:val="007C52BB"/>
    <w:rsid w:val="007D2048"/>
    <w:rsid w:val="007D2B98"/>
    <w:rsid w:val="007F4853"/>
    <w:rsid w:val="00803F1C"/>
    <w:rsid w:val="0080600E"/>
    <w:rsid w:val="00814711"/>
    <w:rsid w:val="00817612"/>
    <w:rsid w:val="00837C45"/>
    <w:rsid w:val="00853419"/>
    <w:rsid w:val="00870123"/>
    <w:rsid w:val="00891C32"/>
    <w:rsid w:val="00897E12"/>
    <w:rsid w:val="008D43BA"/>
    <w:rsid w:val="008E3759"/>
    <w:rsid w:val="008E40F5"/>
    <w:rsid w:val="009041DC"/>
    <w:rsid w:val="009104B4"/>
    <w:rsid w:val="009228DA"/>
    <w:rsid w:val="00925FCD"/>
    <w:rsid w:val="0093441A"/>
    <w:rsid w:val="00946ACE"/>
    <w:rsid w:val="00954BF7"/>
    <w:rsid w:val="0096706E"/>
    <w:rsid w:val="00981FBA"/>
    <w:rsid w:val="0098783D"/>
    <w:rsid w:val="009A16FB"/>
    <w:rsid w:val="009B381B"/>
    <w:rsid w:val="009B58F0"/>
    <w:rsid w:val="009D7611"/>
    <w:rsid w:val="009E53DE"/>
    <w:rsid w:val="009E566A"/>
    <w:rsid w:val="00A12DBC"/>
    <w:rsid w:val="00A43458"/>
    <w:rsid w:val="00A528D1"/>
    <w:rsid w:val="00A5614D"/>
    <w:rsid w:val="00A66BE5"/>
    <w:rsid w:val="00A85849"/>
    <w:rsid w:val="00AB6EA4"/>
    <w:rsid w:val="00AD37C1"/>
    <w:rsid w:val="00AD67F3"/>
    <w:rsid w:val="00AE66EC"/>
    <w:rsid w:val="00AE6F91"/>
    <w:rsid w:val="00AE79DA"/>
    <w:rsid w:val="00AF5571"/>
    <w:rsid w:val="00B06BB7"/>
    <w:rsid w:val="00B167E9"/>
    <w:rsid w:val="00B179ED"/>
    <w:rsid w:val="00B314DB"/>
    <w:rsid w:val="00B31EBE"/>
    <w:rsid w:val="00B3718B"/>
    <w:rsid w:val="00B42F8C"/>
    <w:rsid w:val="00B44B23"/>
    <w:rsid w:val="00B4632A"/>
    <w:rsid w:val="00B92E49"/>
    <w:rsid w:val="00BA276C"/>
    <w:rsid w:val="00BB306F"/>
    <w:rsid w:val="00BB6BC5"/>
    <w:rsid w:val="00BD232B"/>
    <w:rsid w:val="00BD2E42"/>
    <w:rsid w:val="00BD4B89"/>
    <w:rsid w:val="00C21762"/>
    <w:rsid w:val="00C24543"/>
    <w:rsid w:val="00C256A2"/>
    <w:rsid w:val="00C3492D"/>
    <w:rsid w:val="00C55560"/>
    <w:rsid w:val="00C66B72"/>
    <w:rsid w:val="00C84D0A"/>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B39EE"/>
    <w:rsid w:val="00DF078B"/>
    <w:rsid w:val="00DF350D"/>
    <w:rsid w:val="00E227C1"/>
    <w:rsid w:val="00E43157"/>
    <w:rsid w:val="00E47F3D"/>
    <w:rsid w:val="00E533FF"/>
    <w:rsid w:val="00E709B3"/>
    <w:rsid w:val="00E7588C"/>
    <w:rsid w:val="00E7797F"/>
    <w:rsid w:val="00E850B6"/>
    <w:rsid w:val="00E8789F"/>
    <w:rsid w:val="00E97B71"/>
    <w:rsid w:val="00EB454D"/>
    <w:rsid w:val="00EB786F"/>
    <w:rsid w:val="00ED0D1B"/>
    <w:rsid w:val="00EE3522"/>
    <w:rsid w:val="00EF619B"/>
    <w:rsid w:val="00F00B55"/>
    <w:rsid w:val="00F1380F"/>
    <w:rsid w:val="00F14F0E"/>
    <w:rsid w:val="00F15A3B"/>
    <w:rsid w:val="00F24C29"/>
    <w:rsid w:val="00F253CC"/>
    <w:rsid w:val="00F42B71"/>
    <w:rsid w:val="00F56BA5"/>
    <w:rsid w:val="00F621C3"/>
    <w:rsid w:val="00F6422A"/>
    <w:rsid w:val="00F644E6"/>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2865"/>
    <w:rsid w:val="001B3C1F"/>
    <w:rsid w:val="002F1DDB"/>
    <w:rsid w:val="003748EB"/>
    <w:rsid w:val="0037569C"/>
    <w:rsid w:val="00403DE4"/>
    <w:rsid w:val="004108B1"/>
    <w:rsid w:val="00465E5D"/>
    <w:rsid w:val="006A3012"/>
    <w:rsid w:val="00A35957"/>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C391-77A3-4564-B376-B602F78C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3144</Words>
  <Characters>17297</Characters>
  <Application>Microsoft Office Word</Application>
  <DocSecurity>0</DocSecurity>
  <Lines>411</Lines>
  <Paragraphs>144</Paragraphs>
  <ScaleCrop>false</ScaleCrop>
  <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4/21</dc:title>
  <dc:creator/>
  <cp:lastModifiedBy/>
  <cp:revision>1</cp:revision>
  <dcterms:created xsi:type="dcterms:W3CDTF">2021-03-30T13:51:00Z</dcterms:created>
  <dcterms:modified xsi:type="dcterms:W3CDTF">2021-03-30T13:52:00Z</dcterms:modified>
</cp:coreProperties>
</file>