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96D8" w14:textId="248BF170" w:rsidR="00583C84" w:rsidRPr="00DD1E2F" w:rsidRDefault="00436C38" w:rsidP="00436C38">
      <w:pPr>
        <w:pStyle w:val="LightGrid-Accent31"/>
        <w:tabs>
          <w:tab w:val="left" w:pos="3728"/>
        </w:tabs>
        <w:spacing w:after="0" w:line="240" w:lineRule="auto"/>
        <w:jc w:val="both"/>
        <w:rPr>
          <w:rFonts w:ascii="Cambria" w:hAnsi="Cambria"/>
          <w:color w:val="000000"/>
        </w:rPr>
      </w:pPr>
      <w:r>
        <w:rPr>
          <w:rFonts w:ascii="Cambria" w:hAnsi="Cambria"/>
          <w:color w:val="000000"/>
        </w:rPr>
        <w:tab/>
      </w:r>
    </w:p>
    <w:p w14:paraId="58DBB87B" w14:textId="77777777" w:rsidR="00583C84" w:rsidRPr="00DD1E2F" w:rsidRDefault="005E16B1" w:rsidP="005E16B1">
      <w:pPr>
        <w:tabs>
          <w:tab w:val="left" w:pos="5997"/>
        </w:tabs>
        <w:spacing w:after="0" w:line="240" w:lineRule="auto"/>
        <w:contextualSpacing/>
        <w:jc w:val="both"/>
        <w:rPr>
          <w:rFonts w:ascii="Cambria" w:hAnsi="Cambria"/>
          <w:color w:val="000000"/>
        </w:rPr>
      </w:pPr>
      <w:r>
        <w:rPr>
          <w:rFonts w:ascii="Cambria" w:hAnsi="Cambria"/>
          <w:color w:val="000000"/>
        </w:rPr>
        <w:tab/>
      </w:r>
    </w:p>
    <w:p w14:paraId="004122A0"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5DDA02BB" w14:textId="77777777" w:rsidR="00583C84" w:rsidRPr="001C70F1" w:rsidRDefault="00583C84" w:rsidP="0045789B">
      <w:pPr>
        <w:pStyle w:val="MediumGrid2-Accent11"/>
        <w:jc w:val="center"/>
        <w:rPr>
          <w:rFonts w:ascii="Cambria" w:hAnsi="Cambria" w:cs="Calibri"/>
          <w:b/>
          <w:bCs/>
          <w:color w:val="000000"/>
          <w:lang w:val="en-US"/>
        </w:rPr>
      </w:pPr>
      <w:r w:rsidRPr="00DD1E2F">
        <w:rPr>
          <w:rFonts w:ascii="Cambria" w:hAnsi="Cambria"/>
          <w:b/>
          <w:color w:val="000000"/>
          <w:lang w:val="en-US"/>
        </w:rPr>
        <w:t xml:space="preserve">CASE 11.868 CARLOS SANTIAGO Y PEDRO ANDRÉS RESTREPO ARISMENDY REPORT ON FRIENDLY SETTLEMENT AGREEMENT Nº </w:t>
      </w:r>
      <w:r w:rsidRPr="00DD1E2F">
        <w:rPr>
          <w:rFonts w:ascii="Cambria" w:hAnsi="Cambria" w:cs="Calibri"/>
          <w:b/>
          <w:bCs/>
          <w:color w:val="000000"/>
          <w:lang w:val="en-US"/>
        </w:rPr>
        <w:t>99/00</w:t>
      </w:r>
    </w:p>
    <w:p w14:paraId="0FA79907"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2BA66248" w14:textId="77777777" w:rsidR="00583C84" w:rsidRPr="00DD1E2F" w:rsidRDefault="00AF3A07" w:rsidP="0045789B">
      <w:pPr>
        <w:pStyle w:val="MediumGrid2-Accent11"/>
        <w:jc w:val="center"/>
        <w:rPr>
          <w:rFonts w:ascii="Cambria" w:hAnsi="Cambria"/>
          <w:b/>
          <w:color w:val="000000"/>
          <w:lang w:val="es-ES"/>
        </w:rPr>
      </w:pPr>
      <w:r w:rsidRPr="00DD1E2F">
        <w:rPr>
          <w:rFonts w:ascii="Cambria" w:hAnsi="Cambria"/>
          <w:b/>
          <w:color w:val="000000"/>
          <w:lang w:val="es-ES"/>
        </w:rPr>
        <w:t>(ECUADOR</w:t>
      </w:r>
      <w:r w:rsidR="00583C84" w:rsidRPr="00DD1E2F">
        <w:rPr>
          <w:rFonts w:ascii="Cambria" w:hAnsi="Cambria"/>
          <w:b/>
          <w:color w:val="000000"/>
          <w:lang w:val="es-ES"/>
        </w:rPr>
        <w:t>)</w:t>
      </w:r>
    </w:p>
    <w:p w14:paraId="29153B99" w14:textId="77777777" w:rsidR="00583C84" w:rsidRPr="00DD1E2F" w:rsidRDefault="00583C84" w:rsidP="0045789B">
      <w:pPr>
        <w:pStyle w:val="MediumGrid2-Accent11"/>
        <w:ind w:left="-270" w:right="-270"/>
        <w:jc w:val="center"/>
        <w:rPr>
          <w:rFonts w:ascii="Cambria" w:hAnsi="Cambria"/>
          <w:b/>
          <w:color w:val="000000"/>
          <w:lang w:val="en-US"/>
        </w:rPr>
      </w:pPr>
    </w:p>
    <w:p w14:paraId="2E9C3573" w14:textId="77777777" w:rsidR="00583C84" w:rsidRPr="00DD1E2F" w:rsidRDefault="00583C84" w:rsidP="00AD711F">
      <w:pPr>
        <w:numPr>
          <w:ilvl w:val="0"/>
          <w:numId w:val="55"/>
        </w:numPr>
        <w:spacing w:after="0" w:line="240" w:lineRule="auto"/>
        <w:ind w:left="-284" w:firstLine="1004"/>
        <w:rPr>
          <w:rFonts w:ascii="Cambria" w:hAnsi="Cambria" w:cs="Calibri Light"/>
          <w:b/>
          <w:color w:val="000000"/>
        </w:rPr>
      </w:pPr>
      <w:r w:rsidRPr="00DD1E2F">
        <w:rPr>
          <w:rFonts w:ascii="Cambria" w:hAnsi="Cambria" w:cs="Calibri Light"/>
          <w:b/>
          <w:color w:val="000000"/>
        </w:rPr>
        <w:t xml:space="preserve">SUMMARY OF THE CASE </w:t>
      </w:r>
    </w:p>
    <w:p w14:paraId="39BB4097" w14:textId="77777777" w:rsidR="00583C84" w:rsidRPr="00DD1E2F" w:rsidRDefault="00583C84" w:rsidP="0045789B">
      <w:pPr>
        <w:spacing w:after="0" w:line="240" w:lineRule="auto"/>
        <w:ind w:left="108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5EC3E693" w14:textId="77777777" w:rsidTr="00A518D3">
        <w:trPr>
          <w:jc w:val="center"/>
        </w:trPr>
        <w:tc>
          <w:tcPr>
            <w:tcW w:w="9576" w:type="dxa"/>
            <w:shd w:val="clear" w:color="auto" w:fill="F2F2F2"/>
          </w:tcPr>
          <w:p w14:paraId="5FA9A317" w14:textId="77777777" w:rsidR="00583C84" w:rsidRPr="001C70F1" w:rsidRDefault="00583C84" w:rsidP="0045789B">
            <w:pPr>
              <w:pStyle w:val="MediumGrid2-Accent11"/>
              <w:jc w:val="both"/>
              <w:rPr>
                <w:rFonts w:ascii="Cambria" w:hAnsi="Cambria"/>
                <w:color w:val="000000"/>
              </w:rPr>
            </w:pPr>
            <w:r w:rsidRPr="001C70F1">
              <w:rPr>
                <w:rFonts w:ascii="Cambria" w:hAnsi="Cambria"/>
                <w:b/>
                <w:color w:val="000000"/>
              </w:rPr>
              <w:t>Victim(s)</w:t>
            </w:r>
            <w:r w:rsidRPr="001C70F1">
              <w:rPr>
                <w:rFonts w:ascii="Cambria" w:hAnsi="Cambria"/>
                <w:color w:val="000000"/>
              </w:rPr>
              <w:t xml:space="preserve">: Carlos Santiago and Pedro Andres Restrepo Arismendy </w:t>
            </w:r>
          </w:p>
          <w:p w14:paraId="09E29914"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Petitioner(s)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s="Arial"/>
                <w:color w:val="000000"/>
                <w:lang w:val="en-US" w:eastAsia="es-ES_tradnl"/>
              </w:rPr>
              <w:t>Judith Kimerling, Gastón Chillier, Patrick F.J. Macrory, and Laura Reifschneider</w:t>
            </w:r>
          </w:p>
          <w:p w14:paraId="55174112"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State</w:t>
            </w:r>
            <w:r w:rsidRPr="00DD1E2F">
              <w:rPr>
                <w:rFonts w:ascii="Cambria" w:hAnsi="Cambria"/>
                <w:color w:val="000000"/>
                <w:lang w:val="en-US"/>
              </w:rPr>
              <w:t>: Ecuador</w:t>
            </w:r>
          </w:p>
          <w:p w14:paraId="78284134" w14:textId="77777777" w:rsidR="00583C84" w:rsidRPr="00DD1E2F" w:rsidRDefault="00583C84" w:rsidP="0045789B">
            <w:pPr>
              <w:pStyle w:val="MediumGrid21"/>
              <w:tabs>
                <w:tab w:val="left" w:pos="9270"/>
              </w:tabs>
              <w:jc w:val="both"/>
              <w:rPr>
                <w:rFonts w:ascii="Cambria" w:hAnsi="Cambria"/>
                <w:b/>
                <w:bCs/>
                <w:color w:val="000000"/>
                <w:lang w:val="en-US"/>
              </w:rPr>
            </w:pPr>
            <w:r w:rsidRPr="00DD1E2F">
              <w:rPr>
                <w:rFonts w:ascii="Cambria" w:hAnsi="Cambria"/>
                <w:b/>
                <w:bCs/>
                <w:color w:val="000000"/>
                <w:lang w:val="en-US"/>
              </w:rPr>
              <w:t>Beginning of the negotiation date:</w:t>
            </w:r>
            <w:r w:rsidRPr="00DD1E2F">
              <w:rPr>
                <w:rFonts w:ascii="Cambria" w:hAnsi="Cambria"/>
                <w:bCs/>
                <w:lang w:val="en-US"/>
              </w:rPr>
              <w:t xml:space="preserve"> March 4, 1998</w:t>
            </w:r>
          </w:p>
          <w:p w14:paraId="3B5A56C9"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 xml:space="preserve">May 20, 1998 </w:t>
            </w:r>
          </w:p>
          <w:p w14:paraId="13C03045"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 xml:space="preserve">Report on Friendly Settlement Agreement No. </w:t>
            </w:r>
            <w:hyperlink r:id="rId12" w:history="1">
              <w:r w:rsidRPr="00DD1E2F">
                <w:rPr>
                  <w:rStyle w:val="Hyperlink"/>
                  <w:rFonts w:ascii="Cambria" w:hAnsi="Cambria"/>
                  <w:b/>
                  <w:color w:val="000000"/>
                  <w:lang w:val="en-US"/>
                </w:rPr>
                <w:t>99/00</w:t>
              </w:r>
            </w:hyperlink>
            <w:r w:rsidRPr="00DD1E2F">
              <w:rPr>
                <w:rFonts w:ascii="Cambria" w:hAnsi="Cambria"/>
                <w:color w:val="000000"/>
                <w:lang w:val="en-US"/>
              </w:rPr>
              <w:t>, published on October 5, 2000</w:t>
            </w:r>
          </w:p>
          <w:p w14:paraId="4F0872F9"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Estimated length of the negotiation phase: </w:t>
            </w:r>
            <w:r w:rsidRPr="00DD1E2F">
              <w:rPr>
                <w:rFonts w:ascii="Cambria" w:hAnsi="Cambria"/>
                <w:bCs/>
                <w:color w:val="000000"/>
              </w:rPr>
              <w:t>2 years</w:t>
            </w:r>
          </w:p>
          <w:p w14:paraId="122FA53C" w14:textId="77777777" w:rsidR="00583C84" w:rsidRPr="00DD1E2F" w:rsidRDefault="00CE4346" w:rsidP="0045789B">
            <w:pPr>
              <w:pStyle w:val="MediumGrid2-Accent11"/>
              <w:jc w:val="both"/>
              <w:rPr>
                <w:rFonts w:ascii="Cambria" w:hAnsi="Cambria"/>
                <w:color w:val="000000"/>
                <w:lang w:val="en-US"/>
              </w:rPr>
            </w:pPr>
            <w:r w:rsidRPr="00DD1E2F">
              <w:rPr>
                <w:rFonts w:ascii="Cambria" w:hAnsi="Cambria"/>
                <w:b/>
                <w:color w:val="000000"/>
                <w:lang w:val="en-US"/>
              </w:rPr>
              <w:t>Rapporteurship</w:t>
            </w:r>
            <w:r w:rsidR="00583C84" w:rsidRPr="00DD1E2F">
              <w:rPr>
                <w:rFonts w:ascii="Cambria" w:hAnsi="Cambria"/>
                <w:b/>
                <w:color w:val="000000"/>
                <w:lang w:val="en-US"/>
              </w:rPr>
              <w:t xml:space="preserve"> involved</w:t>
            </w:r>
            <w:r w:rsidR="00583C84" w:rsidRPr="00DD1E2F">
              <w:rPr>
                <w:rFonts w:ascii="Cambria" w:hAnsi="Cambria"/>
                <w:color w:val="000000"/>
                <w:lang w:val="en-US"/>
              </w:rPr>
              <w:t>: Persons Deprived of Liberty/Rights of the Child</w:t>
            </w:r>
          </w:p>
          <w:p w14:paraId="48E29C0E" w14:textId="77777777" w:rsidR="00583C84" w:rsidRPr="00DD1E2F" w:rsidRDefault="00583C84" w:rsidP="0045789B">
            <w:pPr>
              <w:pStyle w:val="MediumGrid2-Accent11"/>
              <w:rPr>
                <w:rFonts w:ascii="Cambria" w:hAnsi="Cambria"/>
                <w:b/>
                <w:color w:val="000000"/>
                <w:lang w:val="en-US"/>
              </w:rPr>
            </w:pPr>
            <w:r w:rsidRPr="00DD1E2F">
              <w:rPr>
                <w:rFonts w:ascii="Cambria" w:hAnsi="Cambria"/>
                <w:b/>
                <w:color w:val="000000"/>
                <w:lang w:val="en-US"/>
              </w:rPr>
              <w:t>Topics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Persons deprived of liberty/detention centers/detention conditions/police precincts/care and custody/forced disappearance/investigation/prison system/torture</w:t>
            </w:r>
            <w:r w:rsidRPr="00DD1E2F">
              <w:rPr>
                <w:rFonts w:ascii="Cambria" w:hAnsi="Cambria"/>
                <w:b/>
                <w:color w:val="000000"/>
                <w:lang w:val="en-US"/>
              </w:rPr>
              <w:t xml:space="preserve"> </w:t>
            </w:r>
          </w:p>
          <w:p w14:paraId="388993D6" w14:textId="77777777" w:rsidR="00583C84" w:rsidRPr="00DD1E2F" w:rsidRDefault="00583C84" w:rsidP="0045789B">
            <w:pPr>
              <w:pStyle w:val="MediumGrid2-Accent11"/>
              <w:jc w:val="both"/>
              <w:rPr>
                <w:rFonts w:ascii="Cambria" w:hAnsi="Cambria"/>
                <w:color w:val="000000"/>
                <w:lang w:val="en-US"/>
              </w:rPr>
            </w:pPr>
          </w:p>
          <w:p w14:paraId="10F94EEA" w14:textId="77777777" w:rsidR="00583C84" w:rsidRPr="00DD1E2F" w:rsidRDefault="00583C84" w:rsidP="0045789B">
            <w:pPr>
              <w:spacing w:after="0" w:line="240" w:lineRule="auto"/>
              <w:contextualSpacing/>
              <w:jc w:val="both"/>
              <w:rPr>
                <w:rFonts w:ascii="Cambria" w:eastAsia="MS Mincho" w:hAnsi="Cambria"/>
                <w:color w:val="000000"/>
              </w:rPr>
            </w:pPr>
            <w:r w:rsidRPr="00DD1E2F">
              <w:rPr>
                <w:rFonts w:ascii="Cambria" w:hAnsi="Cambria"/>
                <w:b/>
                <w:color w:val="000000"/>
              </w:rPr>
              <w:t>Facts</w:t>
            </w:r>
            <w:r w:rsidRPr="00DD1E2F">
              <w:rPr>
                <w:rFonts w:ascii="Cambria" w:hAnsi="Cambria"/>
                <w:color w:val="000000"/>
              </w:rPr>
              <w:t>:</w:t>
            </w:r>
            <w:r w:rsidRPr="00DD1E2F">
              <w:rPr>
                <w:rFonts w:ascii="Cambria" w:hAnsi="Cambria"/>
                <w:b/>
                <w:color w:val="000000"/>
              </w:rPr>
              <w:t xml:space="preserve"> </w:t>
            </w:r>
            <w:r w:rsidRPr="00DD1E2F">
              <w:rPr>
                <w:rFonts w:ascii="Cambria" w:eastAsia="MS Mincho" w:hAnsi="Cambria"/>
                <w:color w:val="000000"/>
              </w:rPr>
              <w:t xml:space="preserve">The petitioners alleged that on January 8, 1988, brothers Carlos Santiago and Pedro Andrés Restrepo Arismendy, ages 15 and 18, were arrested by the National Police of Ecuador, and thereafter disappeared while in police custody. In 1990, a Special Commission took charge of this case and determined that the two minors had been detained, tortured, killed, and disappeared by the National Police of Ecuador and that their bodies had been disposed of in a lagoon.  </w:t>
            </w:r>
          </w:p>
          <w:p w14:paraId="47551623" w14:textId="77777777" w:rsidR="00583C84" w:rsidRPr="00DD1E2F" w:rsidRDefault="00583C84" w:rsidP="0045789B">
            <w:pPr>
              <w:pStyle w:val="MediumGrid2-Accent11"/>
              <w:jc w:val="both"/>
              <w:rPr>
                <w:rFonts w:ascii="Cambria" w:hAnsi="Cambria"/>
                <w:color w:val="000000"/>
                <w:lang w:val="en-US"/>
              </w:rPr>
            </w:pPr>
          </w:p>
          <w:p w14:paraId="263F2039"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Rights alleged</w:t>
            </w:r>
            <w:r w:rsidRPr="00DD1E2F">
              <w:rPr>
                <w:rFonts w:ascii="Cambria" w:hAnsi="Cambria"/>
                <w:color w:val="000000"/>
                <w:lang w:val="en-US"/>
              </w:rPr>
              <w:t xml:space="preserve">: The petitioners alleged violation of the rights to life (Article 4), humane treatment (Article 5), personal liberty (Article 7), a fair trial (Article 8), rights of the child (Article 19), and judicial protection (Article 25) of the American Convention of Human Rights (ACHR). </w:t>
            </w:r>
          </w:p>
        </w:tc>
      </w:tr>
    </w:tbl>
    <w:p w14:paraId="1C717444" w14:textId="77777777" w:rsidR="00583C84" w:rsidRPr="00DD1E2F" w:rsidRDefault="00583C84" w:rsidP="0045789B">
      <w:pPr>
        <w:pStyle w:val="LightGrid-Accent31"/>
        <w:spacing w:after="0" w:line="240" w:lineRule="auto"/>
        <w:ind w:left="1080"/>
        <w:jc w:val="both"/>
        <w:rPr>
          <w:rFonts w:ascii="Cambria" w:hAnsi="Cambria" w:cs="Calibri Light"/>
          <w:b/>
          <w:color w:val="000000"/>
        </w:rPr>
      </w:pPr>
    </w:p>
    <w:p w14:paraId="47860688" w14:textId="77777777" w:rsidR="00583C84" w:rsidRPr="00DD1E2F" w:rsidRDefault="00583C84" w:rsidP="00AD711F">
      <w:pPr>
        <w:pStyle w:val="LightGrid-Accent31"/>
        <w:numPr>
          <w:ilvl w:val="0"/>
          <w:numId w:val="56"/>
        </w:numPr>
        <w:spacing w:after="0" w:line="240" w:lineRule="auto"/>
        <w:ind w:left="0" w:firstLine="720"/>
        <w:jc w:val="both"/>
        <w:rPr>
          <w:rFonts w:ascii="Cambria" w:hAnsi="Cambria" w:cs="Calibri Light"/>
          <w:b/>
          <w:color w:val="000000"/>
        </w:rPr>
      </w:pPr>
      <w:r w:rsidRPr="00DD1E2F">
        <w:rPr>
          <w:rFonts w:ascii="Cambria" w:hAnsi="Cambria"/>
          <w:b/>
          <w:color w:val="000000"/>
        </w:rPr>
        <w:t>PROCEDURAL ACTIVITY</w:t>
      </w:r>
    </w:p>
    <w:p w14:paraId="7BB5613A" w14:textId="77777777" w:rsidR="00583C84" w:rsidRPr="00DD1E2F" w:rsidRDefault="00583C84" w:rsidP="0045789B">
      <w:pPr>
        <w:pStyle w:val="LightGrid-Accent31"/>
        <w:spacing w:after="0" w:line="240" w:lineRule="auto"/>
        <w:ind w:left="0" w:firstLine="720"/>
        <w:jc w:val="both"/>
        <w:rPr>
          <w:rFonts w:ascii="Cambria" w:hAnsi="Cambria" w:cs="Calibri Light"/>
          <w:b/>
          <w:color w:val="000000"/>
        </w:rPr>
      </w:pPr>
    </w:p>
    <w:p w14:paraId="785FD565" w14:textId="77777777" w:rsidR="00583C84" w:rsidRPr="00DD1E2F" w:rsidRDefault="00583C84" w:rsidP="00AD711F">
      <w:pPr>
        <w:pStyle w:val="LightGrid-Accent31"/>
        <w:numPr>
          <w:ilvl w:val="0"/>
          <w:numId w:val="104"/>
        </w:numPr>
        <w:spacing w:after="0" w:line="240" w:lineRule="auto"/>
        <w:ind w:left="0" w:firstLine="709"/>
        <w:contextualSpacing w:val="0"/>
        <w:jc w:val="both"/>
        <w:rPr>
          <w:rFonts w:ascii="Cambria" w:hAnsi="Cambria" w:cs="Calibri Light"/>
          <w:bCs/>
          <w:color w:val="000000"/>
        </w:rPr>
      </w:pPr>
      <w:r w:rsidRPr="00DD1E2F">
        <w:rPr>
          <w:rFonts w:ascii="Cambria" w:hAnsi="Cambria" w:cs="Calibri Light"/>
          <w:bCs/>
          <w:color w:val="000000"/>
        </w:rPr>
        <w:t>On May 20, 1998, the parties signed the friendly settlement agreement.</w:t>
      </w:r>
    </w:p>
    <w:p w14:paraId="0F8A701E" w14:textId="77777777" w:rsidR="00583C84" w:rsidRPr="00DD1E2F" w:rsidRDefault="00583C84" w:rsidP="0045789B">
      <w:pPr>
        <w:pStyle w:val="LightGrid-Accent31"/>
        <w:spacing w:after="0" w:line="240" w:lineRule="auto"/>
        <w:ind w:left="0" w:firstLine="709"/>
        <w:contextualSpacing w:val="0"/>
        <w:jc w:val="both"/>
        <w:rPr>
          <w:rFonts w:ascii="Cambria" w:hAnsi="Cambria" w:cs="Calibri Light"/>
          <w:bCs/>
          <w:color w:val="000000"/>
        </w:rPr>
      </w:pPr>
    </w:p>
    <w:p w14:paraId="4CFBDC14" w14:textId="77777777" w:rsidR="00583C84" w:rsidRPr="00DD1E2F" w:rsidRDefault="00583C84" w:rsidP="00AD711F">
      <w:pPr>
        <w:pStyle w:val="LightGrid-Accent31"/>
        <w:numPr>
          <w:ilvl w:val="0"/>
          <w:numId w:val="104"/>
        </w:numPr>
        <w:spacing w:after="0" w:line="240" w:lineRule="auto"/>
        <w:ind w:left="0" w:firstLine="709"/>
        <w:contextualSpacing w:val="0"/>
        <w:jc w:val="both"/>
        <w:rPr>
          <w:rFonts w:ascii="Cambria" w:hAnsi="Cambria" w:cs="Calibri Light"/>
          <w:bCs/>
          <w:color w:val="000000"/>
        </w:rPr>
      </w:pPr>
      <w:r w:rsidRPr="00DD1E2F">
        <w:rPr>
          <w:rFonts w:ascii="Cambria" w:hAnsi="Cambria" w:cs="Calibri Light"/>
          <w:bCs/>
          <w:color w:val="000000"/>
        </w:rPr>
        <w:t>On October 5, 2000, the Commission approved the friendly settlement agreement by report No. 99/00.</w:t>
      </w:r>
    </w:p>
    <w:p w14:paraId="7536D968" w14:textId="77777777" w:rsidR="00583C84" w:rsidRPr="00DD1E2F" w:rsidRDefault="00583C84" w:rsidP="0045789B">
      <w:pPr>
        <w:spacing w:after="0" w:line="240" w:lineRule="auto"/>
        <w:ind w:left="720"/>
        <w:jc w:val="both"/>
        <w:rPr>
          <w:rFonts w:ascii="Cambria" w:hAnsi="Cambria" w:cs="Calibri Light"/>
          <w:color w:val="000000"/>
        </w:rPr>
      </w:pPr>
    </w:p>
    <w:p w14:paraId="543F6B6F" w14:textId="77777777" w:rsidR="00583C84" w:rsidRPr="00DD1E2F" w:rsidRDefault="00583C84" w:rsidP="00AD711F">
      <w:pPr>
        <w:pStyle w:val="ListParagraph"/>
        <w:numPr>
          <w:ilvl w:val="0"/>
          <w:numId w:val="56"/>
        </w:numPr>
        <w:spacing w:after="0" w:line="240" w:lineRule="auto"/>
        <w:ind w:left="0" w:firstLine="851"/>
        <w:jc w:val="both"/>
        <w:rPr>
          <w:rFonts w:ascii="Cambria" w:hAnsi="Cambria" w:cs="Calibri Light"/>
          <w:b/>
          <w:color w:val="000000"/>
          <w:lang w:val="en-US"/>
        </w:rPr>
      </w:pPr>
      <w:r w:rsidRPr="00DD1E2F">
        <w:rPr>
          <w:rFonts w:ascii="Cambria" w:hAnsi="Cambria" w:cs="Calibri Light"/>
          <w:b/>
          <w:color w:val="000000"/>
          <w:lang w:val="en-US"/>
        </w:rPr>
        <w:t>ANALYSIS OF COMPLIANCE WITH THE CLAUSES OF THE FRIENDLY SETTLEMENT AGREEMENT</w:t>
      </w:r>
    </w:p>
    <w:p w14:paraId="20095685" w14:textId="77777777" w:rsidR="00583C84" w:rsidRPr="00DD1E2F" w:rsidRDefault="00583C84" w:rsidP="0045789B">
      <w:pPr>
        <w:spacing w:after="0" w:line="240" w:lineRule="auto"/>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2999"/>
      </w:tblGrid>
      <w:tr w:rsidR="00AF3A07" w:rsidRPr="00DD1E2F" w14:paraId="14B766DA" w14:textId="77777777" w:rsidTr="00A518D3">
        <w:trPr>
          <w:jc w:val="center"/>
        </w:trPr>
        <w:tc>
          <w:tcPr>
            <w:tcW w:w="6357" w:type="dxa"/>
            <w:shd w:val="clear" w:color="auto" w:fill="D9D9D9"/>
            <w:vAlign w:val="center"/>
          </w:tcPr>
          <w:p w14:paraId="2148F3F3" w14:textId="77777777" w:rsidR="00AF3A07" w:rsidRPr="00DD1E2F" w:rsidRDefault="00AF3A07"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999" w:type="dxa"/>
            <w:shd w:val="clear" w:color="auto" w:fill="D9D9D9"/>
            <w:vAlign w:val="center"/>
          </w:tcPr>
          <w:p w14:paraId="06C37DA2" w14:textId="77777777" w:rsidR="00AF3A07" w:rsidRPr="00DD1E2F" w:rsidRDefault="00AF3A07"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583C84" w:rsidRPr="00DD1E2F" w14:paraId="7F0ABCB1" w14:textId="77777777" w:rsidTr="00A518D3">
        <w:trPr>
          <w:jc w:val="center"/>
        </w:trPr>
        <w:tc>
          <w:tcPr>
            <w:tcW w:w="6357" w:type="dxa"/>
            <w:shd w:val="clear" w:color="auto" w:fill="auto"/>
            <w:vAlign w:val="center"/>
          </w:tcPr>
          <w:p w14:paraId="5AF1791C" w14:textId="77777777" w:rsidR="00583C84" w:rsidRPr="00DD1E2F" w:rsidRDefault="00583C84" w:rsidP="0045789B">
            <w:pPr>
              <w:spacing w:after="0" w:line="240" w:lineRule="auto"/>
              <w:ind w:right="69"/>
              <w:jc w:val="both"/>
              <w:outlineLvl w:val="0"/>
              <w:rPr>
                <w:rFonts w:ascii="Cambria" w:eastAsia="Times New Roman" w:hAnsi="Cambria"/>
                <w:b/>
                <w:bCs/>
                <w:color w:val="000000"/>
                <w:kern w:val="36"/>
              </w:rPr>
            </w:pPr>
            <w:r w:rsidRPr="00DD1E2F">
              <w:rPr>
                <w:rFonts w:ascii="Cambria" w:eastAsia="Times New Roman" w:hAnsi="Cambria"/>
                <w:b/>
                <w:bCs/>
                <w:color w:val="000000"/>
                <w:kern w:val="36"/>
              </w:rPr>
              <w:t>III. STATE RESPONSIBILITY AND ACCEPTANCE</w:t>
            </w:r>
          </w:p>
          <w:p w14:paraId="7CBFFEAF"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With this background, the Ecuadorian State has acknowledged before the Inter-American Commission on Human Rights its guilt in the narrated facts and has been obliged to take reparative </w:t>
            </w:r>
            <w:r w:rsidRPr="00DD1E2F">
              <w:rPr>
                <w:rFonts w:ascii="Cambria" w:eastAsia="Times New Roman" w:hAnsi="Cambria"/>
                <w:color w:val="000000"/>
              </w:rPr>
              <w:lastRenderedPageBreak/>
              <w:t>measures through the use of the figure of friendly settlement provided for in Article 45 of the Regulations of the</w:t>
            </w:r>
            <w:r w:rsidRPr="00DD1E2F">
              <w:rPr>
                <w:rFonts w:ascii="Cambria" w:hAnsi="Cambria"/>
                <w:color w:val="000000"/>
              </w:rPr>
              <w:t xml:space="preserve"> </w:t>
            </w:r>
            <w:r w:rsidRPr="00DD1E2F">
              <w:rPr>
                <w:rFonts w:ascii="Cambria" w:eastAsia="Times New Roman" w:hAnsi="Cambria"/>
                <w:color w:val="000000"/>
              </w:rPr>
              <w:t>Inter-American Commission on Human Rights</w:t>
            </w:r>
          </w:p>
        </w:tc>
        <w:tc>
          <w:tcPr>
            <w:tcW w:w="2999" w:type="dxa"/>
            <w:shd w:val="clear" w:color="auto" w:fill="auto"/>
            <w:vAlign w:val="center"/>
          </w:tcPr>
          <w:p w14:paraId="6C9A85C5"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lastRenderedPageBreak/>
              <w:t xml:space="preserve">Declarative clause </w:t>
            </w:r>
          </w:p>
        </w:tc>
      </w:tr>
      <w:tr w:rsidR="00583C84" w:rsidRPr="00DD1E2F" w14:paraId="718FD5E0" w14:textId="77777777" w:rsidTr="00A518D3">
        <w:trPr>
          <w:trHeight w:val="350"/>
          <w:jc w:val="center"/>
        </w:trPr>
        <w:tc>
          <w:tcPr>
            <w:tcW w:w="6357" w:type="dxa"/>
            <w:shd w:val="clear" w:color="auto" w:fill="auto"/>
            <w:vAlign w:val="center"/>
          </w:tcPr>
          <w:p w14:paraId="59F5C251" w14:textId="77777777" w:rsidR="00583C84" w:rsidRPr="00DD1E2F" w:rsidRDefault="00583C84" w:rsidP="0045789B">
            <w:pPr>
              <w:spacing w:after="0" w:line="240" w:lineRule="auto"/>
              <w:jc w:val="both"/>
              <w:rPr>
                <w:rFonts w:ascii="Cambria" w:eastAsia="Times New Roman" w:hAnsi="Cambria"/>
                <w:b/>
                <w:color w:val="000000"/>
              </w:rPr>
            </w:pPr>
            <w:r w:rsidRPr="00DD1E2F">
              <w:rPr>
                <w:rFonts w:ascii="Cambria" w:eastAsia="Times New Roman" w:hAnsi="Cambria"/>
                <w:b/>
                <w:color w:val="000000"/>
              </w:rPr>
              <w:t>IV.   COMPENSATION</w:t>
            </w:r>
          </w:p>
          <w:p w14:paraId="442C8C8B"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Therefore, the Ecuadorian State represented by the Attorney General of the State, delivered to the Engineer Pedro José Restrepo Bermúdez, under the provisions of articles 1045 and 1052 of the Civil Code, a one-time compensation of U.S. $ 2,000,000 (two million US dollars or its equivalent in national currency), charged to the General State Budget.</w:t>
            </w:r>
          </w:p>
          <w:p w14:paraId="7C1898A5"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w:t>
            </w:r>
          </w:p>
          <w:p w14:paraId="56A4DE36"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This compensation involves the consequential damages, loss of profits and moral damage, suffered by the Restrepo Arismendy family, and will be paid to the Engineer Pedro Restrepo, observing the internal legal regulations charged to the General State Budget, for which the Attorney General will notify to the Ministry of Finance and Public Credit so that within a period of 90 days, counted from the signing of this document, it fulfills this obligation.</w:t>
            </w:r>
          </w:p>
        </w:tc>
        <w:tc>
          <w:tcPr>
            <w:tcW w:w="2999" w:type="dxa"/>
            <w:shd w:val="clear" w:color="auto" w:fill="auto"/>
            <w:vAlign w:val="center"/>
          </w:tcPr>
          <w:p w14:paraId="0DEDA998"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Style w:val="FootnoteReference"/>
                <w:rFonts w:ascii="Cambria" w:hAnsi="Cambria"/>
                <w:b/>
                <w:color w:val="000000"/>
              </w:rPr>
              <w:footnoteReference w:id="1"/>
            </w:r>
          </w:p>
        </w:tc>
      </w:tr>
      <w:tr w:rsidR="00583C84" w:rsidRPr="00DD1E2F" w14:paraId="4302C192" w14:textId="77777777" w:rsidTr="00A518D3">
        <w:trPr>
          <w:jc w:val="center"/>
        </w:trPr>
        <w:tc>
          <w:tcPr>
            <w:tcW w:w="6357" w:type="dxa"/>
            <w:shd w:val="clear" w:color="auto" w:fill="auto"/>
            <w:vAlign w:val="center"/>
          </w:tcPr>
          <w:p w14:paraId="360CF247" w14:textId="77777777" w:rsidR="00583C84" w:rsidRPr="00DD1E2F" w:rsidRDefault="00583C84" w:rsidP="0045789B">
            <w:pPr>
              <w:spacing w:after="0" w:line="240" w:lineRule="auto"/>
              <w:ind w:right="-21"/>
              <w:jc w:val="both"/>
              <w:outlineLvl w:val="0"/>
              <w:rPr>
                <w:rFonts w:ascii="Cambria" w:eastAsia="Times New Roman" w:hAnsi="Cambria"/>
                <w:b/>
                <w:color w:val="000000"/>
              </w:rPr>
            </w:pPr>
            <w:r w:rsidRPr="00DD1E2F">
              <w:rPr>
                <w:rFonts w:ascii="Cambria" w:eastAsia="Times New Roman" w:hAnsi="Cambria"/>
                <w:b/>
                <w:color w:val="000000"/>
              </w:rPr>
              <w:t>V.  INDEMNIFICATION OF GUILTY</w:t>
            </w:r>
          </w:p>
          <w:p w14:paraId="29B76A08" w14:textId="77777777" w:rsidR="00583C84" w:rsidRPr="00DD1E2F" w:rsidRDefault="00583C84" w:rsidP="0045789B">
            <w:pPr>
              <w:spacing w:after="0" w:line="240" w:lineRule="auto"/>
              <w:ind w:right="-21"/>
              <w:jc w:val="both"/>
              <w:outlineLvl w:val="0"/>
              <w:rPr>
                <w:rFonts w:ascii="Cambria" w:eastAsia="Times New Roman" w:hAnsi="Cambria"/>
                <w:b/>
                <w:color w:val="000000"/>
              </w:rPr>
            </w:pPr>
            <w:r w:rsidRPr="00DD1E2F">
              <w:rPr>
                <w:rFonts w:ascii="Cambria" w:eastAsia="Times New Roman" w:hAnsi="Cambria"/>
                <w:color w:val="000000"/>
              </w:rPr>
              <w:t>The present friendly settlement does not include the compensation that the father of the Restrepo Arismendy brothers is entitled to claim, those guilty of their illegal and arbitrary detention, torture, death, and disappearance, and who received a conviction, in accordance with the provisions of the Articles 52 and 67 of the Ecuadorian Criminal Code, compensation that has been recognized in the judgment issued by the President of the Supreme Court of Justice of Ecuador, in a judgment rendered on March 31, 1998.</w:t>
            </w:r>
          </w:p>
        </w:tc>
        <w:tc>
          <w:tcPr>
            <w:tcW w:w="2999" w:type="dxa"/>
            <w:tcBorders>
              <w:bottom w:val="single" w:sz="4" w:space="0" w:color="auto"/>
            </w:tcBorders>
            <w:shd w:val="clear" w:color="auto" w:fill="auto"/>
            <w:vAlign w:val="center"/>
          </w:tcPr>
          <w:p w14:paraId="7C6B7F62" w14:textId="77777777" w:rsidR="00583C84" w:rsidRPr="00DD1E2F" w:rsidRDefault="00583C84" w:rsidP="0045789B">
            <w:pPr>
              <w:autoSpaceDE w:val="0"/>
              <w:autoSpaceDN w:val="0"/>
              <w:adjustRightInd w:val="0"/>
              <w:spacing w:after="0" w:line="240" w:lineRule="auto"/>
              <w:jc w:val="center"/>
              <w:rPr>
                <w:rFonts w:ascii="Cambria" w:eastAsia="MS Mincho" w:hAnsi="Cambria"/>
                <w:b/>
                <w:color w:val="000000"/>
              </w:rPr>
            </w:pPr>
            <w:r w:rsidRPr="00DD1E2F">
              <w:rPr>
                <w:rFonts w:ascii="Cambria" w:eastAsia="MS Mincho" w:hAnsi="Cambria"/>
                <w:b/>
                <w:color w:val="000000"/>
              </w:rPr>
              <w:t xml:space="preserve">Declarative clause </w:t>
            </w:r>
          </w:p>
        </w:tc>
      </w:tr>
      <w:tr w:rsidR="00AF3A07" w:rsidRPr="00DD1E2F" w14:paraId="63289DBE" w14:textId="77777777" w:rsidTr="00A518D3">
        <w:trPr>
          <w:jc w:val="center"/>
        </w:trPr>
        <w:tc>
          <w:tcPr>
            <w:tcW w:w="6357" w:type="dxa"/>
            <w:shd w:val="clear" w:color="auto" w:fill="auto"/>
          </w:tcPr>
          <w:p w14:paraId="5BC8D854" w14:textId="77777777" w:rsidR="00AF3A07" w:rsidRPr="00DD1E2F" w:rsidRDefault="00AF3A07" w:rsidP="0045789B">
            <w:pPr>
              <w:spacing w:after="0" w:line="240" w:lineRule="auto"/>
              <w:ind w:right="-21"/>
              <w:jc w:val="both"/>
              <w:outlineLvl w:val="0"/>
              <w:rPr>
                <w:rFonts w:ascii="Cambria" w:eastAsia="Times New Roman" w:hAnsi="Cambria"/>
                <w:b/>
                <w:color w:val="000000"/>
              </w:rPr>
            </w:pPr>
            <w:r w:rsidRPr="00DD1E2F">
              <w:rPr>
                <w:rFonts w:ascii="Cambria" w:eastAsia="Times New Roman" w:hAnsi="Cambria"/>
                <w:b/>
                <w:color w:val="000000"/>
              </w:rPr>
              <w:t xml:space="preserve">VI.  NEW SEARCH FOR THE RESTREPO BROTHERS </w:t>
            </w:r>
          </w:p>
          <w:p w14:paraId="431FE3A2" w14:textId="77777777" w:rsidR="00AF3A07" w:rsidRPr="00DD1E2F" w:rsidRDefault="00AF3A07" w:rsidP="0045789B">
            <w:pPr>
              <w:spacing w:after="0" w:line="240" w:lineRule="auto"/>
              <w:ind w:right="-21"/>
              <w:jc w:val="both"/>
              <w:outlineLvl w:val="0"/>
              <w:rPr>
                <w:rFonts w:ascii="Cambria" w:eastAsia="Times New Roman" w:hAnsi="Cambria"/>
                <w:b/>
                <w:color w:val="000000"/>
              </w:rPr>
            </w:pPr>
          </w:p>
          <w:p w14:paraId="396CA4E1" w14:textId="77777777" w:rsidR="00AF3A07" w:rsidRPr="00DD1E2F" w:rsidRDefault="00AF3A07" w:rsidP="0045789B">
            <w:pPr>
              <w:spacing w:after="0" w:line="240" w:lineRule="auto"/>
              <w:ind w:right="-21"/>
              <w:jc w:val="both"/>
              <w:outlineLvl w:val="0"/>
              <w:rPr>
                <w:rFonts w:ascii="Cambria" w:eastAsia="Times New Roman" w:hAnsi="Cambria"/>
                <w:color w:val="000000"/>
              </w:rPr>
            </w:pPr>
            <w:r w:rsidRPr="00DD1E2F">
              <w:rPr>
                <w:rFonts w:ascii="Cambria" w:eastAsia="Times New Roman" w:hAnsi="Cambria"/>
                <w:color w:val="000000"/>
              </w:rPr>
              <w:t xml:space="preserve">[...] The Ecuadorian State, represented by the Attorney General, undertakes to carry out a complete, total, and definitive search, in Yambo Lake, for the bodies of the Restrepo brothers, which, it is considered, may have been cast into it in 1998 or subsequent years, and to recover them if located. To this end, the Ministry of National Defense shall make available a team of scuba divers from the Ecuadorian Navy to the Office of the Attorney General; they will be joined by a team or teams of specialized private organizations, whose assistance will be sought by the Office of the Attorney General or that are provided on a volunteer basis by Ecuadorian or international human rights organizations. The Ministry of Government, for its part, will provide the full collaboration needed to secure this objective. </w:t>
            </w:r>
          </w:p>
        </w:tc>
        <w:tc>
          <w:tcPr>
            <w:tcW w:w="2999" w:type="dxa"/>
            <w:tcBorders>
              <w:bottom w:val="single" w:sz="4" w:space="0" w:color="auto"/>
            </w:tcBorders>
            <w:shd w:val="clear" w:color="auto" w:fill="auto"/>
            <w:vAlign w:val="center"/>
          </w:tcPr>
          <w:p w14:paraId="17FE1C37" w14:textId="77777777" w:rsidR="00AF3A07" w:rsidRPr="00DD1E2F" w:rsidRDefault="00AF3A07" w:rsidP="0045789B">
            <w:pPr>
              <w:spacing w:after="0" w:line="240" w:lineRule="auto"/>
              <w:jc w:val="both"/>
              <w:rPr>
                <w:rFonts w:ascii="Cambria" w:eastAsia="Batang" w:hAnsi="Cambria"/>
                <w:color w:val="000000"/>
              </w:rPr>
            </w:pPr>
          </w:p>
          <w:p w14:paraId="0A8D209B" w14:textId="77777777" w:rsidR="00AF3A07" w:rsidRPr="00DD1E2F" w:rsidRDefault="0045789B" w:rsidP="0045789B">
            <w:pPr>
              <w:autoSpaceDE w:val="0"/>
              <w:autoSpaceDN w:val="0"/>
              <w:adjustRightInd w:val="0"/>
              <w:spacing w:after="0" w:line="240" w:lineRule="auto"/>
              <w:jc w:val="center"/>
              <w:rPr>
                <w:rFonts w:ascii="Cambria" w:eastAsia="MS Mincho" w:hAnsi="Cambria"/>
                <w:b/>
                <w:bCs/>
                <w:color w:val="000000"/>
              </w:rPr>
            </w:pPr>
            <w:r w:rsidRPr="00DD1E2F">
              <w:rPr>
                <w:rFonts w:ascii="Cambria" w:eastAsia="MS Mincho" w:hAnsi="Cambria"/>
                <w:b/>
                <w:bCs/>
                <w:color w:val="000000"/>
              </w:rPr>
              <w:t>Noncompliance</w:t>
            </w:r>
            <w:r w:rsidR="00AF3A07" w:rsidRPr="00DD1E2F">
              <w:rPr>
                <w:rStyle w:val="FootnoteReference"/>
                <w:rFonts w:ascii="Cambria" w:eastAsia="MS Mincho" w:hAnsi="Cambria"/>
                <w:b/>
                <w:bCs/>
                <w:color w:val="000000"/>
              </w:rPr>
              <w:footnoteReference w:id="2"/>
            </w:r>
          </w:p>
        </w:tc>
      </w:tr>
      <w:tr w:rsidR="00A518D3" w:rsidRPr="00DD1E2F" w14:paraId="0BAD11C7" w14:textId="77777777" w:rsidTr="00A518D3">
        <w:trPr>
          <w:trHeight w:val="1520"/>
          <w:jc w:val="center"/>
        </w:trPr>
        <w:tc>
          <w:tcPr>
            <w:tcW w:w="6357" w:type="dxa"/>
            <w:shd w:val="clear" w:color="auto" w:fill="auto"/>
            <w:vAlign w:val="center"/>
          </w:tcPr>
          <w:p w14:paraId="28386E26" w14:textId="77777777" w:rsidR="00A518D3" w:rsidRPr="00DD1E2F" w:rsidRDefault="00A518D3"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lastRenderedPageBreak/>
              <w:t>IX. PUNISHMENT OF PERSONS NOT PLACED ON TRIAL</w:t>
            </w:r>
          </w:p>
          <w:p w14:paraId="17E65F67" w14:textId="77777777" w:rsidR="00A518D3" w:rsidRPr="00DD1E2F" w:rsidRDefault="00A518D3"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Ecuadorian State, through the Office of the Attorney General, pledges to encourage the State Attorney General and the competent judicial organs, to bring criminal charges against those persons who, in the performance of their police functions, are considered to have participated in the death of brothers Carlos Santiago and Pedro Andrés Restrepo Arismendy. The Office of the Attorney General undertakes to encourage the public or private organs with competence to contribute legally supported information that makes it possible to bring those persons to trial. If it takes place, this trial shall be carried out subject to the constitutional and statutory order of the Ecuadorian State, and, consequently, shall not proceed against those persons who have been subject to a final judgment by the Supreme Court of Justice of Ecuador, or in the event that the offenses attributable to them have been legally prescribed.</w:t>
            </w:r>
          </w:p>
        </w:tc>
        <w:tc>
          <w:tcPr>
            <w:tcW w:w="2999" w:type="dxa"/>
            <w:shd w:val="clear" w:color="auto" w:fill="auto"/>
            <w:vAlign w:val="center"/>
          </w:tcPr>
          <w:p w14:paraId="7BE6C3B6" w14:textId="77777777" w:rsidR="00A518D3" w:rsidRPr="00DD1E2F" w:rsidRDefault="00A518D3" w:rsidP="0045789B">
            <w:pPr>
              <w:autoSpaceDE w:val="0"/>
              <w:autoSpaceDN w:val="0"/>
              <w:adjustRightInd w:val="0"/>
              <w:spacing w:after="0" w:line="240" w:lineRule="auto"/>
              <w:rPr>
                <w:rFonts w:ascii="Cambria" w:eastAsia="MS Mincho" w:hAnsi="Cambria"/>
                <w:color w:val="000000"/>
              </w:rPr>
            </w:pPr>
          </w:p>
          <w:p w14:paraId="5EEF2064" w14:textId="77777777" w:rsidR="00A518D3" w:rsidRPr="00DD1E2F" w:rsidRDefault="00A518D3" w:rsidP="0045789B">
            <w:pPr>
              <w:autoSpaceDE w:val="0"/>
              <w:autoSpaceDN w:val="0"/>
              <w:adjustRightInd w:val="0"/>
              <w:spacing w:after="0" w:line="240" w:lineRule="auto"/>
              <w:jc w:val="center"/>
              <w:rPr>
                <w:rFonts w:ascii="Cambria" w:eastAsia="MS Mincho" w:hAnsi="Cambria"/>
                <w:color w:val="000000"/>
              </w:rPr>
            </w:pPr>
          </w:p>
          <w:p w14:paraId="16BA7F29" w14:textId="77777777" w:rsidR="00A518D3" w:rsidRPr="00DD1E2F" w:rsidRDefault="00A518D3" w:rsidP="0045789B">
            <w:pPr>
              <w:autoSpaceDE w:val="0"/>
              <w:autoSpaceDN w:val="0"/>
              <w:adjustRightInd w:val="0"/>
              <w:spacing w:after="0" w:line="240" w:lineRule="auto"/>
              <w:jc w:val="center"/>
              <w:rPr>
                <w:rFonts w:ascii="Cambria" w:eastAsia="MS Mincho" w:hAnsi="Cambria"/>
                <w:color w:val="000000"/>
              </w:rPr>
            </w:pPr>
            <w:r w:rsidRPr="00DD1E2F">
              <w:rPr>
                <w:rFonts w:ascii="Cambria" w:eastAsia="MS Mincho" w:hAnsi="Cambria"/>
                <w:b/>
                <w:bCs/>
                <w:color w:val="000000"/>
              </w:rPr>
              <w:t>Partial</w:t>
            </w:r>
            <w:r w:rsidRPr="00DD1E2F">
              <w:rPr>
                <w:rStyle w:val="FootnoteReference"/>
                <w:rFonts w:ascii="Cambria" w:eastAsia="MS Mincho" w:hAnsi="Cambria"/>
                <w:b/>
                <w:bCs/>
                <w:color w:val="000000"/>
              </w:rPr>
              <w:footnoteReference w:id="3"/>
            </w:r>
          </w:p>
        </w:tc>
      </w:tr>
    </w:tbl>
    <w:p w14:paraId="098FB685" w14:textId="77777777" w:rsidR="00583C84" w:rsidRPr="00DD1E2F" w:rsidRDefault="00583C84" w:rsidP="0045789B">
      <w:pPr>
        <w:autoSpaceDE w:val="0"/>
        <w:autoSpaceDN w:val="0"/>
        <w:adjustRightInd w:val="0"/>
        <w:spacing w:after="0" w:line="240" w:lineRule="auto"/>
        <w:ind w:firstLine="720"/>
        <w:jc w:val="both"/>
        <w:rPr>
          <w:rFonts w:ascii="Cambria" w:hAnsi="Cambria"/>
          <w:color w:val="000000"/>
        </w:rPr>
      </w:pPr>
    </w:p>
    <w:p w14:paraId="6959BAC5" w14:textId="77777777" w:rsidR="00583C84" w:rsidRPr="00DD1E2F" w:rsidRDefault="00583C84" w:rsidP="00AD711F">
      <w:pPr>
        <w:numPr>
          <w:ilvl w:val="0"/>
          <w:numId w:val="56"/>
        </w:numPr>
        <w:autoSpaceDE w:val="0"/>
        <w:autoSpaceDN w:val="0"/>
        <w:adjustRightInd w:val="0"/>
        <w:spacing w:after="0" w:line="240" w:lineRule="auto"/>
        <w:ind w:left="1440"/>
        <w:jc w:val="both"/>
        <w:rPr>
          <w:rFonts w:ascii="Cambria" w:hAnsi="Cambria"/>
          <w:color w:val="000000"/>
        </w:rPr>
      </w:pPr>
      <w:r w:rsidRPr="00DD1E2F">
        <w:rPr>
          <w:rFonts w:ascii="Cambria" w:hAnsi="Cambria" w:cs="Calibri Light"/>
          <w:b/>
          <w:color w:val="000000"/>
        </w:rPr>
        <w:t>LEVEL OF COMPLIANCE OF THE CASE</w:t>
      </w:r>
    </w:p>
    <w:p w14:paraId="325F0915" w14:textId="77777777" w:rsidR="00583C84" w:rsidRPr="00DD1E2F" w:rsidRDefault="00583C84" w:rsidP="0045789B">
      <w:pPr>
        <w:autoSpaceDE w:val="0"/>
        <w:autoSpaceDN w:val="0"/>
        <w:adjustRightInd w:val="0"/>
        <w:spacing w:after="0" w:line="240" w:lineRule="auto"/>
        <w:ind w:left="1440"/>
        <w:jc w:val="both"/>
        <w:rPr>
          <w:rFonts w:ascii="Cambria" w:hAnsi="Cambria"/>
          <w:color w:val="000000"/>
        </w:rPr>
      </w:pPr>
    </w:p>
    <w:p w14:paraId="02EC4B97" w14:textId="45904082" w:rsidR="00910BBC" w:rsidRPr="00DD1E2F" w:rsidRDefault="0006009D" w:rsidP="00AD711F">
      <w:pPr>
        <w:pStyle w:val="ListParagraph"/>
        <w:numPr>
          <w:ilvl w:val="0"/>
          <w:numId w:val="104"/>
        </w:numPr>
        <w:spacing w:after="0" w:line="240" w:lineRule="auto"/>
        <w:ind w:left="0" w:firstLine="709"/>
        <w:jc w:val="both"/>
        <w:rPr>
          <w:rFonts w:ascii="Cambria" w:hAnsi="Cambria"/>
          <w:lang w:val="en-US"/>
        </w:rPr>
      </w:pPr>
      <w:r w:rsidRPr="00DD1E2F">
        <w:rPr>
          <w:rFonts w:ascii="Cambria" w:hAnsi="Cambria"/>
          <w:color w:val="000000"/>
          <w:lang w:val="en-US"/>
        </w:rPr>
        <w:t xml:space="preserve">The Commission noted that the petitioners </w:t>
      </w:r>
      <w:r w:rsidR="00910BBC" w:rsidRPr="00DD1E2F">
        <w:rPr>
          <w:rFonts w:ascii="Cambria" w:hAnsi="Cambria"/>
          <w:color w:val="000000"/>
          <w:lang w:val="en-US"/>
        </w:rPr>
        <w:t>did</w:t>
      </w:r>
      <w:r w:rsidRPr="00DD1E2F">
        <w:rPr>
          <w:rFonts w:ascii="Cambria" w:hAnsi="Cambria"/>
          <w:color w:val="000000"/>
          <w:lang w:val="en-US"/>
        </w:rPr>
        <w:t xml:space="preserve"> not submit updated information since the publication of the friendly settlement agreement </w:t>
      </w:r>
      <w:r w:rsidR="001C70F1">
        <w:rPr>
          <w:rFonts w:ascii="Cambria" w:hAnsi="Cambria"/>
          <w:color w:val="000000"/>
          <w:lang w:val="en-US"/>
        </w:rPr>
        <w:t>since</w:t>
      </w:r>
      <w:r w:rsidRPr="00DD1E2F">
        <w:rPr>
          <w:rFonts w:ascii="Cambria" w:hAnsi="Cambria"/>
          <w:color w:val="000000"/>
          <w:lang w:val="en-US"/>
        </w:rPr>
        <w:t xml:space="preserve"> 2000. </w:t>
      </w:r>
      <w:r w:rsidR="00910BBC" w:rsidRPr="00DD1E2F">
        <w:rPr>
          <w:rFonts w:ascii="Cambria" w:hAnsi="Cambria"/>
          <w:color w:val="000000"/>
          <w:lang w:val="en-US"/>
        </w:rPr>
        <w:t>Additionally, the Commission</w:t>
      </w:r>
      <w:r w:rsidRPr="00DD1E2F">
        <w:rPr>
          <w:rFonts w:ascii="Cambria" w:hAnsi="Cambria"/>
          <w:color w:val="000000"/>
          <w:lang w:val="en-US"/>
        </w:rPr>
        <w:t xml:space="preserve"> note</w:t>
      </w:r>
      <w:r w:rsidR="00910BBC" w:rsidRPr="00DD1E2F">
        <w:rPr>
          <w:rFonts w:ascii="Cambria" w:hAnsi="Cambria"/>
          <w:color w:val="000000"/>
          <w:lang w:val="en-US"/>
        </w:rPr>
        <w:t>d</w:t>
      </w:r>
      <w:r w:rsidRPr="00DD1E2F">
        <w:rPr>
          <w:rFonts w:ascii="Cambria" w:hAnsi="Cambria"/>
          <w:color w:val="000000"/>
          <w:lang w:val="en-US"/>
        </w:rPr>
        <w:t xml:space="preserve"> that since publication of the FSA, the Commission ha</w:t>
      </w:r>
      <w:r w:rsidR="0045789B" w:rsidRPr="00DD1E2F">
        <w:rPr>
          <w:rFonts w:ascii="Cambria" w:hAnsi="Cambria"/>
          <w:color w:val="000000"/>
          <w:lang w:val="en-US"/>
        </w:rPr>
        <w:t>d</w:t>
      </w:r>
      <w:r w:rsidRPr="00DD1E2F">
        <w:rPr>
          <w:rFonts w:ascii="Cambria" w:hAnsi="Cambria"/>
          <w:color w:val="000000"/>
          <w:lang w:val="en-US"/>
        </w:rPr>
        <w:t xml:space="preserve"> been following up on compliance with the clauses agreed upon by the parties in Chapter II G of the Annual Report, presented to the OAS General Assembly. </w:t>
      </w:r>
      <w:r w:rsidR="00910BBC" w:rsidRPr="00DD1E2F">
        <w:rPr>
          <w:rFonts w:ascii="Cambria" w:hAnsi="Cambria"/>
          <w:lang w:val="en-US"/>
        </w:rPr>
        <w:t xml:space="preserve">As part of this follow-up, the petitioning party was requested updated information each year, granting them a reasonable period of time to submit the information they deem necessary. </w:t>
      </w:r>
    </w:p>
    <w:p w14:paraId="3E1C94FB" w14:textId="77777777" w:rsidR="00910BBC" w:rsidRPr="00DD1E2F" w:rsidRDefault="00910BBC" w:rsidP="0045789B">
      <w:pPr>
        <w:pStyle w:val="ListParagraph"/>
        <w:spacing w:after="0" w:line="240" w:lineRule="auto"/>
        <w:ind w:left="709"/>
        <w:jc w:val="both"/>
        <w:rPr>
          <w:rFonts w:ascii="Cambria" w:hAnsi="Cambria"/>
          <w:lang w:val="en-US"/>
        </w:rPr>
      </w:pPr>
    </w:p>
    <w:p w14:paraId="698C32B5" w14:textId="77777777" w:rsidR="00692DC7" w:rsidRPr="00692DC7" w:rsidRDefault="0006009D" w:rsidP="00692DC7">
      <w:pPr>
        <w:pStyle w:val="ListParagraph"/>
        <w:numPr>
          <w:ilvl w:val="0"/>
          <w:numId w:val="104"/>
        </w:numPr>
        <w:spacing w:after="0" w:line="240" w:lineRule="auto"/>
        <w:ind w:left="0" w:firstLine="709"/>
        <w:jc w:val="both"/>
        <w:rPr>
          <w:rFonts w:ascii="Cambria" w:hAnsi="Cambria"/>
          <w:lang w:val="en-US"/>
        </w:rPr>
      </w:pPr>
      <w:r w:rsidRPr="00DD1E2F">
        <w:rPr>
          <w:rFonts w:ascii="Cambria" w:hAnsi="Cambria"/>
          <w:color w:val="000000"/>
          <w:lang w:val="en-US"/>
        </w:rPr>
        <w:t>Based on the foregoing and t</w:t>
      </w:r>
      <w:r w:rsidR="00583C84" w:rsidRPr="00DD1E2F">
        <w:rPr>
          <w:rFonts w:ascii="Cambria" w:hAnsi="Cambria"/>
          <w:color w:val="000000"/>
          <w:lang w:val="en-US"/>
        </w:rPr>
        <w:t>aking into account that the petitioners did not submit the comprehensive report as requested by the IACHR on February 11, 2020 and noting the unjustified procedural inactivity of the petitioners, which constitutes a serious indication of disinterest in the follow-up on</w:t>
      </w:r>
      <w:r w:rsidRPr="00DD1E2F">
        <w:rPr>
          <w:rFonts w:ascii="Cambria" w:hAnsi="Cambria"/>
          <w:color w:val="000000"/>
          <w:lang w:val="en-US"/>
        </w:rPr>
        <w:t xml:space="preserve"> the FSA, the Commission decided</w:t>
      </w:r>
      <w:r w:rsidR="00583C84" w:rsidRPr="00DD1E2F">
        <w:rPr>
          <w:rFonts w:ascii="Cambria" w:hAnsi="Cambria"/>
          <w:color w:val="000000"/>
          <w:lang w:val="en-US"/>
        </w:rPr>
        <w:t xml:space="preserve"> to cease the follow-up of the compliance of the friendly settlement agreement and archive the case </w:t>
      </w:r>
      <w:r w:rsidRPr="00DD1E2F">
        <w:rPr>
          <w:rFonts w:ascii="Cambria" w:hAnsi="Cambria"/>
          <w:color w:val="000000"/>
          <w:lang w:val="en-US"/>
        </w:rPr>
        <w:t xml:space="preserve">in accordance with Articles 42 and 48 of its Rules of Procedure, </w:t>
      </w:r>
      <w:r w:rsidR="00583C84" w:rsidRPr="00DD1E2F">
        <w:rPr>
          <w:rFonts w:ascii="Cambria" w:hAnsi="Cambria"/>
          <w:color w:val="000000"/>
          <w:lang w:val="en-US"/>
        </w:rPr>
        <w:t xml:space="preserve">noting on the record of its Annual Report  to the General Assembly of the Organization of American States, that there has been partial compliance with the friendly settlement agreement. </w:t>
      </w:r>
    </w:p>
    <w:p w14:paraId="42822C36" w14:textId="77777777" w:rsidR="00692DC7" w:rsidRDefault="00692DC7" w:rsidP="00692DC7">
      <w:pPr>
        <w:pStyle w:val="ListParagraph"/>
        <w:rPr>
          <w:rFonts w:ascii="Cambria" w:hAnsi="Cambria"/>
          <w:color w:val="000000"/>
          <w:lang w:val="en-US"/>
        </w:rPr>
      </w:pPr>
    </w:p>
    <w:p w14:paraId="16E6E105" w14:textId="77777777" w:rsidR="00E979A1" w:rsidRPr="00692DC7" w:rsidRDefault="00E979A1" w:rsidP="00692DC7">
      <w:pPr>
        <w:pStyle w:val="ListParagraph"/>
        <w:numPr>
          <w:ilvl w:val="0"/>
          <w:numId w:val="104"/>
        </w:numPr>
        <w:spacing w:after="0" w:line="240" w:lineRule="auto"/>
        <w:ind w:left="0" w:firstLine="709"/>
        <w:jc w:val="both"/>
        <w:rPr>
          <w:rFonts w:ascii="Cambria" w:hAnsi="Cambria"/>
          <w:lang w:val="en-US"/>
        </w:rPr>
      </w:pPr>
      <w:r w:rsidRPr="00692DC7">
        <w:rPr>
          <w:rFonts w:ascii="Cambria" w:hAnsi="Cambria"/>
          <w:color w:val="000000"/>
          <w:lang w:val="en-US"/>
        </w:rPr>
        <w:t>Cons</w:t>
      </w:r>
      <w:r w:rsidR="0006009D" w:rsidRPr="00692DC7">
        <w:rPr>
          <w:rFonts w:ascii="Cambria" w:hAnsi="Cambria"/>
          <w:color w:val="000000"/>
          <w:lang w:val="en-US"/>
        </w:rPr>
        <w:t>equently, the Commission decided</w:t>
      </w:r>
      <w:r w:rsidRPr="00692DC7">
        <w:rPr>
          <w:rFonts w:ascii="Cambria" w:hAnsi="Cambria"/>
          <w:color w:val="000000"/>
          <w:lang w:val="en-US"/>
        </w:rPr>
        <w:t xml:space="preserve"> to cease the follow-up on compliance with the friendly settlement agreement and archive the matter. </w:t>
      </w:r>
    </w:p>
    <w:p w14:paraId="325348A5" w14:textId="77777777" w:rsidR="00583C84" w:rsidRPr="00DD1E2F" w:rsidRDefault="00583C84" w:rsidP="0045789B">
      <w:pPr>
        <w:autoSpaceDE w:val="0"/>
        <w:autoSpaceDN w:val="0"/>
        <w:adjustRightInd w:val="0"/>
        <w:spacing w:after="0" w:line="240" w:lineRule="auto"/>
        <w:jc w:val="both"/>
        <w:rPr>
          <w:rFonts w:ascii="Cambria" w:hAnsi="Cambria"/>
          <w:color w:val="000000"/>
        </w:rPr>
      </w:pPr>
    </w:p>
    <w:p w14:paraId="4016B4E3" w14:textId="77777777" w:rsidR="00583C84" w:rsidRPr="00DD1E2F" w:rsidRDefault="00583C84" w:rsidP="00AD711F">
      <w:pPr>
        <w:pStyle w:val="LightGrid-Accent31"/>
        <w:numPr>
          <w:ilvl w:val="0"/>
          <w:numId w:val="56"/>
        </w:numPr>
        <w:spacing w:after="0" w:line="240" w:lineRule="auto"/>
        <w:ind w:left="1440"/>
        <w:jc w:val="both"/>
        <w:rPr>
          <w:rFonts w:ascii="Cambria" w:hAnsi="Cambria" w:cs="Calibri Light"/>
          <w:b/>
          <w:color w:val="000000"/>
        </w:rPr>
      </w:pPr>
      <w:r w:rsidRPr="00DD1E2F">
        <w:rPr>
          <w:rFonts w:ascii="Cambria" w:hAnsi="Cambria" w:cs="Calibri Light"/>
          <w:b/>
          <w:color w:val="000000"/>
        </w:rPr>
        <w:t xml:space="preserve">INDIVIDUAL AND STRUCTURAL OUTCOMES OF THE CASE </w:t>
      </w:r>
    </w:p>
    <w:p w14:paraId="4226453A" w14:textId="77777777" w:rsidR="00583C84" w:rsidRPr="00DD1E2F" w:rsidRDefault="00583C84" w:rsidP="0045789B">
      <w:pPr>
        <w:pStyle w:val="LightGrid-Accent31"/>
        <w:spacing w:after="0" w:line="240" w:lineRule="auto"/>
        <w:ind w:left="1080"/>
        <w:jc w:val="both"/>
        <w:rPr>
          <w:rFonts w:ascii="Cambria" w:hAnsi="Cambria" w:cs="Calibri Light"/>
          <w:b/>
          <w:color w:val="000000"/>
        </w:rPr>
      </w:pPr>
    </w:p>
    <w:p w14:paraId="513A96F7" w14:textId="77777777" w:rsidR="00583C84" w:rsidRPr="00DD1E2F" w:rsidRDefault="00E979A1" w:rsidP="00AD711F">
      <w:pPr>
        <w:pStyle w:val="LightGrid-Accent31"/>
        <w:numPr>
          <w:ilvl w:val="0"/>
          <w:numId w:val="57"/>
        </w:numPr>
        <w:spacing w:after="0" w:line="240" w:lineRule="auto"/>
        <w:ind w:left="1440" w:hanging="720"/>
        <w:jc w:val="both"/>
        <w:rPr>
          <w:rFonts w:ascii="Cambria" w:hAnsi="Cambria" w:cs="Calibri Light"/>
          <w:b/>
          <w:color w:val="000000"/>
        </w:rPr>
      </w:pPr>
      <w:r w:rsidRPr="00DD1E2F">
        <w:rPr>
          <w:rFonts w:ascii="Cambria" w:hAnsi="Cambria" w:cs="Calibri Light"/>
          <w:b/>
          <w:color w:val="000000"/>
        </w:rPr>
        <w:t>Individual outcomes of the case</w:t>
      </w:r>
    </w:p>
    <w:p w14:paraId="4FBE53DA" w14:textId="77777777" w:rsidR="00583C84" w:rsidRPr="00DD1E2F" w:rsidRDefault="00583C84" w:rsidP="0045789B">
      <w:pPr>
        <w:pStyle w:val="LightGrid-Accent31"/>
        <w:spacing w:after="0" w:line="240" w:lineRule="auto"/>
        <w:jc w:val="both"/>
        <w:rPr>
          <w:rFonts w:ascii="Cambria" w:hAnsi="Cambria" w:cs="Calibri Light"/>
          <w:b/>
          <w:color w:val="000000"/>
        </w:rPr>
      </w:pPr>
    </w:p>
    <w:p w14:paraId="53A3AF08" w14:textId="77777777" w:rsidR="0006009D" w:rsidRPr="00DD1E2F" w:rsidRDefault="00583C84" w:rsidP="0045789B">
      <w:pPr>
        <w:pStyle w:val="LightGrid-Accent31"/>
        <w:numPr>
          <w:ilvl w:val="0"/>
          <w:numId w:val="3"/>
        </w:numPr>
        <w:spacing w:after="0" w:line="240" w:lineRule="auto"/>
        <w:ind w:firstLine="0"/>
        <w:jc w:val="both"/>
        <w:rPr>
          <w:rFonts w:ascii="Cambria" w:hAnsi="Cambria"/>
          <w:color w:val="000000"/>
        </w:rPr>
      </w:pPr>
      <w:r w:rsidRPr="00DD1E2F">
        <w:rPr>
          <w:rFonts w:ascii="Cambria" w:hAnsi="Cambria"/>
          <w:color w:val="000000"/>
        </w:rPr>
        <w:t>The State paid financial compensation, as set forth under the agreement.</w:t>
      </w:r>
      <w:r w:rsidR="00910BBC" w:rsidRPr="00DD1E2F">
        <w:rPr>
          <w:rFonts w:ascii="Cambria" w:hAnsi="Cambria"/>
          <w:color w:val="000000"/>
        </w:rPr>
        <w:t xml:space="preserve">  </w:t>
      </w:r>
    </w:p>
    <w:p w14:paraId="497EA1C5" w14:textId="77777777" w:rsidR="00583C84" w:rsidRPr="00DD1E2F" w:rsidRDefault="00583C84" w:rsidP="0045789B">
      <w:pPr>
        <w:pStyle w:val="MediumGrid2-Accent11"/>
        <w:ind w:left="720" w:right="-270"/>
        <w:jc w:val="both"/>
        <w:rPr>
          <w:rFonts w:ascii="Cambria" w:hAnsi="Cambria"/>
          <w:b/>
          <w:color w:val="000000"/>
          <w:lang w:val="en-US"/>
        </w:rPr>
      </w:pPr>
    </w:p>
    <w:sectPr w:rsidR="00583C84" w:rsidRPr="00DD1E2F" w:rsidSect="00692D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2B4E" w14:textId="77777777" w:rsidR="00467D1D" w:rsidRDefault="00467D1D" w:rsidP="00A343FF">
      <w:pPr>
        <w:spacing w:after="0" w:line="240" w:lineRule="auto"/>
      </w:pPr>
      <w:r>
        <w:separator/>
      </w:r>
    </w:p>
  </w:endnote>
  <w:endnote w:type="continuationSeparator" w:id="0">
    <w:p w14:paraId="55C675FF" w14:textId="77777777" w:rsidR="00467D1D" w:rsidRDefault="00467D1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BB48"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3CBB"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5A758DF3"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3E92" w14:textId="77777777" w:rsidR="006D7134" w:rsidRDefault="00611E2C" w:rsidP="008F2248">
    <w:pPr>
      <w:pStyle w:val="Footer"/>
      <w:spacing w:line="360" w:lineRule="auto"/>
    </w:pPr>
    <w:r>
      <w:pict w14:anchorId="521FFB32">
        <v:rect id="_x0000_i1028" style="width:0;height:1.5pt" o:hralign="center" o:hrstd="t" o:hr="t" fillcolor="#a0a0a0" stroked="f"/>
      </w:pict>
    </w:r>
  </w:p>
  <w:p w14:paraId="23132515" w14:textId="77777777" w:rsidR="006D7134" w:rsidRDefault="00611E2C" w:rsidP="006E2BD8">
    <w:pPr>
      <w:pStyle w:val="Footer"/>
      <w:jc w:val="center"/>
    </w:pPr>
    <w:r>
      <w:pict w14:anchorId="2ABE7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D092" w14:textId="77777777" w:rsidR="00467D1D" w:rsidRDefault="00467D1D" w:rsidP="00A343FF">
      <w:pPr>
        <w:spacing w:after="0" w:line="240" w:lineRule="auto"/>
      </w:pPr>
      <w:r>
        <w:separator/>
      </w:r>
    </w:p>
  </w:footnote>
  <w:footnote w:type="continuationSeparator" w:id="0">
    <w:p w14:paraId="29ED07CF" w14:textId="77777777" w:rsidR="00467D1D" w:rsidRDefault="00467D1D" w:rsidP="00A343FF">
      <w:pPr>
        <w:spacing w:after="0" w:line="240" w:lineRule="auto"/>
      </w:pPr>
      <w:r>
        <w:continuationSeparator/>
      </w:r>
    </w:p>
  </w:footnote>
  <w:footnote w:id="1">
    <w:p w14:paraId="2FF490AC" w14:textId="77777777" w:rsidR="006D7134" w:rsidRPr="001800DD" w:rsidRDefault="006D7134" w:rsidP="00583C84">
      <w:pPr>
        <w:pStyle w:val="FootnoteText"/>
        <w:ind w:firstLine="720"/>
        <w:jc w:val="both"/>
        <w:rPr>
          <w:rFonts w:ascii="Cambria" w:hAnsi="Cambria"/>
          <w:color w:val="000000"/>
          <w:sz w:val="16"/>
          <w:szCs w:val="16"/>
        </w:rPr>
      </w:pPr>
      <w:r w:rsidRPr="001800DD">
        <w:rPr>
          <w:rStyle w:val="FootnoteReference"/>
          <w:rFonts w:ascii="Cambria" w:hAnsi="Cambria"/>
          <w:color w:val="000000"/>
          <w:sz w:val="16"/>
          <w:szCs w:val="16"/>
        </w:rPr>
        <w:footnoteRef/>
      </w:r>
      <w:r w:rsidRPr="001800DD">
        <w:rPr>
          <w:rFonts w:ascii="Cambria" w:hAnsi="Cambria"/>
          <w:color w:val="000000"/>
          <w:sz w:val="16"/>
          <w:szCs w:val="16"/>
        </w:rPr>
        <w:t xml:space="preserve"> IACHR, Report No. 99/00, Case 11.868, Friendly Settlement, Carlos Santiago and Pedro Andres Restrepo Arismendy, Ecuador, October 5, 2000. </w:t>
      </w:r>
    </w:p>
  </w:footnote>
  <w:footnote w:id="2">
    <w:p w14:paraId="545ED25A" w14:textId="77777777" w:rsidR="006D7134" w:rsidRPr="00AF3A07" w:rsidRDefault="006D7134" w:rsidP="00583C84">
      <w:pPr>
        <w:pStyle w:val="FootnoteText"/>
        <w:ind w:firstLine="720"/>
        <w:jc w:val="both"/>
        <w:rPr>
          <w:sz w:val="16"/>
          <w:szCs w:val="16"/>
        </w:rPr>
      </w:pPr>
      <w:r w:rsidRPr="001800DD">
        <w:rPr>
          <w:rStyle w:val="FootnoteReference"/>
          <w:sz w:val="16"/>
          <w:szCs w:val="16"/>
        </w:rPr>
        <w:footnoteRef/>
      </w:r>
      <w:r w:rsidRPr="001800DD">
        <w:rPr>
          <w:sz w:val="16"/>
          <w:szCs w:val="16"/>
        </w:rPr>
        <w:t xml:space="preserve"> </w:t>
      </w:r>
      <w:r w:rsidRPr="00AF3A07">
        <w:rPr>
          <w:rFonts w:ascii="Cambria" w:hAnsi="Cambria"/>
          <w:sz w:val="16"/>
          <w:szCs w:val="16"/>
        </w:rPr>
        <w:t xml:space="preserve">See IACHR, Annual Report 2020, Chapter II, Section G. Friendly Settlements. Available at: </w:t>
      </w:r>
      <w:hyperlink r:id="rId1" w:history="1">
        <w:r w:rsidRPr="00AF3A07">
          <w:rPr>
            <w:rStyle w:val="Hyperlink"/>
            <w:rFonts w:ascii="Cambria" w:hAnsi="Cambria"/>
            <w:sz w:val="16"/>
            <w:szCs w:val="16"/>
          </w:rPr>
          <w:t>http://www.oas.org/en/iachr/docs/annual/2020/Chapters/IA2020cap2-en.pdf</w:t>
        </w:r>
      </w:hyperlink>
    </w:p>
  </w:footnote>
  <w:footnote w:id="3">
    <w:p w14:paraId="54B8A58E" w14:textId="77777777" w:rsidR="00A518D3" w:rsidRPr="001800DD" w:rsidRDefault="00A518D3" w:rsidP="00583C84">
      <w:pPr>
        <w:pStyle w:val="FootnoteText"/>
        <w:ind w:firstLine="720"/>
        <w:jc w:val="both"/>
      </w:pPr>
      <w:r w:rsidRPr="00AF3A07">
        <w:rPr>
          <w:rStyle w:val="FootnoteReference"/>
          <w:sz w:val="16"/>
          <w:szCs w:val="16"/>
        </w:rPr>
        <w:footnoteRef/>
      </w:r>
      <w:r w:rsidRPr="00AF3A07">
        <w:rPr>
          <w:rFonts w:ascii="Cambria" w:hAnsi="Cambria"/>
          <w:sz w:val="16"/>
          <w:szCs w:val="16"/>
        </w:rPr>
        <w:t xml:space="preserve">See IACHR, Annual Report 2020, Chapter II, Section G. Friendly Settlements. Available at: </w:t>
      </w:r>
      <w:hyperlink r:id="rId2" w:history="1">
        <w:r w:rsidRPr="00AF3A07">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4DC6"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7A87" w14:textId="77777777" w:rsidR="006D7134" w:rsidRDefault="00611E2C" w:rsidP="00DC7C8F">
    <w:pPr>
      <w:pStyle w:val="Header"/>
      <w:jc w:val="center"/>
    </w:pPr>
    <w:r>
      <w:pict w14:anchorId="27BA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9pt">
          <v:imagedata r:id="rId1" o:title="iachr-peq"/>
        </v:shape>
      </w:pict>
    </w:r>
  </w:p>
  <w:p w14:paraId="56103641" w14:textId="77777777" w:rsidR="006D7134" w:rsidRDefault="00611E2C">
    <w:pPr>
      <w:pStyle w:val="Header"/>
    </w:pPr>
    <w:r>
      <w:pict w14:anchorId="7D5EDB57">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F8DA" w14:textId="77777777" w:rsidR="006D7134" w:rsidRDefault="00611E2C" w:rsidP="00A61B5E">
    <w:pPr>
      <w:pStyle w:val="Header"/>
    </w:pPr>
    <w:r>
      <w:rPr>
        <w:noProof/>
      </w:rPr>
      <w:pict w14:anchorId="518A8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4A1FABED">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443995D7" w14:textId="77777777" w:rsidR="006D7134" w:rsidRDefault="006D7134" w:rsidP="00A61B5E">
    <w:pPr>
      <w:pStyle w:val="Header"/>
    </w:pPr>
  </w:p>
  <w:p w14:paraId="7036405B" w14:textId="77777777" w:rsidR="006D7134" w:rsidRDefault="006D7134" w:rsidP="00A61B5E">
    <w:pPr>
      <w:pStyle w:val="Header"/>
    </w:pPr>
  </w:p>
  <w:p w14:paraId="6C4FC86F" w14:textId="77777777" w:rsidR="006D7134" w:rsidRDefault="00611E2C" w:rsidP="00A61B5E">
    <w:pPr>
      <w:pStyle w:val="Header"/>
    </w:pPr>
    <w:r>
      <w:pict w14:anchorId="3C137944">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2114849">
    <w:abstractNumId w:val="78"/>
  </w:num>
  <w:num w:numId="2" w16cid:durableId="1905022395">
    <w:abstractNumId w:val="59"/>
  </w:num>
  <w:num w:numId="3" w16cid:durableId="693382980">
    <w:abstractNumId w:val="21"/>
  </w:num>
  <w:num w:numId="4" w16cid:durableId="2089502091">
    <w:abstractNumId w:val="52"/>
  </w:num>
  <w:num w:numId="5" w16cid:durableId="712776501">
    <w:abstractNumId w:val="3"/>
  </w:num>
  <w:num w:numId="6" w16cid:durableId="1839148971">
    <w:abstractNumId w:val="44"/>
  </w:num>
  <w:num w:numId="7" w16cid:durableId="1554537130">
    <w:abstractNumId w:val="104"/>
  </w:num>
  <w:num w:numId="8" w16cid:durableId="2080057357">
    <w:abstractNumId w:val="36"/>
  </w:num>
  <w:num w:numId="9" w16cid:durableId="814759851">
    <w:abstractNumId w:val="0"/>
  </w:num>
  <w:num w:numId="10" w16cid:durableId="1332176236">
    <w:abstractNumId w:val="30"/>
  </w:num>
  <w:num w:numId="11" w16cid:durableId="465514907">
    <w:abstractNumId w:val="65"/>
  </w:num>
  <w:num w:numId="12" w16cid:durableId="1403063594">
    <w:abstractNumId w:val="68"/>
  </w:num>
  <w:num w:numId="13" w16cid:durableId="1147011670">
    <w:abstractNumId w:val="51"/>
  </w:num>
  <w:num w:numId="14" w16cid:durableId="1449229457">
    <w:abstractNumId w:val="1"/>
  </w:num>
  <w:num w:numId="15" w16cid:durableId="499004508">
    <w:abstractNumId w:val="47"/>
  </w:num>
  <w:num w:numId="16" w16cid:durableId="1536845814">
    <w:abstractNumId w:val="67"/>
  </w:num>
  <w:num w:numId="17" w16cid:durableId="260996186">
    <w:abstractNumId w:val="48"/>
  </w:num>
  <w:num w:numId="18" w16cid:durableId="1387988039">
    <w:abstractNumId w:val="100"/>
  </w:num>
  <w:num w:numId="19" w16cid:durableId="1064570678">
    <w:abstractNumId w:val="70"/>
  </w:num>
  <w:num w:numId="20" w16cid:durableId="1024205771">
    <w:abstractNumId w:val="31"/>
  </w:num>
  <w:num w:numId="21" w16cid:durableId="1702046691">
    <w:abstractNumId w:val="9"/>
  </w:num>
  <w:num w:numId="22" w16cid:durableId="1394428781">
    <w:abstractNumId w:val="32"/>
  </w:num>
  <w:num w:numId="23" w16cid:durableId="1518276925">
    <w:abstractNumId w:val="2"/>
  </w:num>
  <w:num w:numId="24" w16cid:durableId="371658235">
    <w:abstractNumId w:val="81"/>
  </w:num>
  <w:num w:numId="25" w16cid:durableId="191263662">
    <w:abstractNumId w:val="92"/>
  </w:num>
  <w:num w:numId="26" w16cid:durableId="640623768">
    <w:abstractNumId w:val="98"/>
  </w:num>
  <w:num w:numId="27" w16cid:durableId="4428471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4225287">
    <w:abstractNumId w:val="76"/>
  </w:num>
  <w:num w:numId="29" w16cid:durableId="568226906">
    <w:abstractNumId w:val="16"/>
  </w:num>
  <w:num w:numId="30" w16cid:durableId="1698116621">
    <w:abstractNumId w:val="13"/>
  </w:num>
  <w:num w:numId="31" w16cid:durableId="38746288">
    <w:abstractNumId w:val="63"/>
  </w:num>
  <w:num w:numId="32" w16cid:durableId="1725367932">
    <w:abstractNumId w:val="23"/>
  </w:num>
  <w:num w:numId="33" w16cid:durableId="4019676">
    <w:abstractNumId w:val="11"/>
  </w:num>
  <w:num w:numId="34" w16cid:durableId="856626295">
    <w:abstractNumId w:val="66"/>
  </w:num>
  <w:num w:numId="35" w16cid:durableId="1232158230">
    <w:abstractNumId w:val="5"/>
  </w:num>
  <w:num w:numId="36" w16cid:durableId="24528258">
    <w:abstractNumId w:val="7"/>
  </w:num>
  <w:num w:numId="37" w16cid:durableId="1276132369">
    <w:abstractNumId w:val="53"/>
  </w:num>
  <w:num w:numId="38" w16cid:durableId="304316272">
    <w:abstractNumId w:val="54"/>
  </w:num>
  <w:num w:numId="39" w16cid:durableId="1362702812">
    <w:abstractNumId w:val="27"/>
  </w:num>
  <w:num w:numId="40" w16cid:durableId="145126145">
    <w:abstractNumId w:val="35"/>
  </w:num>
  <w:num w:numId="41" w16cid:durableId="1263802240">
    <w:abstractNumId w:val="77"/>
  </w:num>
  <w:num w:numId="42" w16cid:durableId="1215779297">
    <w:abstractNumId w:val="22"/>
  </w:num>
  <w:num w:numId="43" w16cid:durableId="1936017276">
    <w:abstractNumId w:val="64"/>
  </w:num>
  <w:num w:numId="44" w16cid:durableId="793523331">
    <w:abstractNumId w:val="24"/>
  </w:num>
  <w:num w:numId="45" w16cid:durableId="1235749122">
    <w:abstractNumId w:val="87"/>
  </w:num>
  <w:num w:numId="46" w16cid:durableId="890188627">
    <w:abstractNumId w:val="42"/>
  </w:num>
  <w:num w:numId="47" w16cid:durableId="582685663">
    <w:abstractNumId w:val="61"/>
  </w:num>
  <w:num w:numId="48" w16cid:durableId="40715750">
    <w:abstractNumId w:val="99"/>
  </w:num>
  <w:num w:numId="49" w16cid:durableId="1510169800">
    <w:abstractNumId w:val="90"/>
  </w:num>
  <w:num w:numId="50" w16cid:durableId="639530699">
    <w:abstractNumId w:val="40"/>
  </w:num>
  <w:num w:numId="51" w16cid:durableId="417559497">
    <w:abstractNumId w:val="93"/>
  </w:num>
  <w:num w:numId="52" w16cid:durableId="705522737">
    <w:abstractNumId w:val="49"/>
  </w:num>
  <w:num w:numId="53" w16cid:durableId="1778980433">
    <w:abstractNumId w:val="83"/>
  </w:num>
  <w:num w:numId="54" w16cid:durableId="1493325743">
    <w:abstractNumId w:val="33"/>
  </w:num>
  <w:num w:numId="55" w16cid:durableId="598871217">
    <w:abstractNumId w:val="4"/>
  </w:num>
  <w:num w:numId="56" w16cid:durableId="497043055">
    <w:abstractNumId w:val="28"/>
  </w:num>
  <w:num w:numId="57" w16cid:durableId="1212427155">
    <w:abstractNumId w:val="10"/>
  </w:num>
  <w:num w:numId="58" w16cid:durableId="1429544266">
    <w:abstractNumId w:val="75"/>
  </w:num>
  <w:num w:numId="59" w16cid:durableId="1452476041">
    <w:abstractNumId w:val="55"/>
  </w:num>
  <w:num w:numId="60" w16cid:durableId="1440640279">
    <w:abstractNumId w:val="73"/>
  </w:num>
  <w:num w:numId="61" w16cid:durableId="17734774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8871940">
    <w:abstractNumId w:val="102"/>
  </w:num>
  <w:num w:numId="63" w16cid:durableId="917060846">
    <w:abstractNumId w:val="82"/>
  </w:num>
  <w:num w:numId="64" w16cid:durableId="956908153">
    <w:abstractNumId w:val="26"/>
  </w:num>
  <w:num w:numId="65" w16cid:durableId="14766790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09459878">
    <w:abstractNumId w:val="95"/>
  </w:num>
  <w:num w:numId="67" w16cid:durableId="72094908">
    <w:abstractNumId w:val="19"/>
  </w:num>
  <w:num w:numId="68" w16cid:durableId="461772742">
    <w:abstractNumId w:val="20"/>
  </w:num>
  <w:num w:numId="69" w16cid:durableId="1142503476">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526094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17186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10118678">
    <w:abstractNumId w:val="60"/>
  </w:num>
  <w:num w:numId="73" w16cid:durableId="35612427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2911945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398660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74746062">
    <w:abstractNumId w:val="88"/>
  </w:num>
  <w:num w:numId="77" w16cid:durableId="4903716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531919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8541586">
    <w:abstractNumId w:val="72"/>
  </w:num>
  <w:num w:numId="80" w16cid:durableId="1752583566">
    <w:abstractNumId w:val="6"/>
  </w:num>
  <w:num w:numId="81" w16cid:durableId="356926218">
    <w:abstractNumId w:val="86"/>
  </w:num>
  <w:num w:numId="82" w16cid:durableId="240452490">
    <w:abstractNumId w:val="71"/>
  </w:num>
  <w:num w:numId="83" w16cid:durableId="19779037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07940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46373251">
    <w:abstractNumId w:val="79"/>
  </w:num>
  <w:num w:numId="86" w16cid:durableId="485827428">
    <w:abstractNumId w:val="17"/>
  </w:num>
  <w:num w:numId="87" w16cid:durableId="1576475520">
    <w:abstractNumId w:val="85"/>
  </w:num>
  <w:num w:numId="88" w16cid:durableId="855726947">
    <w:abstractNumId w:val="15"/>
  </w:num>
  <w:num w:numId="89" w16cid:durableId="768618161">
    <w:abstractNumId w:val="69"/>
  </w:num>
  <w:num w:numId="90" w16cid:durableId="2102794653">
    <w:abstractNumId w:val="46"/>
  </w:num>
  <w:num w:numId="91" w16cid:durableId="1661301513">
    <w:abstractNumId w:val="91"/>
  </w:num>
  <w:num w:numId="92" w16cid:durableId="39060283">
    <w:abstractNumId w:val="43"/>
  </w:num>
  <w:num w:numId="93" w16cid:durableId="259261423">
    <w:abstractNumId w:val="8"/>
  </w:num>
  <w:num w:numId="94" w16cid:durableId="285502149">
    <w:abstractNumId w:val="37"/>
  </w:num>
  <w:num w:numId="95" w16cid:durableId="1424839519">
    <w:abstractNumId w:val="38"/>
  </w:num>
  <w:num w:numId="96" w16cid:durableId="663704791">
    <w:abstractNumId w:val="39"/>
  </w:num>
  <w:num w:numId="97" w16cid:durableId="2066759807">
    <w:abstractNumId w:val="12"/>
  </w:num>
  <w:num w:numId="98" w16cid:durableId="32928748">
    <w:abstractNumId w:val="89"/>
  </w:num>
  <w:num w:numId="99" w16cid:durableId="1938438869">
    <w:abstractNumId w:val="74"/>
  </w:num>
  <w:num w:numId="100" w16cid:durableId="1260529838">
    <w:abstractNumId w:val="29"/>
  </w:num>
  <w:num w:numId="101" w16cid:durableId="1394041807">
    <w:abstractNumId w:val="103"/>
  </w:num>
  <w:num w:numId="102" w16cid:durableId="1281179540">
    <w:abstractNumId w:val="80"/>
  </w:num>
  <w:num w:numId="103" w16cid:durableId="1147821746">
    <w:abstractNumId w:val="41"/>
  </w:num>
  <w:num w:numId="104" w16cid:durableId="490946694">
    <w:abstractNumId w:val="84"/>
  </w:num>
  <w:num w:numId="105" w16cid:durableId="359012158">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C70F1"/>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186E"/>
    <w:rsid w:val="003F262C"/>
    <w:rsid w:val="00414974"/>
    <w:rsid w:val="00433F4F"/>
    <w:rsid w:val="00436C38"/>
    <w:rsid w:val="0045789B"/>
    <w:rsid w:val="00467D1D"/>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16B1"/>
    <w:rsid w:val="005E3827"/>
    <w:rsid w:val="005F4AAA"/>
    <w:rsid w:val="00602467"/>
    <w:rsid w:val="00604132"/>
    <w:rsid w:val="00611E2C"/>
    <w:rsid w:val="00613DA3"/>
    <w:rsid w:val="0061420C"/>
    <w:rsid w:val="006436A8"/>
    <w:rsid w:val="00652C68"/>
    <w:rsid w:val="00666251"/>
    <w:rsid w:val="00675F22"/>
    <w:rsid w:val="00692DC7"/>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1A26"/>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85566"/>
    <w:rsid w:val="00B93993"/>
    <w:rsid w:val="00BA2B9F"/>
    <w:rsid w:val="00BA3C5C"/>
    <w:rsid w:val="00BB13EE"/>
    <w:rsid w:val="00BD5884"/>
    <w:rsid w:val="00BE28A3"/>
    <w:rsid w:val="00BE32DA"/>
    <w:rsid w:val="00BE4A59"/>
    <w:rsid w:val="00BE53EB"/>
    <w:rsid w:val="00BF2D33"/>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76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n/iachr/decisions/friendly.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20/Chapters/IA2020cap2-en.pdf" TargetMode="External"/><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2.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89D9E7B1-1FD5-4496-B6F7-6AB41CE7ABA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Links>
    <vt:vector size="18" baseType="variant">
      <vt:variant>
        <vt:i4>7077996</vt:i4>
      </vt:variant>
      <vt:variant>
        <vt:i4>0</vt:i4>
      </vt:variant>
      <vt:variant>
        <vt:i4>0</vt:i4>
      </vt:variant>
      <vt:variant>
        <vt:i4>5</vt:i4>
      </vt:variant>
      <vt:variant>
        <vt:lpwstr>http://www.oas.org/en/iachr/decisions/friendly.asp</vt:lpwstr>
      </vt:variant>
      <vt:variant>
        <vt:lpwstr/>
      </vt:variant>
      <vt:variant>
        <vt:i4>3670115</vt:i4>
      </vt:variant>
      <vt:variant>
        <vt:i4>3</vt:i4>
      </vt:variant>
      <vt:variant>
        <vt:i4>0</vt:i4>
      </vt:variant>
      <vt:variant>
        <vt:i4>5</vt:i4>
      </vt:variant>
      <vt:variant>
        <vt:lpwstr>http://www.oas.org/en/iachr/docs/annual/2020/Chapters/IA2020cap2-en.pdf</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