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CD3B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745B2F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31E7A">
                              <w:rPr>
                                <w:rFonts w:asciiTheme="majorHAnsi" w:hAnsiTheme="majorHAnsi" w:cs="Arial"/>
                                <w:b/>
                                <w:bCs/>
                                <w:color w:val="0D0D0D" w:themeColor="text1" w:themeTint="F2"/>
                                <w:sz w:val="36"/>
                                <w:szCs w:val="40"/>
                              </w:rPr>
                              <w:t>78</w:t>
                            </w:r>
                            <w:r w:rsidR="00322450" w:rsidRPr="004B7EB6">
                              <w:rPr>
                                <w:rFonts w:asciiTheme="majorHAnsi" w:hAnsiTheme="majorHAnsi" w:cs="Arial"/>
                                <w:b/>
                                <w:bCs/>
                                <w:color w:val="0D0D0D" w:themeColor="text1" w:themeTint="F2"/>
                                <w:sz w:val="36"/>
                                <w:szCs w:val="40"/>
                              </w:rPr>
                              <w:t>/1</w:t>
                            </w:r>
                            <w:r w:rsidR="009413D0">
                              <w:rPr>
                                <w:rFonts w:asciiTheme="majorHAnsi" w:hAnsiTheme="majorHAnsi" w:cs="Arial"/>
                                <w:b/>
                                <w:bCs/>
                                <w:color w:val="0D0D0D" w:themeColor="text1" w:themeTint="F2"/>
                                <w:sz w:val="36"/>
                                <w:szCs w:val="40"/>
                              </w:rPr>
                              <w:t>9</w:t>
                            </w:r>
                          </w:p>
                          <w:p w14:paraId="081F51F3" w14:textId="36DD5A8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413D0">
                              <w:rPr>
                                <w:rFonts w:asciiTheme="majorHAnsi" w:hAnsiTheme="majorHAnsi" w:cs="Arial"/>
                                <w:b/>
                                <w:bCs/>
                                <w:color w:val="0D0D0D" w:themeColor="text1" w:themeTint="F2"/>
                                <w:sz w:val="36"/>
                                <w:szCs w:val="40"/>
                              </w:rPr>
                              <w:t>128</w:t>
                            </w:r>
                            <w:r w:rsidR="00F621C3">
                              <w:rPr>
                                <w:rFonts w:asciiTheme="majorHAnsi" w:hAnsiTheme="majorHAnsi" w:cs="Arial"/>
                                <w:b/>
                                <w:bCs/>
                                <w:color w:val="0D0D0D" w:themeColor="text1" w:themeTint="F2"/>
                                <w:sz w:val="36"/>
                                <w:szCs w:val="40"/>
                              </w:rPr>
                              <w:t>-</w:t>
                            </w:r>
                            <w:r w:rsidR="009413D0">
                              <w:rPr>
                                <w:rFonts w:asciiTheme="majorHAnsi" w:hAnsiTheme="majorHAnsi" w:cs="Arial"/>
                                <w:b/>
                                <w:bCs/>
                                <w:color w:val="0D0D0D" w:themeColor="text1" w:themeTint="F2"/>
                                <w:sz w:val="36"/>
                                <w:szCs w:val="40"/>
                              </w:rPr>
                              <w:t>09</w:t>
                            </w:r>
                          </w:p>
                          <w:p w14:paraId="34978E5A" w14:textId="084A2686"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FA34BFF" w14:textId="77777777" w:rsidR="009413D0" w:rsidRPr="00023E3B" w:rsidRDefault="009413D0" w:rsidP="00941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023E3B">
                              <w:rPr>
                                <w:rFonts w:ascii="Cambria" w:hAnsi="Cambria" w:cs="Arial"/>
                                <w:color w:val="0D0D0D"/>
                                <w:szCs w:val="22"/>
                                <w:lang w:val="es-ES"/>
                              </w:rPr>
                              <w:t>FANNY YOLANDA ZARABIA MARTÍNEZ AND FAMILY</w:t>
                            </w:r>
                          </w:p>
                          <w:p w14:paraId="48EBC31A" w14:textId="46A7673A" w:rsidR="00F42B71" w:rsidRPr="00023E3B" w:rsidRDefault="009413D0" w:rsidP="00941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023E3B">
                              <w:rPr>
                                <w:rFonts w:ascii="Cambria" w:hAnsi="Cambria" w:cs="Arial"/>
                                <w:color w:val="0D0D0D"/>
                                <w:szCs w:val="22"/>
                                <w:lang w:val="es-ES"/>
                              </w:rPr>
                              <w:t>ECUADOR</w:t>
                            </w:r>
                          </w:p>
                          <w:p w14:paraId="17A89EFB" w14:textId="77777777" w:rsidR="005B52B0" w:rsidRPr="00023E3B" w:rsidRDefault="005B52B0" w:rsidP="00F42B71">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7745B2F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31E7A">
                        <w:rPr>
                          <w:rFonts w:asciiTheme="majorHAnsi" w:hAnsiTheme="majorHAnsi" w:cs="Arial"/>
                          <w:b/>
                          <w:bCs/>
                          <w:color w:val="0D0D0D" w:themeColor="text1" w:themeTint="F2"/>
                          <w:sz w:val="36"/>
                          <w:szCs w:val="40"/>
                        </w:rPr>
                        <w:t>78</w:t>
                      </w:r>
                      <w:r w:rsidR="00322450" w:rsidRPr="004B7EB6">
                        <w:rPr>
                          <w:rFonts w:asciiTheme="majorHAnsi" w:hAnsiTheme="majorHAnsi" w:cs="Arial"/>
                          <w:b/>
                          <w:bCs/>
                          <w:color w:val="0D0D0D" w:themeColor="text1" w:themeTint="F2"/>
                          <w:sz w:val="36"/>
                          <w:szCs w:val="40"/>
                        </w:rPr>
                        <w:t>/1</w:t>
                      </w:r>
                      <w:r w:rsidR="009413D0">
                        <w:rPr>
                          <w:rFonts w:asciiTheme="majorHAnsi" w:hAnsiTheme="majorHAnsi" w:cs="Arial"/>
                          <w:b/>
                          <w:bCs/>
                          <w:color w:val="0D0D0D" w:themeColor="text1" w:themeTint="F2"/>
                          <w:sz w:val="36"/>
                          <w:szCs w:val="40"/>
                        </w:rPr>
                        <w:t>9</w:t>
                      </w:r>
                    </w:p>
                    <w:p w14:paraId="081F51F3" w14:textId="36DD5A8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413D0">
                        <w:rPr>
                          <w:rFonts w:asciiTheme="majorHAnsi" w:hAnsiTheme="majorHAnsi" w:cs="Arial"/>
                          <w:b/>
                          <w:bCs/>
                          <w:color w:val="0D0D0D" w:themeColor="text1" w:themeTint="F2"/>
                          <w:sz w:val="36"/>
                          <w:szCs w:val="40"/>
                        </w:rPr>
                        <w:t>128</w:t>
                      </w:r>
                      <w:r w:rsidR="00F621C3">
                        <w:rPr>
                          <w:rFonts w:asciiTheme="majorHAnsi" w:hAnsiTheme="majorHAnsi" w:cs="Arial"/>
                          <w:b/>
                          <w:bCs/>
                          <w:color w:val="0D0D0D" w:themeColor="text1" w:themeTint="F2"/>
                          <w:sz w:val="36"/>
                          <w:szCs w:val="40"/>
                        </w:rPr>
                        <w:t>-</w:t>
                      </w:r>
                      <w:r w:rsidR="009413D0">
                        <w:rPr>
                          <w:rFonts w:asciiTheme="majorHAnsi" w:hAnsiTheme="majorHAnsi" w:cs="Arial"/>
                          <w:b/>
                          <w:bCs/>
                          <w:color w:val="0D0D0D" w:themeColor="text1" w:themeTint="F2"/>
                          <w:sz w:val="36"/>
                          <w:szCs w:val="40"/>
                        </w:rPr>
                        <w:t>09</w:t>
                      </w:r>
                    </w:p>
                    <w:p w14:paraId="34978E5A" w14:textId="084A2686"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FA34BFF" w14:textId="77777777" w:rsidR="009413D0" w:rsidRPr="00023E3B" w:rsidRDefault="009413D0" w:rsidP="00941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023E3B">
                        <w:rPr>
                          <w:rFonts w:ascii="Cambria" w:hAnsi="Cambria" w:cs="Arial"/>
                          <w:color w:val="0D0D0D"/>
                          <w:szCs w:val="22"/>
                          <w:lang w:val="es-ES"/>
                        </w:rPr>
                        <w:t>FANNY YOLANDA ZARABIA MARTÍNEZ AND FAMILY</w:t>
                      </w:r>
                    </w:p>
                    <w:p w14:paraId="48EBC31A" w14:textId="46A7673A" w:rsidR="00F42B71" w:rsidRPr="00023E3B" w:rsidRDefault="009413D0" w:rsidP="00941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023E3B">
                        <w:rPr>
                          <w:rFonts w:ascii="Cambria" w:hAnsi="Cambria" w:cs="Arial"/>
                          <w:color w:val="0D0D0D"/>
                          <w:szCs w:val="22"/>
                          <w:lang w:val="es-ES"/>
                        </w:rPr>
                        <w:t>ECUADOR</w:t>
                      </w:r>
                    </w:p>
                    <w:p w14:paraId="17A89EFB" w14:textId="77777777" w:rsidR="005B52B0" w:rsidRPr="00023E3B" w:rsidRDefault="005B52B0" w:rsidP="00F42B71">
                      <w:pPr>
                        <w:spacing w:line="276" w:lineRule="auto"/>
                        <w:rPr>
                          <w:rFonts w:asciiTheme="majorHAnsi" w:hAnsiTheme="majorHAnsi"/>
                          <w:color w:val="0D0D0D" w:themeColor="text1" w:themeTint="F2"/>
                          <w:lang w:val="es-ES"/>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081621A" w:rsidR="00627C9F" w:rsidRPr="00736E06"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w:t>
                            </w:r>
                            <w:r w:rsidRPr="00736E06">
                              <w:rPr>
                                <w:rFonts w:asciiTheme="minorHAnsi" w:hAnsiTheme="minorHAnsi"/>
                                <w:color w:val="FFFFFF" w:themeColor="background1"/>
                                <w:sz w:val="22"/>
                                <w:lang w:val="pt-BR"/>
                              </w:rPr>
                              <w:t>/V/II.</w:t>
                            </w:r>
                          </w:p>
                          <w:p w14:paraId="4AA08A8C" w14:textId="542594B3" w:rsidR="00627C9F" w:rsidRPr="00736E06" w:rsidRDefault="00CA6577" w:rsidP="009E566A">
                            <w:pPr>
                              <w:jc w:val="right"/>
                              <w:rPr>
                                <w:rFonts w:asciiTheme="minorHAnsi" w:hAnsiTheme="minorHAnsi"/>
                                <w:color w:val="FFFFFF" w:themeColor="background1"/>
                                <w:sz w:val="22"/>
                                <w:lang w:val="pt-BR"/>
                              </w:rPr>
                            </w:pPr>
                            <w:r w:rsidRPr="00736E06">
                              <w:rPr>
                                <w:rFonts w:asciiTheme="minorHAnsi" w:hAnsiTheme="minorHAnsi"/>
                                <w:color w:val="FFFFFF" w:themeColor="background1"/>
                                <w:sz w:val="22"/>
                                <w:lang w:val="pt-BR"/>
                              </w:rPr>
                              <w:t xml:space="preserve">Doc. </w:t>
                            </w:r>
                            <w:r w:rsidR="00023E3B">
                              <w:rPr>
                                <w:rFonts w:asciiTheme="minorHAnsi" w:hAnsiTheme="minorHAnsi"/>
                                <w:color w:val="FFFFFF" w:themeColor="background1"/>
                                <w:sz w:val="22"/>
                                <w:lang w:val="pt-BR"/>
                              </w:rPr>
                              <w:t>87</w:t>
                            </w:r>
                          </w:p>
                          <w:p w14:paraId="0BEFF61A" w14:textId="75CBD4AD" w:rsidR="00627C9F" w:rsidRPr="00736E06" w:rsidRDefault="00023E3B"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25 May 2019</w:t>
                            </w:r>
                          </w:p>
                          <w:p w14:paraId="0FC103BD" w14:textId="1A8F46B3" w:rsidR="00627C9F" w:rsidRPr="00736E06" w:rsidRDefault="00627C9F" w:rsidP="009E566A">
                            <w:pPr>
                              <w:jc w:val="right"/>
                              <w:rPr>
                                <w:rFonts w:asciiTheme="minorHAnsi" w:hAnsiTheme="minorHAnsi"/>
                                <w:color w:val="FFFFFF" w:themeColor="background1"/>
                                <w:sz w:val="22"/>
                              </w:rPr>
                            </w:pPr>
                            <w:r w:rsidRPr="00736E06">
                              <w:rPr>
                                <w:rFonts w:asciiTheme="minorHAnsi" w:hAnsiTheme="minorHAnsi"/>
                                <w:color w:val="FFFFFF" w:themeColor="background1"/>
                                <w:sz w:val="22"/>
                              </w:rPr>
                              <w:t>Original:</w:t>
                            </w:r>
                            <w:r w:rsidR="002C1641" w:rsidRPr="00736E06">
                              <w:rPr>
                                <w:rFonts w:asciiTheme="minorHAnsi" w:hAnsiTheme="minorHAnsi"/>
                                <w:color w:val="FFFFFF" w:themeColor="background1"/>
                                <w:sz w:val="22"/>
                              </w:rPr>
                              <w:t xml:space="preserve"> </w:t>
                            </w:r>
                            <w:r w:rsidR="00F42B71" w:rsidRPr="00736E0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6081621A" w:rsidR="00627C9F" w:rsidRPr="00736E06"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w:t>
                      </w:r>
                      <w:r w:rsidRPr="00736E06">
                        <w:rPr>
                          <w:rFonts w:asciiTheme="minorHAnsi" w:hAnsiTheme="minorHAnsi"/>
                          <w:color w:val="FFFFFF" w:themeColor="background1"/>
                          <w:sz w:val="22"/>
                          <w:lang w:val="pt-BR"/>
                        </w:rPr>
                        <w:t>/V/II.</w:t>
                      </w:r>
                    </w:p>
                    <w:p w14:paraId="4AA08A8C" w14:textId="542594B3" w:rsidR="00627C9F" w:rsidRPr="00736E06" w:rsidRDefault="00CA6577" w:rsidP="009E566A">
                      <w:pPr>
                        <w:jc w:val="right"/>
                        <w:rPr>
                          <w:rFonts w:asciiTheme="minorHAnsi" w:hAnsiTheme="minorHAnsi"/>
                          <w:color w:val="FFFFFF" w:themeColor="background1"/>
                          <w:sz w:val="22"/>
                          <w:lang w:val="pt-BR"/>
                        </w:rPr>
                      </w:pPr>
                      <w:r w:rsidRPr="00736E06">
                        <w:rPr>
                          <w:rFonts w:asciiTheme="minorHAnsi" w:hAnsiTheme="minorHAnsi"/>
                          <w:color w:val="FFFFFF" w:themeColor="background1"/>
                          <w:sz w:val="22"/>
                          <w:lang w:val="pt-BR"/>
                        </w:rPr>
                        <w:t xml:space="preserve">Doc. </w:t>
                      </w:r>
                      <w:r w:rsidR="00023E3B">
                        <w:rPr>
                          <w:rFonts w:asciiTheme="minorHAnsi" w:hAnsiTheme="minorHAnsi"/>
                          <w:color w:val="FFFFFF" w:themeColor="background1"/>
                          <w:sz w:val="22"/>
                          <w:lang w:val="pt-BR"/>
                        </w:rPr>
                        <w:t>87</w:t>
                      </w:r>
                    </w:p>
                    <w:p w14:paraId="0BEFF61A" w14:textId="75CBD4AD" w:rsidR="00627C9F" w:rsidRPr="00736E06" w:rsidRDefault="00023E3B"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25 May 2019</w:t>
                      </w:r>
                    </w:p>
                    <w:p w14:paraId="0FC103BD" w14:textId="1A8F46B3" w:rsidR="00627C9F" w:rsidRPr="00736E06" w:rsidRDefault="00627C9F" w:rsidP="009E566A">
                      <w:pPr>
                        <w:jc w:val="right"/>
                        <w:rPr>
                          <w:rFonts w:asciiTheme="minorHAnsi" w:hAnsiTheme="minorHAnsi"/>
                          <w:color w:val="FFFFFF" w:themeColor="background1"/>
                          <w:sz w:val="22"/>
                        </w:rPr>
                      </w:pPr>
                      <w:r w:rsidRPr="00736E06">
                        <w:rPr>
                          <w:rFonts w:asciiTheme="minorHAnsi" w:hAnsiTheme="minorHAnsi"/>
                          <w:color w:val="FFFFFF" w:themeColor="background1"/>
                          <w:sz w:val="22"/>
                        </w:rPr>
                        <w:t>Original:</w:t>
                      </w:r>
                      <w:r w:rsidR="002C1641" w:rsidRPr="00736E06">
                        <w:rPr>
                          <w:rFonts w:asciiTheme="minorHAnsi" w:hAnsiTheme="minorHAnsi"/>
                          <w:color w:val="FFFFFF" w:themeColor="background1"/>
                          <w:sz w:val="22"/>
                        </w:rPr>
                        <w:t xml:space="preserve"> </w:t>
                      </w:r>
                      <w:r w:rsidR="00F42B71" w:rsidRPr="00736E06">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1E6F50FA"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331E7A">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331E7A">
                              <w:rPr>
                                <w:rFonts w:asciiTheme="majorHAnsi" w:hAnsiTheme="majorHAnsi"/>
                                <w:color w:val="0D0D0D" w:themeColor="text1" w:themeTint="F2"/>
                                <w:sz w:val="18"/>
                                <w:szCs w:val="20"/>
                              </w:rPr>
                              <w:t>May 25</w:t>
                            </w:r>
                            <w:r w:rsidR="000C4365">
                              <w:rPr>
                                <w:rFonts w:asciiTheme="majorHAnsi" w:hAnsiTheme="majorHAnsi"/>
                                <w:color w:val="0D0D0D" w:themeColor="text1" w:themeTint="F2"/>
                                <w:sz w:val="18"/>
                                <w:szCs w:val="20"/>
                              </w:rPr>
                              <w:t>, 201</w:t>
                            </w:r>
                            <w:r w:rsidR="00331E7A">
                              <w:rPr>
                                <w:rFonts w:asciiTheme="majorHAnsi" w:hAnsiTheme="majorHAnsi"/>
                                <w:color w:val="0D0D0D" w:themeColor="text1" w:themeTint="F2"/>
                                <w:sz w:val="18"/>
                                <w:szCs w:val="20"/>
                              </w:rPr>
                              <w:t>9</w:t>
                            </w:r>
                            <w:r w:rsidR="002F4622">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1E6F50FA"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331E7A">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331E7A">
                        <w:rPr>
                          <w:rFonts w:asciiTheme="majorHAnsi" w:hAnsiTheme="majorHAnsi"/>
                          <w:color w:val="0D0D0D" w:themeColor="text1" w:themeTint="F2"/>
                          <w:sz w:val="18"/>
                          <w:szCs w:val="20"/>
                        </w:rPr>
                        <w:t>May 25</w:t>
                      </w:r>
                      <w:r w:rsidR="000C4365">
                        <w:rPr>
                          <w:rFonts w:asciiTheme="majorHAnsi" w:hAnsiTheme="majorHAnsi"/>
                          <w:color w:val="0D0D0D" w:themeColor="text1" w:themeTint="F2"/>
                          <w:sz w:val="18"/>
                          <w:szCs w:val="20"/>
                        </w:rPr>
                        <w:t>, 201</w:t>
                      </w:r>
                      <w:r w:rsidR="00331E7A">
                        <w:rPr>
                          <w:rFonts w:asciiTheme="majorHAnsi" w:hAnsiTheme="majorHAnsi"/>
                          <w:color w:val="0D0D0D" w:themeColor="text1" w:themeTint="F2"/>
                          <w:sz w:val="18"/>
                          <w:szCs w:val="20"/>
                        </w:rPr>
                        <w:t>9</w:t>
                      </w:r>
                      <w:r w:rsidR="002F4622">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191F57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31E7A">
                              <w:rPr>
                                <w:rFonts w:asciiTheme="majorHAnsi" w:hAnsiTheme="majorHAnsi"/>
                                <w:color w:val="595959" w:themeColor="text1" w:themeTint="A6"/>
                                <w:sz w:val="18"/>
                              </w:rPr>
                              <w:t>78</w:t>
                            </w:r>
                            <w:r w:rsidR="00022CF5">
                              <w:rPr>
                                <w:rFonts w:asciiTheme="majorHAnsi" w:hAnsiTheme="majorHAnsi"/>
                                <w:color w:val="595959" w:themeColor="text1" w:themeTint="A6"/>
                                <w:sz w:val="18"/>
                              </w:rPr>
                              <w:t>/</w:t>
                            </w:r>
                            <w:r w:rsidR="00331E7A">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413D0">
                              <w:rPr>
                                <w:rFonts w:asciiTheme="majorHAnsi" w:hAnsiTheme="majorHAnsi"/>
                                <w:color w:val="595959" w:themeColor="text1" w:themeTint="A6"/>
                                <w:sz w:val="18"/>
                              </w:rPr>
                              <w:t>128</w:t>
                            </w:r>
                            <w:r w:rsidR="00F621C3">
                              <w:rPr>
                                <w:rFonts w:asciiTheme="majorHAnsi" w:hAnsiTheme="majorHAnsi"/>
                                <w:color w:val="595959" w:themeColor="text1" w:themeTint="A6"/>
                                <w:sz w:val="18"/>
                              </w:rPr>
                              <w:t>-</w:t>
                            </w:r>
                            <w:r w:rsidR="009413D0">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00331E7A">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009413D0">
                              <w:rPr>
                                <w:rFonts w:asciiTheme="majorHAnsi" w:hAnsiTheme="majorHAnsi"/>
                                <w:color w:val="595959" w:themeColor="text1" w:themeTint="A6"/>
                                <w:sz w:val="18"/>
                              </w:rPr>
                              <w:t xml:space="preserve">Fanny Yolanda </w:t>
                            </w:r>
                            <w:proofErr w:type="spellStart"/>
                            <w:r w:rsidR="009413D0">
                              <w:rPr>
                                <w:rFonts w:asciiTheme="majorHAnsi" w:hAnsiTheme="majorHAnsi"/>
                                <w:color w:val="595959" w:themeColor="text1" w:themeTint="A6"/>
                                <w:sz w:val="18"/>
                              </w:rPr>
                              <w:t>Zarabia</w:t>
                            </w:r>
                            <w:proofErr w:type="spellEnd"/>
                            <w:r w:rsidR="009413D0">
                              <w:rPr>
                                <w:rFonts w:asciiTheme="majorHAnsi" w:hAnsiTheme="majorHAnsi"/>
                                <w:color w:val="595959" w:themeColor="text1" w:themeTint="A6"/>
                                <w:sz w:val="18"/>
                              </w:rPr>
                              <w:t xml:space="preserve"> </w:t>
                            </w:r>
                            <w:proofErr w:type="spellStart"/>
                            <w:r w:rsidR="009413D0">
                              <w:rPr>
                                <w:rFonts w:asciiTheme="majorHAnsi" w:hAnsiTheme="majorHAnsi"/>
                                <w:color w:val="595959" w:themeColor="text1" w:themeTint="A6"/>
                                <w:sz w:val="18"/>
                              </w:rPr>
                              <w:t>Martínez</w:t>
                            </w:r>
                            <w:proofErr w:type="spellEnd"/>
                            <w:r w:rsidR="009413D0">
                              <w:rPr>
                                <w:rFonts w:asciiTheme="majorHAnsi" w:hAnsiTheme="majorHAnsi"/>
                                <w:color w:val="595959" w:themeColor="text1" w:themeTint="A6"/>
                                <w:sz w:val="18"/>
                              </w:rPr>
                              <w:t xml:space="preserve"> and family</w:t>
                            </w:r>
                            <w:r w:rsidR="00331E7A">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009413D0">
                              <w:rPr>
                                <w:rFonts w:asciiTheme="majorHAnsi" w:hAnsiTheme="majorHAnsi"/>
                                <w:color w:val="595959" w:themeColor="text1" w:themeTint="A6"/>
                                <w:sz w:val="18"/>
                              </w:rPr>
                              <w:t>Ecuador</w:t>
                            </w:r>
                            <w:r w:rsidR="00022CF5">
                              <w:rPr>
                                <w:rFonts w:asciiTheme="majorHAnsi" w:hAnsiTheme="majorHAnsi"/>
                                <w:color w:val="595959" w:themeColor="text1" w:themeTint="A6"/>
                                <w:sz w:val="18"/>
                              </w:rPr>
                              <w:t xml:space="preserve">. </w:t>
                            </w:r>
                            <w:r w:rsidR="00331E7A">
                              <w:rPr>
                                <w:rFonts w:asciiTheme="majorHAnsi" w:hAnsiTheme="majorHAnsi"/>
                                <w:color w:val="595959" w:themeColor="text1" w:themeTint="A6"/>
                                <w:sz w:val="18"/>
                              </w:rPr>
                              <w:t>May 25, 2019</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5191F57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31E7A">
                        <w:rPr>
                          <w:rFonts w:asciiTheme="majorHAnsi" w:hAnsiTheme="majorHAnsi"/>
                          <w:color w:val="595959" w:themeColor="text1" w:themeTint="A6"/>
                          <w:sz w:val="18"/>
                        </w:rPr>
                        <w:t>78</w:t>
                      </w:r>
                      <w:r w:rsidR="00022CF5">
                        <w:rPr>
                          <w:rFonts w:asciiTheme="majorHAnsi" w:hAnsiTheme="majorHAnsi"/>
                          <w:color w:val="595959" w:themeColor="text1" w:themeTint="A6"/>
                          <w:sz w:val="18"/>
                        </w:rPr>
                        <w:t>/</w:t>
                      </w:r>
                      <w:r w:rsidR="00331E7A">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413D0">
                        <w:rPr>
                          <w:rFonts w:asciiTheme="majorHAnsi" w:hAnsiTheme="majorHAnsi"/>
                          <w:color w:val="595959" w:themeColor="text1" w:themeTint="A6"/>
                          <w:sz w:val="18"/>
                        </w:rPr>
                        <w:t>128</w:t>
                      </w:r>
                      <w:r w:rsidR="00F621C3">
                        <w:rPr>
                          <w:rFonts w:asciiTheme="majorHAnsi" w:hAnsiTheme="majorHAnsi"/>
                          <w:color w:val="595959" w:themeColor="text1" w:themeTint="A6"/>
                          <w:sz w:val="18"/>
                        </w:rPr>
                        <w:t>-</w:t>
                      </w:r>
                      <w:r w:rsidR="009413D0">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00331E7A">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009413D0">
                        <w:rPr>
                          <w:rFonts w:asciiTheme="majorHAnsi" w:hAnsiTheme="majorHAnsi"/>
                          <w:color w:val="595959" w:themeColor="text1" w:themeTint="A6"/>
                          <w:sz w:val="18"/>
                        </w:rPr>
                        <w:t xml:space="preserve">Fanny Yolanda </w:t>
                      </w:r>
                      <w:proofErr w:type="spellStart"/>
                      <w:r w:rsidR="009413D0">
                        <w:rPr>
                          <w:rFonts w:asciiTheme="majorHAnsi" w:hAnsiTheme="majorHAnsi"/>
                          <w:color w:val="595959" w:themeColor="text1" w:themeTint="A6"/>
                          <w:sz w:val="18"/>
                        </w:rPr>
                        <w:t>Zarabia</w:t>
                      </w:r>
                      <w:proofErr w:type="spellEnd"/>
                      <w:r w:rsidR="009413D0">
                        <w:rPr>
                          <w:rFonts w:asciiTheme="majorHAnsi" w:hAnsiTheme="majorHAnsi"/>
                          <w:color w:val="595959" w:themeColor="text1" w:themeTint="A6"/>
                          <w:sz w:val="18"/>
                        </w:rPr>
                        <w:t xml:space="preserve"> </w:t>
                      </w:r>
                      <w:proofErr w:type="spellStart"/>
                      <w:r w:rsidR="009413D0">
                        <w:rPr>
                          <w:rFonts w:asciiTheme="majorHAnsi" w:hAnsiTheme="majorHAnsi"/>
                          <w:color w:val="595959" w:themeColor="text1" w:themeTint="A6"/>
                          <w:sz w:val="18"/>
                        </w:rPr>
                        <w:t>Martínez</w:t>
                      </w:r>
                      <w:proofErr w:type="spellEnd"/>
                      <w:r w:rsidR="009413D0">
                        <w:rPr>
                          <w:rFonts w:asciiTheme="majorHAnsi" w:hAnsiTheme="majorHAnsi"/>
                          <w:color w:val="595959" w:themeColor="text1" w:themeTint="A6"/>
                          <w:sz w:val="18"/>
                        </w:rPr>
                        <w:t xml:space="preserve"> and family</w:t>
                      </w:r>
                      <w:r w:rsidR="00331E7A">
                        <w:rPr>
                          <w:rFonts w:asciiTheme="majorHAnsi" w:hAnsiTheme="majorHAnsi"/>
                          <w:color w:val="595959" w:themeColor="text1" w:themeTint="A6"/>
                          <w:sz w:val="18"/>
                        </w:rPr>
                        <w:t>.</w:t>
                      </w:r>
                      <w:r w:rsidRPr="003C32BC">
                        <w:rPr>
                          <w:rFonts w:asciiTheme="majorHAnsi" w:hAnsiTheme="majorHAnsi"/>
                          <w:color w:val="595959" w:themeColor="text1" w:themeTint="A6"/>
                          <w:sz w:val="18"/>
                        </w:rPr>
                        <w:t xml:space="preserve"> </w:t>
                      </w:r>
                      <w:r w:rsidR="009413D0">
                        <w:rPr>
                          <w:rFonts w:asciiTheme="majorHAnsi" w:hAnsiTheme="majorHAnsi"/>
                          <w:color w:val="595959" w:themeColor="text1" w:themeTint="A6"/>
                          <w:sz w:val="18"/>
                        </w:rPr>
                        <w:t>Ecuador</w:t>
                      </w:r>
                      <w:r w:rsidR="00022CF5">
                        <w:rPr>
                          <w:rFonts w:asciiTheme="majorHAnsi" w:hAnsiTheme="majorHAnsi"/>
                          <w:color w:val="595959" w:themeColor="text1" w:themeTint="A6"/>
                          <w:sz w:val="18"/>
                        </w:rPr>
                        <w:t xml:space="preserve">. </w:t>
                      </w:r>
                      <w:r w:rsidR="00331E7A">
                        <w:rPr>
                          <w:rFonts w:asciiTheme="majorHAnsi" w:hAnsiTheme="majorHAnsi"/>
                          <w:color w:val="595959" w:themeColor="text1" w:themeTint="A6"/>
                          <w:sz w:val="18"/>
                        </w:rPr>
                        <w:t>May 25, 2019</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0E2879" w:rsidRPr="00FA5106" w14:paraId="491E8196" w14:textId="77777777" w:rsidTr="008F60EF">
        <w:tc>
          <w:tcPr>
            <w:tcW w:w="3690" w:type="dxa"/>
            <w:tcBorders>
              <w:top w:val="single" w:sz="4" w:space="0" w:color="auto"/>
              <w:bottom w:val="single" w:sz="6" w:space="0" w:color="auto"/>
            </w:tcBorders>
            <w:shd w:val="clear" w:color="auto" w:fill="67AE3C"/>
            <w:vAlign w:val="center"/>
          </w:tcPr>
          <w:p w14:paraId="5524F917" w14:textId="2D6C5F0F" w:rsidR="000E2879" w:rsidRPr="00FA5106" w:rsidRDefault="000E2879" w:rsidP="009163FC">
            <w:pPr>
              <w:jc w:val="center"/>
              <w:rPr>
                <w:rFonts w:ascii="Cambria" w:hAnsi="Cambria"/>
                <w:b/>
                <w:bCs/>
                <w:color w:val="FFFFFF" w:themeColor="background1"/>
                <w:sz w:val="19"/>
                <w:szCs w:val="19"/>
              </w:rPr>
            </w:pPr>
            <w:r w:rsidRPr="00FA5106">
              <w:rPr>
                <w:rFonts w:ascii="Cambria" w:hAnsi="Cambria"/>
                <w:b/>
                <w:bCs/>
                <w:color w:val="FFFFFF" w:themeColor="background1"/>
                <w:sz w:val="19"/>
                <w:szCs w:val="19"/>
              </w:rPr>
              <w:t>Petitioner:</w:t>
            </w:r>
          </w:p>
        </w:tc>
        <w:tc>
          <w:tcPr>
            <w:tcW w:w="5670" w:type="dxa"/>
            <w:vAlign w:val="center"/>
          </w:tcPr>
          <w:p w14:paraId="0674C7B8" w14:textId="565EA1C6" w:rsidR="000E2879" w:rsidRPr="00FA5106" w:rsidRDefault="000E2879" w:rsidP="008F60EF">
            <w:pPr>
              <w:jc w:val="both"/>
              <w:rPr>
                <w:rFonts w:asciiTheme="majorHAnsi" w:hAnsiTheme="majorHAnsi"/>
                <w:bCs/>
                <w:sz w:val="19"/>
                <w:szCs w:val="19"/>
              </w:rPr>
            </w:pPr>
            <w:r w:rsidRPr="00FA5106">
              <w:rPr>
                <w:rFonts w:asciiTheme="majorHAnsi" w:hAnsiTheme="majorHAnsi"/>
                <w:sz w:val="19"/>
                <w:szCs w:val="19"/>
              </w:rPr>
              <w:t xml:space="preserve">Fanny Yolanda </w:t>
            </w:r>
            <w:proofErr w:type="spellStart"/>
            <w:r w:rsidRPr="00FA5106">
              <w:rPr>
                <w:rFonts w:asciiTheme="majorHAnsi" w:hAnsiTheme="majorHAnsi"/>
                <w:sz w:val="19"/>
                <w:szCs w:val="19"/>
              </w:rPr>
              <w:t>Zarabia</w:t>
            </w:r>
            <w:proofErr w:type="spellEnd"/>
            <w:r w:rsidRPr="00FA5106">
              <w:rPr>
                <w:rFonts w:asciiTheme="majorHAnsi" w:hAnsiTheme="majorHAnsi"/>
                <w:sz w:val="19"/>
                <w:szCs w:val="19"/>
              </w:rPr>
              <w:t xml:space="preserve"> </w:t>
            </w:r>
            <w:proofErr w:type="spellStart"/>
            <w:r w:rsidRPr="00FA5106">
              <w:rPr>
                <w:rFonts w:asciiTheme="majorHAnsi" w:hAnsiTheme="majorHAnsi"/>
                <w:sz w:val="19"/>
                <w:szCs w:val="19"/>
              </w:rPr>
              <w:t>Martínez</w:t>
            </w:r>
            <w:proofErr w:type="spellEnd"/>
            <w:r w:rsidRPr="00FA5106">
              <w:rPr>
                <w:rFonts w:asciiTheme="majorHAnsi" w:hAnsiTheme="majorHAnsi"/>
                <w:sz w:val="19"/>
                <w:szCs w:val="19"/>
              </w:rPr>
              <w:t xml:space="preserve"> and Enrique Rojas Franco</w:t>
            </w:r>
          </w:p>
        </w:tc>
      </w:tr>
      <w:tr w:rsidR="000E2879" w:rsidRPr="00FA5106" w14:paraId="0F4A57A0" w14:textId="77777777" w:rsidTr="008F60EF">
        <w:tc>
          <w:tcPr>
            <w:tcW w:w="3690" w:type="dxa"/>
            <w:tcBorders>
              <w:top w:val="single" w:sz="6" w:space="0" w:color="auto"/>
              <w:bottom w:val="single" w:sz="6" w:space="0" w:color="auto"/>
            </w:tcBorders>
            <w:shd w:val="clear" w:color="auto" w:fill="67AE3C"/>
            <w:vAlign w:val="center"/>
          </w:tcPr>
          <w:p w14:paraId="325E239F" w14:textId="5CA6565C" w:rsidR="000E2879" w:rsidRPr="00FA5106" w:rsidRDefault="00A959DA" w:rsidP="009163FC">
            <w:pPr>
              <w:jc w:val="center"/>
              <w:rPr>
                <w:rFonts w:ascii="Cambria" w:hAnsi="Cambria"/>
                <w:b/>
                <w:bCs/>
                <w:color w:val="FFFFFF" w:themeColor="background1"/>
                <w:sz w:val="19"/>
                <w:szCs w:val="19"/>
              </w:rPr>
            </w:pPr>
            <w:sdt>
              <w:sdtPr>
                <w:rPr>
                  <w:rFonts w:ascii="Cambria" w:hAnsi="Cambria"/>
                  <w:b/>
                  <w:bCs/>
                  <w:color w:val="FFFFFF" w:themeColor="background1"/>
                  <w:sz w:val="19"/>
                  <w:szCs w:val="19"/>
                </w:rPr>
                <w:alias w:val="Elegir una opción"/>
                <w:tag w:val="Elegir una opción"/>
                <w:id w:val="931095713"/>
                <w:placeholder>
                  <w:docPart w:val="FCEC047D70324A9D9B7A5CE89F54762E"/>
                </w:placeholder>
                <w:dropDownList>
                  <w:listItem w:value="Choose an item."/>
                  <w:listItem w:displayText="Alleged victim" w:value="Alleged victim"/>
                  <w:listItem w:displayText="Alleged victims" w:value="Alleged victims"/>
                </w:dropDownList>
              </w:sdtPr>
              <w:sdtEndPr/>
              <w:sdtContent>
                <w:r w:rsidR="000E2879" w:rsidRPr="00FA5106">
                  <w:rPr>
                    <w:rFonts w:ascii="Cambria" w:hAnsi="Cambria"/>
                    <w:b/>
                    <w:bCs/>
                    <w:color w:val="FFFFFF" w:themeColor="background1"/>
                    <w:sz w:val="19"/>
                    <w:szCs w:val="19"/>
                  </w:rPr>
                  <w:t>Alleged victim</w:t>
                </w:r>
              </w:sdtContent>
            </w:sdt>
            <w:r w:rsidR="000E2879" w:rsidRPr="00FA5106">
              <w:rPr>
                <w:rFonts w:ascii="Cambria" w:hAnsi="Cambria"/>
                <w:b/>
                <w:bCs/>
                <w:color w:val="FFFFFF" w:themeColor="background1"/>
                <w:sz w:val="19"/>
                <w:szCs w:val="19"/>
              </w:rPr>
              <w:t>:</w:t>
            </w:r>
          </w:p>
        </w:tc>
        <w:tc>
          <w:tcPr>
            <w:tcW w:w="5670" w:type="dxa"/>
            <w:vAlign w:val="center"/>
          </w:tcPr>
          <w:p w14:paraId="60895337" w14:textId="0770FA15" w:rsidR="000E2879" w:rsidRPr="00FA5106" w:rsidRDefault="000E2879" w:rsidP="008F60EF">
            <w:pPr>
              <w:jc w:val="both"/>
              <w:rPr>
                <w:rFonts w:asciiTheme="majorHAnsi" w:hAnsiTheme="majorHAnsi"/>
                <w:bCs/>
                <w:sz w:val="19"/>
                <w:szCs w:val="19"/>
              </w:rPr>
            </w:pPr>
            <w:r w:rsidRPr="00FA5106">
              <w:rPr>
                <w:rFonts w:asciiTheme="majorHAnsi" w:hAnsiTheme="majorHAnsi"/>
                <w:sz w:val="19"/>
                <w:szCs w:val="19"/>
              </w:rPr>
              <w:t xml:space="preserve">Fanny Yolanda </w:t>
            </w:r>
            <w:proofErr w:type="spellStart"/>
            <w:r w:rsidRPr="00FA5106">
              <w:rPr>
                <w:rFonts w:asciiTheme="majorHAnsi" w:hAnsiTheme="majorHAnsi"/>
                <w:sz w:val="19"/>
                <w:szCs w:val="19"/>
              </w:rPr>
              <w:t>Zarabia</w:t>
            </w:r>
            <w:proofErr w:type="spellEnd"/>
            <w:r w:rsidRPr="00FA5106">
              <w:rPr>
                <w:rFonts w:asciiTheme="majorHAnsi" w:hAnsiTheme="majorHAnsi"/>
                <w:sz w:val="19"/>
                <w:szCs w:val="19"/>
              </w:rPr>
              <w:t xml:space="preserve"> </w:t>
            </w:r>
            <w:proofErr w:type="spellStart"/>
            <w:r w:rsidRPr="00FA5106">
              <w:rPr>
                <w:rFonts w:asciiTheme="majorHAnsi" w:hAnsiTheme="majorHAnsi"/>
                <w:sz w:val="19"/>
                <w:szCs w:val="19"/>
              </w:rPr>
              <w:t>Martínez</w:t>
            </w:r>
            <w:proofErr w:type="spellEnd"/>
            <w:r w:rsidRPr="00FA5106">
              <w:rPr>
                <w:rFonts w:asciiTheme="majorHAnsi" w:hAnsiTheme="majorHAnsi"/>
                <w:sz w:val="19"/>
                <w:szCs w:val="19"/>
              </w:rPr>
              <w:t xml:space="preserve"> and family</w:t>
            </w:r>
          </w:p>
        </w:tc>
      </w:tr>
      <w:tr w:rsidR="000E2879" w:rsidRPr="00FA5106" w14:paraId="067638D2" w14:textId="77777777" w:rsidTr="008F60EF">
        <w:tc>
          <w:tcPr>
            <w:tcW w:w="3690" w:type="dxa"/>
            <w:tcBorders>
              <w:top w:val="single" w:sz="6" w:space="0" w:color="auto"/>
              <w:bottom w:val="single" w:sz="6" w:space="0" w:color="auto"/>
            </w:tcBorders>
            <w:shd w:val="clear" w:color="auto" w:fill="67AE3C"/>
            <w:vAlign w:val="center"/>
          </w:tcPr>
          <w:p w14:paraId="32104528" w14:textId="13F57E31" w:rsidR="000E2879" w:rsidRPr="00FA5106" w:rsidRDefault="000E2879" w:rsidP="005816E5">
            <w:pPr>
              <w:jc w:val="center"/>
              <w:rPr>
                <w:rFonts w:ascii="Cambria" w:hAnsi="Cambria"/>
                <w:b/>
                <w:bCs/>
                <w:color w:val="FFFFFF" w:themeColor="background1"/>
                <w:sz w:val="19"/>
                <w:szCs w:val="19"/>
              </w:rPr>
            </w:pPr>
            <w:r w:rsidRPr="00FA5106">
              <w:rPr>
                <w:rFonts w:ascii="Cambria" w:hAnsi="Cambria"/>
                <w:b/>
                <w:bCs/>
                <w:color w:val="FFFFFF" w:themeColor="background1"/>
                <w:sz w:val="19"/>
                <w:szCs w:val="19"/>
              </w:rPr>
              <w:t>Respondent State:</w:t>
            </w:r>
          </w:p>
        </w:tc>
        <w:tc>
          <w:tcPr>
            <w:tcW w:w="5670" w:type="dxa"/>
            <w:vAlign w:val="center"/>
          </w:tcPr>
          <w:p w14:paraId="3539D391" w14:textId="1436A03E" w:rsidR="000E2879" w:rsidRPr="00FA5106" w:rsidRDefault="000E2879" w:rsidP="008F60EF">
            <w:pPr>
              <w:jc w:val="both"/>
              <w:rPr>
                <w:rFonts w:asciiTheme="majorHAnsi" w:hAnsiTheme="majorHAnsi"/>
                <w:bCs/>
                <w:sz w:val="19"/>
                <w:szCs w:val="19"/>
              </w:rPr>
            </w:pPr>
            <w:r w:rsidRPr="00FA5106">
              <w:rPr>
                <w:rFonts w:asciiTheme="majorHAnsi" w:hAnsiTheme="majorHAnsi"/>
                <w:sz w:val="19"/>
                <w:szCs w:val="19"/>
              </w:rPr>
              <w:t>Ecuador</w:t>
            </w:r>
          </w:p>
        </w:tc>
      </w:tr>
      <w:tr w:rsidR="000E2879" w:rsidRPr="00FA5106" w14:paraId="57F2C481" w14:textId="77777777" w:rsidTr="008F60EF">
        <w:tc>
          <w:tcPr>
            <w:tcW w:w="3690" w:type="dxa"/>
            <w:tcBorders>
              <w:top w:val="single" w:sz="6" w:space="0" w:color="auto"/>
              <w:bottom w:val="single" w:sz="6" w:space="0" w:color="auto"/>
            </w:tcBorders>
            <w:shd w:val="clear" w:color="auto" w:fill="67AE3C"/>
            <w:vAlign w:val="center"/>
          </w:tcPr>
          <w:p w14:paraId="62BEEF4B" w14:textId="52EAAEA3" w:rsidR="000E2879" w:rsidRPr="00FA5106" w:rsidRDefault="000E2879" w:rsidP="00E7588C">
            <w:pPr>
              <w:jc w:val="center"/>
              <w:rPr>
                <w:rFonts w:ascii="Cambria" w:hAnsi="Cambria"/>
                <w:b/>
                <w:bCs/>
                <w:color w:val="FFFFFF" w:themeColor="background1"/>
                <w:sz w:val="19"/>
                <w:szCs w:val="19"/>
              </w:rPr>
            </w:pPr>
            <w:r w:rsidRPr="00FA5106">
              <w:rPr>
                <w:rFonts w:ascii="Cambria" w:hAnsi="Cambria"/>
                <w:b/>
                <w:bCs/>
                <w:color w:val="FFFFFF" w:themeColor="background1"/>
                <w:sz w:val="19"/>
                <w:szCs w:val="19"/>
              </w:rPr>
              <w:t>Rights invoked:</w:t>
            </w:r>
          </w:p>
        </w:tc>
        <w:tc>
          <w:tcPr>
            <w:tcW w:w="5670" w:type="dxa"/>
            <w:vAlign w:val="center"/>
          </w:tcPr>
          <w:p w14:paraId="51EEF9D2" w14:textId="323BAD95" w:rsidR="000E2879" w:rsidRPr="00FA5106" w:rsidRDefault="000E2879" w:rsidP="00FA5106">
            <w:pPr>
              <w:jc w:val="both"/>
              <w:rPr>
                <w:rFonts w:asciiTheme="majorHAnsi" w:hAnsiTheme="majorHAnsi"/>
                <w:bCs/>
                <w:sz w:val="19"/>
                <w:szCs w:val="19"/>
              </w:rPr>
            </w:pPr>
            <w:r w:rsidRPr="00FA5106">
              <w:rPr>
                <w:rFonts w:asciiTheme="majorHAnsi" w:hAnsiTheme="majorHAnsi"/>
                <w:sz w:val="19"/>
                <w:szCs w:val="19"/>
              </w:rPr>
              <w:t>Article 4 (life), 5 (humane treatment), 8 (fair trial) and 25 (judicial protection) of the American Convention on Human Rights</w:t>
            </w:r>
            <w:r w:rsidR="00FA5106" w:rsidRPr="00FA5106">
              <w:rPr>
                <w:rStyle w:val="FootnoteReference"/>
                <w:rFonts w:ascii="Cambria" w:hAnsi="Cambria"/>
                <w:bCs/>
                <w:sz w:val="19"/>
                <w:szCs w:val="19"/>
              </w:rPr>
              <w:footnoteReference w:id="2"/>
            </w:r>
            <w:r w:rsidRPr="00FA5106">
              <w:rPr>
                <w:rFonts w:asciiTheme="majorHAnsi" w:hAnsiTheme="majorHAnsi"/>
                <w:sz w:val="19"/>
                <w:szCs w:val="19"/>
              </w:rPr>
              <w:t>,  and other international treaties</w:t>
            </w:r>
            <w:r w:rsidR="00FA5106" w:rsidRPr="00FA5106">
              <w:rPr>
                <w:rStyle w:val="FootnoteReference"/>
                <w:rFonts w:ascii="Cambria" w:hAnsi="Cambria"/>
                <w:bCs/>
                <w:sz w:val="19"/>
                <w:szCs w:val="19"/>
              </w:rPr>
              <w:footnoteReference w:id="3"/>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0E2879" w:rsidRPr="00FA5106" w14:paraId="1CAEC3AF" w14:textId="77777777" w:rsidTr="008F60EF">
        <w:tc>
          <w:tcPr>
            <w:tcW w:w="3690" w:type="dxa"/>
            <w:tcBorders>
              <w:top w:val="single" w:sz="6" w:space="0" w:color="auto"/>
              <w:bottom w:val="single" w:sz="6" w:space="0" w:color="auto"/>
            </w:tcBorders>
            <w:shd w:val="clear" w:color="auto" w:fill="67AE3C"/>
            <w:vAlign w:val="center"/>
          </w:tcPr>
          <w:p w14:paraId="2C2ED774" w14:textId="32BB789E" w:rsidR="000E2879" w:rsidRPr="00FA5106" w:rsidRDefault="000E2879" w:rsidP="00B06BB7">
            <w:pPr>
              <w:jc w:val="center"/>
              <w:rPr>
                <w:rFonts w:ascii="Cambria" w:hAnsi="Cambria"/>
                <w:b/>
                <w:bCs/>
                <w:color w:val="FFFFFF" w:themeColor="background1"/>
                <w:sz w:val="19"/>
                <w:szCs w:val="19"/>
              </w:rPr>
            </w:pPr>
            <w:r w:rsidRPr="00FA5106">
              <w:rPr>
                <w:rFonts w:ascii="Cambria" w:hAnsi="Cambria"/>
                <w:b/>
                <w:bCs/>
                <w:color w:val="FFFFFF" w:themeColor="background1"/>
                <w:sz w:val="19"/>
                <w:szCs w:val="19"/>
              </w:rPr>
              <w:t>Filing of the petition:</w:t>
            </w:r>
          </w:p>
        </w:tc>
        <w:tc>
          <w:tcPr>
            <w:tcW w:w="5670" w:type="dxa"/>
            <w:vAlign w:val="center"/>
          </w:tcPr>
          <w:p w14:paraId="1C0C3DE2" w14:textId="0075AAA1" w:rsidR="000E2879" w:rsidRPr="00FA5106" w:rsidRDefault="000E2879" w:rsidP="008F60EF">
            <w:pPr>
              <w:jc w:val="both"/>
              <w:rPr>
                <w:rFonts w:asciiTheme="majorHAnsi" w:hAnsiTheme="majorHAnsi"/>
                <w:bCs/>
                <w:sz w:val="19"/>
                <w:szCs w:val="19"/>
              </w:rPr>
            </w:pPr>
            <w:r w:rsidRPr="00FA5106">
              <w:rPr>
                <w:rFonts w:asciiTheme="majorHAnsi" w:hAnsiTheme="majorHAnsi"/>
                <w:sz w:val="19"/>
                <w:szCs w:val="19"/>
              </w:rPr>
              <w:t>February 5, 2009</w:t>
            </w:r>
          </w:p>
        </w:tc>
      </w:tr>
      <w:tr w:rsidR="000E2879" w:rsidRPr="00FA5106" w14:paraId="700E913D" w14:textId="77777777" w:rsidTr="008F60EF">
        <w:tc>
          <w:tcPr>
            <w:tcW w:w="3690" w:type="dxa"/>
            <w:tcBorders>
              <w:top w:val="single" w:sz="6" w:space="0" w:color="auto"/>
              <w:bottom w:val="single" w:sz="6" w:space="0" w:color="auto"/>
            </w:tcBorders>
            <w:shd w:val="clear" w:color="auto" w:fill="67AE3C"/>
            <w:vAlign w:val="center"/>
          </w:tcPr>
          <w:p w14:paraId="7795D1B9" w14:textId="6A0BC5DB" w:rsidR="000E2879" w:rsidRPr="00FA5106" w:rsidRDefault="000E2879" w:rsidP="003771A3">
            <w:pPr>
              <w:jc w:val="center"/>
              <w:rPr>
                <w:rFonts w:ascii="Cambria" w:hAnsi="Cambria"/>
                <w:b/>
                <w:color w:val="FFFFFF" w:themeColor="background1"/>
                <w:sz w:val="19"/>
                <w:szCs w:val="19"/>
              </w:rPr>
            </w:pPr>
            <w:r w:rsidRPr="00FA5106">
              <w:rPr>
                <w:rFonts w:ascii="Cambria" w:hAnsi="Cambria"/>
                <w:b/>
                <w:color w:val="FFFFFF" w:themeColor="background1"/>
                <w:sz w:val="19"/>
                <w:szCs w:val="19"/>
              </w:rPr>
              <w:t>Additional information received at the stage of initial review:</w:t>
            </w:r>
          </w:p>
        </w:tc>
        <w:tc>
          <w:tcPr>
            <w:tcW w:w="5670" w:type="dxa"/>
            <w:vAlign w:val="center"/>
          </w:tcPr>
          <w:p w14:paraId="499B90CB" w14:textId="3D1F997C" w:rsidR="000E2879" w:rsidRPr="00FA5106" w:rsidRDefault="000E2879" w:rsidP="008F60EF">
            <w:pPr>
              <w:jc w:val="both"/>
              <w:rPr>
                <w:rFonts w:asciiTheme="majorHAnsi" w:hAnsiTheme="majorHAnsi"/>
                <w:bCs/>
                <w:sz w:val="19"/>
                <w:szCs w:val="19"/>
              </w:rPr>
            </w:pPr>
            <w:r w:rsidRPr="00FA5106">
              <w:rPr>
                <w:rFonts w:asciiTheme="majorHAnsi" w:hAnsiTheme="majorHAnsi"/>
                <w:sz w:val="19"/>
                <w:szCs w:val="19"/>
              </w:rPr>
              <w:t>June 1, 2010; December 10, 2011; December 22, 2014; October 12, 2016</w:t>
            </w:r>
          </w:p>
        </w:tc>
      </w:tr>
      <w:tr w:rsidR="000E2879" w:rsidRPr="00FA5106" w14:paraId="7EAB2BD7" w14:textId="77777777" w:rsidTr="008F60EF">
        <w:tc>
          <w:tcPr>
            <w:tcW w:w="3690" w:type="dxa"/>
            <w:tcBorders>
              <w:top w:val="single" w:sz="6" w:space="0" w:color="auto"/>
              <w:bottom w:val="single" w:sz="6" w:space="0" w:color="auto"/>
            </w:tcBorders>
            <w:shd w:val="clear" w:color="auto" w:fill="67AE3C"/>
            <w:vAlign w:val="center"/>
          </w:tcPr>
          <w:p w14:paraId="79E6B4A9" w14:textId="542A8588" w:rsidR="000E2879" w:rsidRPr="00FA5106" w:rsidRDefault="000E2879" w:rsidP="00B06BB7">
            <w:pPr>
              <w:jc w:val="center"/>
              <w:rPr>
                <w:rFonts w:ascii="Cambria" w:hAnsi="Cambria"/>
                <w:b/>
                <w:bCs/>
                <w:color w:val="FFFFFF" w:themeColor="background1"/>
                <w:sz w:val="19"/>
                <w:szCs w:val="19"/>
              </w:rPr>
            </w:pPr>
            <w:r w:rsidRPr="00FA5106">
              <w:rPr>
                <w:rFonts w:ascii="Cambria" w:hAnsi="Cambria"/>
                <w:b/>
                <w:color w:val="FFFFFF" w:themeColor="background1"/>
                <w:sz w:val="19"/>
                <w:szCs w:val="19"/>
              </w:rPr>
              <w:t>Notification of the petition to the State:</w:t>
            </w:r>
          </w:p>
        </w:tc>
        <w:tc>
          <w:tcPr>
            <w:tcW w:w="5670" w:type="dxa"/>
            <w:vAlign w:val="center"/>
          </w:tcPr>
          <w:p w14:paraId="22ADBFFE" w14:textId="00501054" w:rsidR="000E2879" w:rsidRPr="00FA5106" w:rsidRDefault="000E2879" w:rsidP="008F60EF">
            <w:pPr>
              <w:jc w:val="both"/>
              <w:rPr>
                <w:rFonts w:asciiTheme="majorHAnsi" w:hAnsiTheme="majorHAnsi"/>
                <w:bCs/>
                <w:sz w:val="19"/>
                <w:szCs w:val="19"/>
              </w:rPr>
            </w:pPr>
            <w:r w:rsidRPr="00FA5106">
              <w:rPr>
                <w:rFonts w:asciiTheme="majorHAnsi" w:hAnsiTheme="majorHAnsi"/>
                <w:sz w:val="19"/>
                <w:szCs w:val="19"/>
              </w:rPr>
              <w:t>August 10, 2016</w:t>
            </w:r>
          </w:p>
        </w:tc>
      </w:tr>
      <w:tr w:rsidR="000E2879" w:rsidRPr="00FA5106" w14:paraId="56560AE1" w14:textId="77777777" w:rsidTr="008F60EF">
        <w:trPr>
          <w:trHeight w:val="264"/>
        </w:trPr>
        <w:tc>
          <w:tcPr>
            <w:tcW w:w="3690" w:type="dxa"/>
            <w:tcBorders>
              <w:top w:val="single" w:sz="6" w:space="0" w:color="auto"/>
              <w:bottom w:val="single" w:sz="6" w:space="0" w:color="auto"/>
            </w:tcBorders>
            <w:shd w:val="clear" w:color="auto" w:fill="67AE3C"/>
            <w:vAlign w:val="center"/>
          </w:tcPr>
          <w:p w14:paraId="07BDDCA2" w14:textId="4272A20D" w:rsidR="000E2879" w:rsidRPr="00FA5106" w:rsidRDefault="000E2879" w:rsidP="009163FC">
            <w:pPr>
              <w:jc w:val="center"/>
              <w:rPr>
                <w:rFonts w:ascii="Cambria" w:hAnsi="Cambria"/>
                <w:b/>
                <w:bCs/>
                <w:color w:val="FFFFFF" w:themeColor="background1"/>
                <w:sz w:val="19"/>
                <w:szCs w:val="19"/>
              </w:rPr>
            </w:pPr>
            <w:r w:rsidRPr="00FA5106">
              <w:rPr>
                <w:rFonts w:ascii="Cambria" w:hAnsi="Cambria"/>
                <w:b/>
                <w:color w:val="FFFFFF" w:themeColor="background1"/>
                <w:sz w:val="19"/>
                <w:szCs w:val="19"/>
              </w:rPr>
              <w:t>State’s first response:</w:t>
            </w:r>
          </w:p>
        </w:tc>
        <w:tc>
          <w:tcPr>
            <w:tcW w:w="5670" w:type="dxa"/>
            <w:vAlign w:val="center"/>
          </w:tcPr>
          <w:p w14:paraId="19C5DA57" w14:textId="1A8F2323" w:rsidR="000E2879" w:rsidRPr="00FA5106" w:rsidRDefault="000E2879" w:rsidP="008F60EF">
            <w:pPr>
              <w:jc w:val="both"/>
              <w:rPr>
                <w:rFonts w:asciiTheme="majorHAnsi" w:hAnsiTheme="majorHAnsi"/>
                <w:bCs/>
                <w:sz w:val="19"/>
                <w:szCs w:val="19"/>
              </w:rPr>
            </w:pPr>
            <w:r w:rsidRPr="00FA5106">
              <w:rPr>
                <w:rFonts w:asciiTheme="majorHAnsi" w:hAnsiTheme="majorHAnsi"/>
                <w:sz w:val="19"/>
                <w:szCs w:val="19"/>
              </w:rPr>
              <w:t>December 9, 2016</w:t>
            </w:r>
          </w:p>
        </w:tc>
      </w:tr>
      <w:tr w:rsidR="000E2879" w:rsidRPr="00FA5106" w14:paraId="7A8A8A3C" w14:textId="77777777" w:rsidTr="008F60EF">
        <w:tc>
          <w:tcPr>
            <w:tcW w:w="3690" w:type="dxa"/>
            <w:tcBorders>
              <w:top w:val="single" w:sz="6" w:space="0" w:color="auto"/>
              <w:bottom w:val="single" w:sz="6" w:space="0" w:color="auto"/>
            </w:tcBorders>
            <w:shd w:val="clear" w:color="auto" w:fill="67AE3C"/>
            <w:vAlign w:val="center"/>
          </w:tcPr>
          <w:p w14:paraId="3DEC3A52" w14:textId="4AD4BFB0" w:rsidR="000E2879" w:rsidRPr="00FA5106" w:rsidRDefault="000E2879" w:rsidP="0023351C">
            <w:pPr>
              <w:jc w:val="center"/>
              <w:rPr>
                <w:rFonts w:ascii="Cambria" w:hAnsi="Cambria"/>
                <w:b/>
                <w:bCs/>
                <w:color w:val="FFFFFF" w:themeColor="background1"/>
                <w:sz w:val="19"/>
                <w:szCs w:val="19"/>
              </w:rPr>
            </w:pPr>
            <w:r w:rsidRPr="00FA5106">
              <w:rPr>
                <w:rFonts w:ascii="Cambria" w:hAnsi="Cambria"/>
                <w:b/>
                <w:bCs/>
                <w:color w:val="FFFFFF" w:themeColor="background1"/>
                <w:sz w:val="19"/>
                <w:szCs w:val="19"/>
              </w:rPr>
              <w:t>Additional observations from the petitioner:</w:t>
            </w:r>
          </w:p>
        </w:tc>
        <w:tc>
          <w:tcPr>
            <w:tcW w:w="5670" w:type="dxa"/>
            <w:vAlign w:val="center"/>
          </w:tcPr>
          <w:p w14:paraId="2A863ACD" w14:textId="0043A72C" w:rsidR="000E2879" w:rsidRPr="00FA5106" w:rsidRDefault="000E2879" w:rsidP="008F60EF">
            <w:pPr>
              <w:jc w:val="both"/>
              <w:rPr>
                <w:rFonts w:asciiTheme="majorHAnsi" w:hAnsiTheme="majorHAnsi"/>
                <w:bCs/>
                <w:sz w:val="19"/>
                <w:szCs w:val="19"/>
              </w:rPr>
            </w:pPr>
            <w:r w:rsidRPr="00FA5106">
              <w:rPr>
                <w:rFonts w:asciiTheme="majorHAnsi" w:hAnsiTheme="majorHAnsi"/>
                <w:sz w:val="19"/>
                <w:szCs w:val="19"/>
              </w:rPr>
              <w:t>November 2, 2016; April 21, 2017</w:t>
            </w:r>
          </w:p>
        </w:tc>
      </w:tr>
      <w:tr w:rsidR="000E2879" w:rsidRPr="00FA5106" w14:paraId="3D79AA57" w14:textId="77777777" w:rsidTr="008F60EF">
        <w:tc>
          <w:tcPr>
            <w:tcW w:w="3690" w:type="dxa"/>
            <w:tcBorders>
              <w:top w:val="single" w:sz="6" w:space="0" w:color="auto"/>
              <w:bottom w:val="single" w:sz="6" w:space="0" w:color="auto"/>
            </w:tcBorders>
            <w:shd w:val="clear" w:color="auto" w:fill="67AE3C"/>
            <w:vAlign w:val="center"/>
          </w:tcPr>
          <w:p w14:paraId="2FE60FBE" w14:textId="11BD82D3" w:rsidR="000E2879" w:rsidRPr="00FA5106" w:rsidRDefault="000E2879" w:rsidP="00653EA6">
            <w:pPr>
              <w:jc w:val="center"/>
              <w:rPr>
                <w:rFonts w:ascii="Cambria" w:hAnsi="Cambria"/>
                <w:b/>
                <w:bCs/>
                <w:color w:val="FFFFFF" w:themeColor="background1"/>
                <w:sz w:val="19"/>
                <w:szCs w:val="19"/>
              </w:rPr>
            </w:pPr>
            <w:r w:rsidRPr="00FA5106">
              <w:rPr>
                <w:rFonts w:ascii="Cambria" w:hAnsi="Cambria"/>
                <w:b/>
                <w:bCs/>
                <w:color w:val="FFFFFF" w:themeColor="background1"/>
                <w:sz w:val="19"/>
                <w:szCs w:val="19"/>
              </w:rPr>
              <w:t>Additional observations from the State:</w:t>
            </w:r>
          </w:p>
        </w:tc>
        <w:tc>
          <w:tcPr>
            <w:tcW w:w="5670" w:type="dxa"/>
            <w:vAlign w:val="center"/>
          </w:tcPr>
          <w:p w14:paraId="27F6ADE3" w14:textId="3E710055" w:rsidR="000E2879" w:rsidRPr="00FA5106" w:rsidRDefault="000E2879" w:rsidP="008F60EF">
            <w:pPr>
              <w:jc w:val="both"/>
              <w:rPr>
                <w:rFonts w:asciiTheme="majorHAnsi" w:hAnsiTheme="majorHAnsi"/>
                <w:bCs/>
                <w:sz w:val="19"/>
                <w:szCs w:val="19"/>
              </w:rPr>
            </w:pPr>
            <w:r w:rsidRPr="00FA5106">
              <w:rPr>
                <w:rFonts w:asciiTheme="majorHAnsi" w:hAnsiTheme="majorHAnsi"/>
                <w:sz w:val="19"/>
                <w:szCs w:val="19"/>
              </w:rPr>
              <w:t>December 27 and 28, 2016; September 1, 2017; July 26, 2018</w:t>
            </w:r>
          </w:p>
        </w:tc>
      </w:tr>
      <w:tr w:rsidR="000E2879" w:rsidRPr="00FA5106" w14:paraId="718737D9" w14:textId="77777777" w:rsidTr="008F60EF">
        <w:tc>
          <w:tcPr>
            <w:tcW w:w="3690" w:type="dxa"/>
            <w:tcBorders>
              <w:top w:val="single" w:sz="6" w:space="0" w:color="auto"/>
              <w:bottom w:val="single" w:sz="6" w:space="0" w:color="auto"/>
            </w:tcBorders>
            <w:shd w:val="clear" w:color="auto" w:fill="67AE3C"/>
            <w:vAlign w:val="center"/>
          </w:tcPr>
          <w:p w14:paraId="2F925819" w14:textId="25BD6B09" w:rsidR="000E2879" w:rsidRPr="00FA5106" w:rsidRDefault="000E2879" w:rsidP="00D75084">
            <w:pPr>
              <w:jc w:val="center"/>
              <w:rPr>
                <w:rFonts w:ascii="Cambria" w:hAnsi="Cambria"/>
                <w:b/>
                <w:bCs/>
                <w:color w:val="FFFFFF" w:themeColor="background1"/>
                <w:sz w:val="19"/>
                <w:szCs w:val="19"/>
              </w:rPr>
            </w:pPr>
            <w:r w:rsidRPr="00FA5106">
              <w:rPr>
                <w:rFonts w:ascii="Cambria" w:hAnsi="Cambria"/>
                <w:b/>
                <w:bCs/>
                <w:color w:val="FFFFFF" w:themeColor="background1"/>
                <w:sz w:val="19"/>
                <w:szCs w:val="19"/>
              </w:rPr>
              <w:t>Notification of the possible archiving of the petition:</w:t>
            </w:r>
          </w:p>
        </w:tc>
        <w:tc>
          <w:tcPr>
            <w:tcW w:w="5670" w:type="dxa"/>
            <w:vAlign w:val="center"/>
          </w:tcPr>
          <w:p w14:paraId="1C4A82C3" w14:textId="10269581" w:rsidR="000E2879" w:rsidRPr="00FA5106" w:rsidRDefault="000E2879" w:rsidP="008F60EF">
            <w:pPr>
              <w:jc w:val="both"/>
              <w:rPr>
                <w:rFonts w:asciiTheme="majorHAnsi" w:hAnsiTheme="majorHAnsi"/>
                <w:bCs/>
                <w:sz w:val="19"/>
                <w:szCs w:val="19"/>
              </w:rPr>
            </w:pPr>
            <w:r w:rsidRPr="00FA5106">
              <w:rPr>
                <w:rFonts w:asciiTheme="majorHAnsi" w:hAnsiTheme="majorHAnsi"/>
                <w:sz w:val="19"/>
                <w:szCs w:val="19"/>
              </w:rPr>
              <w:t>February 5, 2009</w:t>
            </w:r>
          </w:p>
        </w:tc>
      </w:tr>
      <w:tr w:rsidR="000E2879" w:rsidRPr="00FA5106" w14:paraId="09808A81" w14:textId="77777777" w:rsidTr="008F60EF">
        <w:tc>
          <w:tcPr>
            <w:tcW w:w="3690" w:type="dxa"/>
            <w:tcBorders>
              <w:top w:val="single" w:sz="6" w:space="0" w:color="auto"/>
              <w:bottom w:val="single" w:sz="6" w:space="0" w:color="auto"/>
            </w:tcBorders>
            <w:shd w:val="clear" w:color="auto" w:fill="67AE3C"/>
            <w:vAlign w:val="center"/>
          </w:tcPr>
          <w:p w14:paraId="49BCEA0B" w14:textId="18455F02" w:rsidR="000E2879" w:rsidRPr="00FA5106" w:rsidRDefault="000E2879" w:rsidP="00B06BB7">
            <w:pPr>
              <w:jc w:val="center"/>
              <w:rPr>
                <w:rFonts w:ascii="Cambria" w:hAnsi="Cambria"/>
                <w:b/>
                <w:bCs/>
                <w:color w:val="FFFFFF" w:themeColor="background1"/>
                <w:sz w:val="19"/>
                <w:szCs w:val="19"/>
              </w:rPr>
            </w:pPr>
            <w:r w:rsidRPr="00FA5106">
              <w:rPr>
                <w:rFonts w:ascii="Cambria" w:hAnsi="Cambria"/>
                <w:b/>
                <w:bCs/>
                <w:color w:val="FFFFFF" w:themeColor="background1"/>
                <w:sz w:val="19"/>
                <w:szCs w:val="19"/>
              </w:rPr>
              <w:t>Petitioner’s response to the notification regarding the possible archiving of the petition:</w:t>
            </w:r>
          </w:p>
        </w:tc>
        <w:tc>
          <w:tcPr>
            <w:tcW w:w="5670" w:type="dxa"/>
            <w:vAlign w:val="center"/>
          </w:tcPr>
          <w:p w14:paraId="6F6B7BFD" w14:textId="33423B06" w:rsidR="000E2879" w:rsidRPr="00FA5106" w:rsidRDefault="000E2879" w:rsidP="008F60EF">
            <w:pPr>
              <w:jc w:val="both"/>
              <w:rPr>
                <w:rFonts w:asciiTheme="majorHAnsi" w:hAnsiTheme="majorHAnsi"/>
                <w:bCs/>
                <w:sz w:val="19"/>
                <w:szCs w:val="19"/>
              </w:rPr>
            </w:pPr>
            <w:r w:rsidRPr="00FA5106">
              <w:rPr>
                <w:rFonts w:asciiTheme="majorHAnsi" w:hAnsiTheme="majorHAnsi"/>
                <w:sz w:val="19"/>
                <w:szCs w:val="19"/>
              </w:rPr>
              <w:t>June 1, 2010; December 10, 2011; December 22, 2014; October 12, 2016</w:t>
            </w:r>
          </w:p>
        </w:tc>
      </w:tr>
      <w:tr w:rsidR="000E2879" w:rsidRPr="00FA5106" w14:paraId="7DBE6D67" w14:textId="77777777" w:rsidTr="008F60EF">
        <w:tc>
          <w:tcPr>
            <w:tcW w:w="3690" w:type="dxa"/>
            <w:tcBorders>
              <w:top w:val="single" w:sz="6" w:space="0" w:color="auto"/>
              <w:bottom w:val="single" w:sz="6" w:space="0" w:color="auto"/>
            </w:tcBorders>
            <w:shd w:val="clear" w:color="auto" w:fill="67AE3C"/>
            <w:vAlign w:val="center"/>
          </w:tcPr>
          <w:p w14:paraId="472DF345" w14:textId="7FB855CB" w:rsidR="000E2879" w:rsidRPr="00FA5106" w:rsidRDefault="000E2879" w:rsidP="00D75084">
            <w:pPr>
              <w:jc w:val="center"/>
              <w:rPr>
                <w:rFonts w:ascii="Cambria" w:hAnsi="Cambria"/>
                <w:b/>
                <w:bCs/>
                <w:color w:val="FFFFFF" w:themeColor="background1"/>
                <w:sz w:val="19"/>
                <w:szCs w:val="19"/>
              </w:rPr>
            </w:pPr>
            <w:r w:rsidRPr="00FA5106">
              <w:rPr>
                <w:rFonts w:ascii="Cambria" w:hAnsi="Cambria"/>
                <w:b/>
                <w:bCs/>
                <w:color w:val="FFFFFF" w:themeColor="background1"/>
                <w:sz w:val="19"/>
                <w:szCs w:val="19"/>
              </w:rPr>
              <w:t>Precautionary measure granted:</w:t>
            </w:r>
          </w:p>
        </w:tc>
        <w:tc>
          <w:tcPr>
            <w:tcW w:w="5670" w:type="dxa"/>
            <w:vAlign w:val="center"/>
          </w:tcPr>
          <w:p w14:paraId="48DA676C" w14:textId="0EDF21C2" w:rsidR="000E2879" w:rsidRPr="00FA5106" w:rsidRDefault="000E2879" w:rsidP="008F60EF">
            <w:pPr>
              <w:jc w:val="both"/>
              <w:rPr>
                <w:rFonts w:asciiTheme="majorHAnsi" w:hAnsiTheme="majorHAnsi"/>
                <w:bCs/>
                <w:sz w:val="19"/>
                <w:szCs w:val="19"/>
              </w:rPr>
            </w:pPr>
            <w:r w:rsidRPr="00FA5106">
              <w:rPr>
                <w:rFonts w:asciiTheme="majorHAnsi" w:hAnsiTheme="majorHAnsi"/>
                <w:sz w:val="19"/>
                <w:szCs w:val="19"/>
              </w:rPr>
              <w:t>August 10, 2016</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0E2879" w:rsidRPr="00FA5106" w14:paraId="2F81CC8B" w14:textId="77777777" w:rsidTr="008F60EF">
        <w:trPr>
          <w:cantSplit/>
        </w:trPr>
        <w:tc>
          <w:tcPr>
            <w:tcW w:w="3690" w:type="dxa"/>
            <w:tcBorders>
              <w:top w:val="single" w:sz="4" w:space="0" w:color="auto"/>
              <w:bottom w:val="single" w:sz="6" w:space="0" w:color="auto"/>
            </w:tcBorders>
            <w:shd w:val="clear" w:color="auto" w:fill="67AE3C"/>
            <w:vAlign w:val="center"/>
          </w:tcPr>
          <w:p w14:paraId="3A568008" w14:textId="77777777" w:rsidR="000E2879" w:rsidRPr="00FA5106" w:rsidRDefault="000E2879" w:rsidP="009163FC">
            <w:pPr>
              <w:jc w:val="center"/>
              <w:rPr>
                <w:rFonts w:ascii="Cambria" w:hAnsi="Cambria"/>
                <w:b/>
                <w:bCs/>
                <w:i/>
                <w:color w:val="FFFFFF" w:themeColor="background1"/>
                <w:sz w:val="19"/>
                <w:szCs w:val="19"/>
              </w:rPr>
            </w:pPr>
            <w:r w:rsidRPr="00FA5106">
              <w:rPr>
                <w:rFonts w:ascii="Cambria" w:hAnsi="Cambria"/>
                <w:b/>
                <w:bCs/>
                <w:color w:val="FFFFFF" w:themeColor="background1"/>
                <w:sz w:val="19"/>
                <w:szCs w:val="19"/>
              </w:rPr>
              <w:t>Competence</w:t>
            </w:r>
            <w:r w:rsidRPr="00FA5106">
              <w:rPr>
                <w:rFonts w:ascii="Cambria" w:hAnsi="Cambria"/>
                <w:b/>
                <w:bCs/>
                <w:i/>
                <w:color w:val="FFFFFF" w:themeColor="background1"/>
                <w:sz w:val="19"/>
                <w:szCs w:val="19"/>
              </w:rPr>
              <w:t xml:space="preserve"> Ratione personae:</w:t>
            </w:r>
          </w:p>
        </w:tc>
        <w:tc>
          <w:tcPr>
            <w:tcW w:w="5670" w:type="dxa"/>
            <w:vAlign w:val="center"/>
          </w:tcPr>
          <w:p w14:paraId="237A8D0C" w14:textId="2818A1F1" w:rsidR="000E2879" w:rsidRPr="00FA5106" w:rsidRDefault="000E2879" w:rsidP="008F60EF">
            <w:pPr>
              <w:jc w:val="both"/>
              <w:rPr>
                <w:rFonts w:asciiTheme="majorHAnsi" w:hAnsiTheme="majorHAnsi"/>
                <w:bCs/>
                <w:sz w:val="19"/>
                <w:szCs w:val="19"/>
              </w:rPr>
            </w:pPr>
            <w:r w:rsidRPr="00FA5106">
              <w:rPr>
                <w:rFonts w:asciiTheme="majorHAnsi" w:hAnsiTheme="majorHAnsi"/>
                <w:sz w:val="19"/>
                <w:szCs w:val="19"/>
              </w:rPr>
              <w:t>Yes</w:t>
            </w:r>
          </w:p>
        </w:tc>
      </w:tr>
      <w:tr w:rsidR="000E2879" w:rsidRPr="00FA5106" w14:paraId="5FE56D1B" w14:textId="77777777" w:rsidTr="008F60EF">
        <w:trPr>
          <w:cantSplit/>
        </w:trPr>
        <w:tc>
          <w:tcPr>
            <w:tcW w:w="3690" w:type="dxa"/>
            <w:tcBorders>
              <w:top w:val="single" w:sz="6" w:space="0" w:color="auto"/>
              <w:bottom w:val="single" w:sz="6" w:space="0" w:color="auto"/>
            </w:tcBorders>
            <w:shd w:val="clear" w:color="auto" w:fill="67AE3C"/>
            <w:vAlign w:val="center"/>
          </w:tcPr>
          <w:p w14:paraId="2190B967" w14:textId="77777777" w:rsidR="000E2879" w:rsidRPr="00FA5106" w:rsidRDefault="000E2879" w:rsidP="009163FC">
            <w:pPr>
              <w:jc w:val="center"/>
              <w:rPr>
                <w:rFonts w:ascii="Cambria" w:hAnsi="Cambria"/>
                <w:b/>
                <w:bCs/>
                <w:color w:val="FFFFFF" w:themeColor="background1"/>
                <w:sz w:val="19"/>
                <w:szCs w:val="19"/>
              </w:rPr>
            </w:pPr>
            <w:r w:rsidRPr="00FA5106">
              <w:rPr>
                <w:rFonts w:ascii="Cambria" w:hAnsi="Cambria"/>
                <w:b/>
                <w:bCs/>
                <w:color w:val="FFFFFF" w:themeColor="background1"/>
                <w:sz w:val="19"/>
                <w:szCs w:val="19"/>
              </w:rPr>
              <w:t>Competence</w:t>
            </w:r>
            <w:r w:rsidRPr="00FA5106">
              <w:rPr>
                <w:rFonts w:ascii="Cambria" w:hAnsi="Cambria"/>
                <w:b/>
                <w:bCs/>
                <w:i/>
                <w:color w:val="FFFFFF" w:themeColor="background1"/>
                <w:sz w:val="19"/>
                <w:szCs w:val="19"/>
              </w:rPr>
              <w:t xml:space="preserve"> Ratione loci</w:t>
            </w:r>
            <w:r w:rsidRPr="00FA5106">
              <w:rPr>
                <w:rFonts w:ascii="Cambria" w:hAnsi="Cambria"/>
                <w:b/>
                <w:bCs/>
                <w:color w:val="FFFFFF" w:themeColor="background1"/>
                <w:sz w:val="19"/>
                <w:szCs w:val="19"/>
              </w:rPr>
              <w:t>:</w:t>
            </w:r>
          </w:p>
        </w:tc>
        <w:tc>
          <w:tcPr>
            <w:tcW w:w="5670" w:type="dxa"/>
            <w:vAlign w:val="center"/>
          </w:tcPr>
          <w:p w14:paraId="48257424" w14:textId="54097297" w:rsidR="000E2879" w:rsidRPr="00FA5106" w:rsidRDefault="000E2879" w:rsidP="008F60EF">
            <w:pPr>
              <w:jc w:val="both"/>
              <w:rPr>
                <w:rFonts w:asciiTheme="majorHAnsi" w:hAnsiTheme="majorHAnsi"/>
                <w:bCs/>
                <w:sz w:val="19"/>
                <w:szCs w:val="19"/>
              </w:rPr>
            </w:pPr>
            <w:r w:rsidRPr="00FA5106">
              <w:rPr>
                <w:rFonts w:asciiTheme="majorHAnsi" w:hAnsiTheme="majorHAnsi"/>
                <w:sz w:val="19"/>
                <w:szCs w:val="19"/>
              </w:rPr>
              <w:t>Yes</w:t>
            </w:r>
          </w:p>
        </w:tc>
      </w:tr>
      <w:tr w:rsidR="000E2879" w:rsidRPr="00FA5106" w14:paraId="372B5DD8" w14:textId="77777777" w:rsidTr="008F60EF">
        <w:trPr>
          <w:cantSplit/>
        </w:trPr>
        <w:tc>
          <w:tcPr>
            <w:tcW w:w="3690" w:type="dxa"/>
            <w:tcBorders>
              <w:top w:val="single" w:sz="6" w:space="0" w:color="auto"/>
              <w:bottom w:val="single" w:sz="6" w:space="0" w:color="auto"/>
            </w:tcBorders>
            <w:shd w:val="clear" w:color="auto" w:fill="67AE3C"/>
            <w:vAlign w:val="center"/>
          </w:tcPr>
          <w:p w14:paraId="7F979173" w14:textId="77777777" w:rsidR="000E2879" w:rsidRPr="00FA5106" w:rsidRDefault="000E2879" w:rsidP="009163FC">
            <w:pPr>
              <w:jc w:val="center"/>
              <w:rPr>
                <w:rFonts w:ascii="Cambria" w:hAnsi="Cambria"/>
                <w:b/>
                <w:bCs/>
                <w:color w:val="FFFFFF" w:themeColor="background1"/>
                <w:sz w:val="19"/>
                <w:szCs w:val="19"/>
              </w:rPr>
            </w:pPr>
            <w:r w:rsidRPr="00FA5106">
              <w:rPr>
                <w:rFonts w:ascii="Cambria" w:hAnsi="Cambria"/>
                <w:b/>
                <w:bCs/>
                <w:color w:val="FFFFFF" w:themeColor="background1"/>
                <w:sz w:val="19"/>
                <w:szCs w:val="19"/>
              </w:rPr>
              <w:t>Competence</w:t>
            </w:r>
            <w:r w:rsidRPr="00FA5106">
              <w:rPr>
                <w:rFonts w:ascii="Cambria" w:hAnsi="Cambria"/>
                <w:b/>
                <w:bCs/>
                <w:i/>
                <w:color w:val="FFFFFF" w:themeColor="background1"/>
                <w:sz w:val="19"/>
                <w:szCs w:val="19"/>
              </w:rPr>
              <w:t xml:space="preserve"> Ratione temporis</w:t>
            </w:r>
            <w:r w:rsidRPr="00FA5106">
              <w:rPr>
                <w:rFonts w:ascii="Cambria" w:hAnsi="Cambria"/>
                <w:b/>
                <w:bCs/>
                <w:color w:val="FFFFFF" w:themeColor="background1"/>
                <w:sz w:val="19"/>
                <w:szCs w:val="19"/>
              </w:rPr>
              <w:t>:</w:t>
            </w:r>
          </w:p>
        </w:tc>
        <w:tc>
          <w:tcPr>
            <w:tcW w:w="5670" w:type="dxa"/>
            <w:vAlign w:val="center"/>
          </w:tcPr>
          <w:p w14:paraId="74B3F783" w14:textId="097DF51C" w:rsidR="000E2879" w:rsidRPr="00FA5106" w:rsidRDefault="000E2879" w:rsidP="008F60EF">
            <w:pPr>
              <w:jc w:val="both"/>
              <w:rPr>
                <w:rFonts w:asciiTheme="majorHAnsi" w:hAnsiTheme="majorHAnsi"/>
                <w:bCs/>
                <w:sz w:val="19"/>
                <w:szCs w:val="19"/>
              </w:rPr>
            </w:pPr>
            <w:r w:rsidRPr="00FA5106">
              <w:rPr>
                <w:rFonts w:asciiTheme="majorHAnsi" w:hAnsiTheme="majorHAnsi"/>
                <w:sz w:val="19"/>
                <w:szCs w:val="19"/>
              </w:rPr>
              <w:t>Yes</w:t>
            </w:r>
          </w:p>
        </w:tc>
      </w:tr>
      <w:tr w:rsidR="000E2879" w:rsidRPr="00FA5106" w14:paraId="6648704B" w14:textId="77777777" w:rsidTr="008F60EF">
        <w:trPr>
          <w:cantSplit/>
        </w:trPr>
        <w:tc>
          <w:tcPr>
            <w:tcW w:w="3690" w:type="dxa"/>
            <w:tcBorders>
              <w:top w:val="single" w:sz="6" w:space="0" w:color="auto"/>
              <w:bottom w:val="single" w:sz="6" w:space="0" w:color="auto"/>
            </w:tcBorders>
            <w:shd w:val="clear" w:color="auto" w:fill="67AE3C"/>
            <w:vAlign w:val="center"/>
          </w:tcPr>
          <w:p w14:paraId="15BBE7AF" w14:textId="77777777" w:rsidR="000E2879" w:rsidRPr="00FA5106" w:rsidRDefault="000E2879" w:rsidP="009163FC">
            <w:pPr>
              <w:jc w:val="center"/>
              <w:rPr>
                <w:rFonts w:ascii="Cambria" w:hAnsi="Cambria"/>
                <w:b/>
                <w:bCs/>
                <w:color w:val="FFFFFF" w:themeColor="background1"/>
                <w:sz w:val="19"/>
                <w:szCs w:val="19"/>
              </w:rPr>
            </w:pPr>
            <w:r w:rsidRPr="00FA5106">
              <w:rPr>
                <w:rFonts w:ascii="Cambria" w:hAnsi="Cambria"/>
                <w:b/>
                <w:bCs/>
                <w:color w:val="FFFFFF" w:themeColor="background1"/>
                <w:sz w:val="19"/>
                <w:szCs w:val="19"/>
              </w:rPr>
              <w:t>Competence</w:t>
            </w:r>
            <w:r w:rsidRPr="00FA5106">
              <w:rPr>
                <w:rFonts w:ascii="Cambria" w:hAnsi="Cambria"/>
                <w:b/>
                <w:bCs/>
                <w:i/>
                <w:color w:val="FFFFFF" w:themeColor="background1"/>
                <w:sz w:val="19"/>
                <w:szCs w:val="19"/>
              </w:rPr>
              <w:t xml:space="preserve"> Ratione materiae</w:t>
            </w:r>
            <w:r w:rsidRPr="00FA5106">
              <w:rPr>
                <w:rFonts w:ascii="Cambria" w:hAnsi="Cambria"/>
                <w:b/>
                <w:bCs/>
                <w:color w:val="FFFFFF" w:themeColor="background1"/>
                <w:sz w:val="19"/>
                <w:szCs w:val="19"/>
              </w:rPr>
              <w:t>:</w:t>
            </w:r>
          </w:p>
        </w:tc>
        <w:tc>
          <w:tcPr>
            <w:tcW w:w="5670" w:type="dxa"/>
            <w:vAlign w:val="center"/>
          </w:tcPr>
          <w:p w14:paraId="64B3F199" w14:textId="4030D604" w:rsidR="000E2879" w:rsidRPr="00FA5106" w:rsidRDefault="000E2879" w:rsidP="008F60EF">
            <w:pPr>
              <w:jc w:val="both"/>
              <w:rPr>
                <w:rFonts w:asciiTheme="majorHAnsi" w:hAnsiTheme="majorHAnsi"/>
                <w:bCs/>
                <w:sz w:val="19"/>
                <w:szCs w:val="19"/>
              </w:rPr>
            </w:pPr>
            <w:r w:rsidRPr="00FA5106">
              <w:rPr>
                <w:rFonts w:asciiTheme="majorHAnsi" w:hAnsiTheme="majorHAnsi"/>
                <w:sz w:val="19"/>
                <w:szCs w:val="19"/>
              </w:rPr>
              <w:t>Yes, American Convention (instrument deposited on December 28, 1977)</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0E2879" w:rsidRPr="00FA5106" w14:paraId="4091A423" w14:textId="77777777" w:rsidTr="008F60EF">
        <w:trPr>
          <w:cantSplit/>
        </w:trPr>
        <w:tc>
          <w:tcPr>
            <w:tcW w:w="3690" w:type="dxa"/>
            <w:tcBorders>
              <w:top w:val="single" w:sz="4" w:space="0" w:color="auto"/>
              <w:bottom w:val="single" w:sz="6" w:space="0" w:color="auto"/>
            </w:tcBorders>
            <w:shd w:val="clear" w:color="auto" w:fill="67AE3C"/>
            <w:vAlign w:val="center"/>
          </w:tcPr>
          <w:p w14:paraId="61D870FF" w14:textId="77777777" w:rsidR="000E2879" w:rsidRPr="00FA5106" w:rsidRDefault="000E2879" w:rsidP="009163FC">
            <w:pPr>
              <w:jc w:val="center"/>
              <w:rPr>
                <w:rFonts w:ascii="Cambria" w:hAnsi="Cambria"/>
                <w:b/>
                <w:bCs/>
                <w:color w:val="FFFFFF" w:themeColor="background1"/>
                <w:sz w:val="19"/>
                <w:szCs w:val="19"/>
              </w:rPr>
            </w:pPr>
            <w:r w:rsidRPr="00FA5106">
              <w:rPr>
                <w:rFonts w:ascii="Cambria" w:hAnsi="Cambria"/>
                <w:b/>
                <w:bCs/>
                <w:color w:val="FFFFFF" w:themeColor="background1"/>
                <w:sz w:val="19"/>
                <w:szCs w:val="19"/>
              </w:rPr>
              <w:t xml:space="preserve">Duplication of procedures and International </w:t>
            </w:r>
            <w:r w:rsidRPr="00FA5106">
              <w:rPr>
                <w:rFonts w:ascii="Cambria" w:hAnsi="Cambria"/>
                <w:b/>
                <w:bCs/>
                <w:i/>
                <w:color w:val="FFFFFF" w:themeColor="background1"/>
                <w:sz w:val="19"/>
                <w:szCs w:val="19"/>
              </w:rPr>
              <w:t>res judicata</w:t>
            </w:r>
            <w:r w:rsidRPr="00FA5106">
              <w:rPr>
                <w:rFonts w:ascii="Cambria" w:hAnsi="Cambria"/>
                <w:b/>
                <w:bCs/>
                <w:color w:val="FFFFFF" w:themeColor="background1"/>
                <w:sz w:val="19"/>
                <w:szCs w:val="19"/>
              </w:rPr>
              <w:t>:</w:t>
            </w:r>
          </w:p>
        </w:tc>
        <w:tc>
          <w:tcPr>
            <w:tcW w:w="5670" w:type="dxa"/>
            <w:vAlign w:val="center"/>
          </w:tcPr>
          <w:p w14:paraId="4773CD23" w14:textId="41612DF8" w:rsidR="000E2879" w:rsidRPr="00FA5106" w:rsidRDefault="000E2879" w:rsidP="008F60EF">
            <w:pPr>
              <w:jc w:val="both"/>
              <w:rPr>
                <w:rFonts w:asciiTheme="majorHAnsi" w:hAnsiTheme="majorHAnsi"/>
                <w:bCs/>
                <w:sz w:val="19"/>
                <w:szCs w:val="19"/>
              </w:rPr>
            </w:pPr>
            <w:r w:rsidRPr="00FA5106">
              <w:rPr>
                <w:rFonts w:asciiTheme="majorHAnsi" w:hAnsiTheme="majorHAnsi"/>
                <w:sz w:val="19"/>
                <w:szCs w:val="19"/>
              </w:rPr>
              <w:t>No</w:t>
            </w:r>
          </w:p>
        </w:tc>
      </w:tr>
      <w:tr w:rsidR="000E2879" w:rsidRPr="00FA5106" w14:paraId="24B3B5A9" w14:textId="77777777" w:rsidTr="008F60EF">
        <w:trPr>
          <w:cantSplit/>
        </w:trPr>
        <w:tc>
          <w:tcPr>
            <w:tcW w:w="3690" w:type="dxa"/>
            <w:tcBorders>
              <w:top w:val="single" w:sz="6" w:space="0" w:color="auto"/>
              <w:bottom w:val="single" w:sz="6" w:space="0" w:color="auto"/>
            </w:tcBorders>
            <w:shd w:val="clear" w:color="auto" w:fill="67AE3C"/>
            <w:vAlign w:val="center"/>
          </w:tcPr>
          <w:p w14:paraId="2E52A630" w14:textId="77777777" w:rsidR="000E2879" w:rsidRPr="00FA5106" w:rsidRDefault="000E2879" w:rsidP="009163FC">
            <w:pPr>
              <w:jc w:val="center"/>
              <w:rPr>
                <w:rFonts w:ascii="Cambria" w:hAnsi="Cambria"/>
                <w:b/>
                <w:bCs/>
                <w:i/>
                <w:color w:val="FFFFFF" w:themeColor="background1"/>
                <w:sz w:val="19"/>
                <w:szCs w:val="19"/>
              </w:rPr>
            </w:pPr>
            <w:r w:rsidRPr="00FA5106">
              <w:rPr>
                <w:rFonts w:ascii="Cambria" w:hAnsi="Cambria"/>
                <w:b/>
                <w:bCs/>
                <w:color w:val="FFFFFF" w:themeColor="background1"/>
                <w:sz w:val="19"/>
                <w:szCs w:val="19"/>
              </w:rPr>
              <w:t>Rights declared admissible</w:t>
            </w:r>
          </w:p>
        </w:tc>
        <w:tc>
          <w:tcPr>
            <w:tcW w:w="5670" w:type="dxa"/>
            <w:vAlign w:val="center"/>
          </w:tcPr>
          <w:p w14:paraId="33BE4040" w14:textId="704C2C68" w:rsidR="000E2879" w:rsidRPr="00FA5106" w:rsidRDefault="000E2879" w:rsidP="00D5672B">
            <w:pPr>
              <w:jc w:val="both"/>
              <w:rPr>
                <w:rFonts w:asciiTheme="majorHAnsi" w:hAnsiTheme="majorHAnsi"/>
                <w:bCs/>
                <w:sz w:val="19"/>
                <w:szCs w:val="19"/>
              </w:rPr>
            </w:pPr>
            <w:r w:rsidRPr="00FA5106">
              <w:rPr>
                <w:rFonts w:asciiTheme="majorHAnsi" w:hAnsiTheme="majorHAnsi"/>
                <w:sz w:val="19"/>
                <w:szCs w:val="19"/>
              </w:rPr>
              <w:t xml:space="preserve">Article 5 (humane treatment), </w:t>
            </w:r>
            <w:r w:rsidR="00D5672B" w:rsidRPr="00FA5106">
              <w:rPr>
                <w:rFonts w:asciiTheme="majorHAnsi" w:hAnsiTheme="majorHAnsi"/>
                <w:sz w:val="19"/>
                <w:szCs w:val="19"/>
              </w:rPr>
              <w:t>8 (fair trial) and</w:t>
            </w:r>
            <w:r w:rsidRPr="00FA5106">
              <w:rPr>
                <w:rFonts w:asciiTheme="majorHAnsi" w:hAnsiTheme="majorHAnsi"/>
                <w:sz w:val="19"/>
                <w:szCs w:val="19"/>
              </w:rPr>
              <w:t xml:space="preserve"> 25 (judicial protection) of the Convention, in connection with its Article 1.1</w:t>
            </w:r>
            <w:r w:rsidR="00D5672B" w:rsidRPr="00FA5106">
              <w:rPr>
                <w:rFonts w:asciiTheme="majorHAnsi" w:hAnsiTheme="majorHAnsi"/>
                <w:sz w:val="19"/>
                <w:szCs w:val="19"/>
              </w:rPr>
              <w:t xml:space="preserve"> (obligation to respect rights)</w:t>
            </w:r>
          </w:p>
        </w:tc>
      </w:tr>
      <w:tr w:rsidR="000E2879" w:rsidRPr="00FA5106" w14:paraId="4DFB74FC" w14:textId="77777777" w:rsidTr="008F60EF">
        <w:trPr>
          <w:cantSplit/>
        </w:trPr>
        <w:tc>
          <w:tcPr>
            <w:tcW w:w="3690" w:type="dxa"/>
            <w:tcBorders>
              <w:top w:val="single" w:sz="6" w:space="0" w:color="auto"/>
              <w:bottom w:val="single" w:sz="6" w:space="0" w:color="auto"/>
            </w:tcBorders>
            <w:shd w:val="clear" w:color="auto" w:fill="67AE3C"/>
            <w:vAlign w:val="center"/>
          </w:tcPr>
          <w:p w14:paraId="1D4CE924" w14:textId="77777777" w:rsidR="000E2879" w:rsidRPr="00FA5106" w:rsidRDefault="000E2879" w:rsidP="009163FC">
            <w:pPr>
              <w:jc w:val="center"/>
              <w:rPr>
                <w:rFonts w:ascii="Cambria" w:hAnsi="Cambria"/>
                <w:b/>
                <w:bCs/>
                <w:color w:val="FFFFFF" w:themeColor="background1"/>
                <w:sz w:val="19"/>
                <w:szCs w:val="19"/>
              </w:rPr>
            </w:pPr>
            <w:r w:rsidRPr="00FA5106">
              <w:rPr>
                <w:rFonts w:ascii="Cambria" w:hAnsi="Cambria"/>
                <w:b/>
                <w:bCs/>
                <w:color w:val="FFFFFF" w:themeColor="background1"/>
                <w:sz w:val="19"/>
                <w:szCs w:val="19"/>
              </w:rPr>
              <w:t>Exhaustion of domestic remedies or applicability of an exception to the rule:</w:t>
            </w:r>
          </w:p>
        </w:tc>
        <w:tc>
          <w:tcPr>
            <w:tcW w:w="5670" w:type="dxa"/>
            <w:vAlign w:val="center"/>
          </w:tcPr>
          <w:p w14:paraId="432DC56B" w14:textId="2998CC03" w:rsidR="000E2879" w:rsidRPr="00FA5106" w:rsidRDefault="000E2879" w:rsidP="00BE085A">
            <w:pPr>
              <w:jc w:val="both"/>
              <w:rPr>
                <w:rFonts w:asciiTheme="majorHAnsi" w:hAnsiTheme="majorHAnsi"/>
                <w:bCs/>
                <w:sz w:val="19"/>
                <w:szCs w:val="19"/>
              </w:rPr>
            </w:pPr>
            <w:r w:rsidRPr="00FA5106">
              <w:rPr>
                <w:rFonts w:asciiTheme="majorHAnsi" w:hAnsiTheme="majorHAnsi"/>
                <w:sz w:val="19"/>
                <w:szCs w:val="19"/>
              </w:rPr>
              <w:t>Yes, exception applicable under Article 46.2</w:t>
            </w:r>
            <w:r w:rsidR="00BE085A">
              <w:rPr>
                <w:rFonts w:asciiTheme="majorHAnsi" w:hAnsiTheme="majorHAnsi"/>
                <w:sz w:val="19"/>
                <w:szCs w:val="19"/>
              </w:rPr>
              <w:t>.</w:t>
            </w:r>
            <w:r w:rsidRPr="00FA5106">
              <w:rPr>
                <w:rFonts w:asciiTheme="majorHAnsi" w:hAnsiTheme="majorHAnsi"/>
                <w:sz w:val="19"/>
                <w:szCs w:val="19"/>
              </w:rPr>
              <w:t>c of the American Convention</w:t>
            </w:r>
          </w:p>
        </w:tc>
      </w:tr>
      <w:tr w:rsidR="000E2879" w:rsidRPr="00FA5106" w14:paraId="6D900199" w14:textId="77777777" w:rsidTr="008F60EF">
        <w:trPr>
          <w:cantSplit/>
        </w:trPr>
        <w:tc>
          <w:tcPr>
            <w:tcW w:w="3690" w:type="dxa"/>
            <w:tcBorders>
              <w:top w:val="single" w:sz="6" w:space="0" w:color="auto"/>
              <w:bottom w:val="single" w:sz="6" w:space="0" w:color="auto"/>
            </w:tcBorders>
            <w:shd w:val="clear" w:color="auto" w:fill="67AE3C"/>
            <w:vAlign w:val="center"/>
          </w:tcPr>
          <w:p w14:paraId="42C3BC97" w14:textId="77777777" w:rsidR="000E2879" w:rsidRPr="00FA5106" w:rsidRDefault="000E2879" w:rsidP="009163FC">
            <w:pPr>
              <w:jc w:val="center"/>
              <w:rPr>
                <w:rFonts w:ascii="Cambria" w:hAnsi="Cambria"/>
                <w:b/>
                <w:bCs/>
                <w:color w:val="FFFFFF" w:themeColor="background1"/>
                <w:sz w:val="19"/>
                <w:szCs w:val="19"/>
              </w:rPr>
            </w:pPr>
            <w:r w:rsidRPr="00FA5106">
              <w:rPr>
                <w:rFonts w:ascii="Cambria" w:hAnsi="Cambria"/>
                <w:b/>
                <w:bCs/>
                <w:color w:val="FFFFFF" w:themeColor="background1"/>
                <w:sz w:val="19"/>
                <w:szCs w:val="19"/>
              </w:rPr>
              <w:t>Timeliness of the petition:</w:t>
            </w:r>
          </w:p>
        </w:tc>
        <w:tc>
          <w:tcPr>
            <w:tcW w:w="5670" w:type="dxa"/>
            <w:vAlign w:val="center"/>
          </w:tcPr>
          <w:p w14:paraId="6A26CCE9" w14:textId="4D39365E" w:rsidR="000E2879" w:rsidRPr="00FA5106" w:rsidRDefault="000E2879" w:rsidP="008F60EF">
            <w:pPr>
              <w:jc w:val="both"/>
              <w:rPr>
                <w:rFonts w:asciiTheme="majorHAnsi" w:hAnsiTheme="majorHAnsi"/>
                <w:bCs/>
                <w:sz w:val="19"/>
                <w:szCs w:val="19"/>
              </w:rPr>
            </w:pPr>
            <w:r w:rsidRPr="00FA5106">
              <w:rPr>
                <w:rFonts w:asciiTheme="majorHAnsi" w:hAnsiTheme="majorHAnsi"/>
                <w:sz w:val="19"/>
                <w:szCs w:val="19"/>
              </w:rPr>
              <w:t>Yes, under Section VI</w:t>
            </w:r>
          </w:p>
        </w:tc>
      </w:tr>
    </w:tbl>
    <w:p w14:paraId="54172C4F" w14:textId="77777777" w:rsidR="00B06BB7" w:rsidRDefault="00B06BB7">
      <w:pPr>
        <w:rPr>
          <w:rFonts w:asciiTheme="majorHAnsi" w:hAnsiTheme="majorHAnsi"/>
          <w:b/>
          <w:sz w:val="20"/>
          <w:szCs w:val="20"/>
        </w:rPr>
      </w:pPr>
      <w:r>
        <w:rPr>
          <w:rFonts w:asciiTheme="majorHAnsi" w:hAnsiTheme="majorHAnsi"/>
          <w:b/>
          <w:sz w:val="20"/>
          <w:szCs w:val="20"/>
        </w:rPr>
        <w:br w:type="page"/>
      </w:r>
    </w:p>
    <w:p w14:paraId="629E2DE8" w14:textId="62D32F02"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215EE671" w14:textId="77777777" w:rsidR="00FA5106" w:rsidRDefault="006318B2" w:rsidP="00FA51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C1082C" w:rsidRPr="00961A11">
        <w:rPr>
          <w:rFonts w:ascii="Cambria" w:hAnsi="Cambria"/>
          <w:sz w:val="20"/>
          <w:szCs w:val="20"/>
        </w:rPr>
        <w:t xml:space="preserve">The petitioners contend that the building of an electric power transmission tower very close to the house of the alleged victim gave rise to risks for her and her family’s health and personal integrity. In addition, they allege that there was a failure to abide by a judicial ruling that ordered the adoption of measures for the purpose of preventing the risk. </w:t>
      </w:r>
    </w:p>
    <w:p w14:paraId="462E8F00" w14:textId="19E25D79" w:rsidR="00C1082C" w:rsidRPr="00FA5106" w:rsidRDefault="00C1082C" w:rsidP="00FA51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A5106">
        <w:rPr>
          <w:rFonts w:ascii="Cambria" w:hAnsi="Cambria"/>
          <w:sz w:val="20"/>
          <w:szCs w:val="20"/>
        </w:rPr>
        <w:t>They indicated that, on February 1, 2002, with the authorization of the National Electricity Council (</w:t>
      </w:r>
      <w:proofErr w:type="spellStart"/>
      <w:r w:rsidRPr="00FA5106">
        <w:rPr>
          <w:rFonts w:ascii="Cambria" w:hAnsi="Cambria"/>
          <w:i/>
          <w:sz w:val="20"/>
          <w:szCs w:val="20"/>
        </w:rPr>
        <w:t>Consejo</w:t>
      </w:r>
      <w:proofErr w:type="spellEnd"/>
      <w:r w:rsidRPr="00FA5106">
        <w:rPr>
          <w:rFonts w:ascii="Cambria" w:hAnsi="Cambria"/>
          <w:i/>
          <w:sz w:val="20"/>
          <w:szCs w:val="20"/>
        </w:rPr>
        <w:t xml:space="preserve"> Nacional de </w:t>
      </w:r>
      <w:proofErr w:type="spellStart"/>
      <w:r w:rsidRPr="00FA5106">
        <w:rPr>
          <w:rFonts w:ascii="Cambria" w:hAnsi="Cambria"/>
          <w:i/>
          <w:sz w:val="20"/>
          <w:szCs w:val="20"/>
        </w:rPr>
        <w:t>Electricidad</w:t>
      </w:r>
      <w:proofErr w:type="spellEnd"/>
      <w:r w:rsidRPr="00FA5106">
        <w:rPr>
          <w:rFonts w:ascii="Cambria" w:hAnsi="Cambria"/>
          <w:sz w:val="20"/>
          <w:szCs w:val="20"/>
        </w:rPr>
        <w:t>, hereinafter CONELEC)</w:t>
      </w:r>
      <w:r w:rsidR="00423633" w:rsidRPr="00423633">
        <w:rPr>
          <w:rStyle w:val="FootnoteReference"/>
          <w:rFonts w:ascii="Cambria" w:hAnsi="Cambria"/>
          <w:sz w:val="20"/>
          <w:szCs w:val="20"/>
        </w:rPr>
        <w:t xml:space="preserve"> </w:t>
      </w:r>
      <w:r w:rsidR="00423633" w:rsidRPr="00961A11">
        <w:rPr>
          <w:rStyle w:val="FootnoteReference"/>
          <w:rFonts w:ascii="Cambria" w:hAnsi="Cambria"/>
          <w:sz w:val="20"/>
          <w:szCs w:val="20"/>
        </w:rPr>
        <w:footnoteReference w:id="5"/>
      </w:r>
      <w:r w:rsidRPr="00FA5106">
        <w:rPr>
          <w:rFonts w:ascii="Cambria" w:hAnsi="Cambria"/>
          <w:sz w:val="20"/>
          <w:szCs w:val="20"/>
        </w:rPr>
        <w:t>, activities for building the Rosa-</w:t>
      </w:r>
      <w:proofErr w:type="spellStart"/>
      <w:r w:rsidRPr="00FA5106">
        <w:rPr>
          <w:rFonts w:ascii="Cambria" w:hAnsi="Cambria"/>
          <w:sz w:val="20"/>
          <w:szCs w:val="20"/>
        </w:rPr>
        <w:t>Pomasquí</w:t>
      </w:r>
      <w:proofErr w:type="spellEnd"/>
      <w:r w:rsidRPr="00FA5106">
        <w:rPr>
          <w:rFonts w:ascii="Cambria" w:hAnsi="Cambria"/>
          <w:sz w:val="20"/>
          <w:szCs w:val="20"/>
        </w:rPr>
        <w:t xml:space="preserve"> power transmission line started. The National Power Transmission Company (</w:t>
      </w:r>
      <w:proofErr w:type="spellStart"/>
      <w:r w:rsidRPr="00FA5106">
        <w:rPr>
          <w:rFonts w:ascii="Cambria" w:hAnsi="Cambria"/>
          <w:i/>
          <w:sz w:val="20"/>
          <w:szCs w:val="20"/>
        </w:rPr>
        <w:t>Compañía</w:t>
      </w:r>
      <w:proofErr w:type="spellEnd"/>
      <w:r w:rsidRPr="00FA5106">
        <w:rPr>
          <w:rFonts w:ascii="Cambria" w:hAnsi="Cambria"/>
          <w:i/>
          <w:sz w:val="20"/>
          <w:szCs w:val="20"/>
        </w:rPr>
        <w:t xml:space="preserve"> Nacional de </w:t>
      </w:r>
      <w:proofErr w:type="spellStart"/>
      <w:r w:rsidRPr="00FA5106">
        <w:rPr>
          <w:rFonts w:ascii="Cambria" w:hAnsi="Cambria"/>
          <w:i/>
          <w:sz w:val="20"/>
          <w:szCs w:val="20"/>
        </w:rPr>
        <w:t>Transmisión</w:t>
      </w:r>
      <w:proofErr w:type="spellEnd"/>
      <w:r w:rsidRPr="00FA5106">
        <w:rPr>
          <w:rFonts w:ascii="Cambria" w:hAnsi="Cambria"/>
          <w:i/>
          <w:sz w:val="20"/>
          <w:szCs w:val="20"/>
        </w:rPr>
        <w:t xml:space="preserve"> </w:t>
      </w:r>
      <w:proofErr w:type="spellStart"/>
      <w:r w:rsidRPr="00FA5106">
        <w:rPr>
          <w:rFonts w:ascii="Cambria" w:hAnsi="Cambria"/>
          <w:i/>
          <w:sz w:val="20"/>
          <w:szCs w:val="20"/>
        </w:rPr>
        <w:t>Eléctrica</w:t>
      </w:r>
      <w:proofErr w:type="spellEnd"/>
      <w:r w:rsidRPr="00FA5106">
        <w:rPr>
          <w:rFonts w:ascii="Cambria" w:hAnsi="Cambria"/>
          <w:sz w:val="20"/>
          <w:szCs w:val="20"/>
        </w:rPr>
        <w:t>, hereinafter “</w:t>
      </w:r>
      <w:proofErr w:type="spellStart"/>
      <w:r w:rsidRPr="00FA5106">
        <w:rPr>
          <w:rFonts w:ascii="Cambria" w:hAnsi="Cambria"/>
          <w:sz w:val="20"/>
          <w:szCs w:val="20"/>
        </w:rPr>
        <w:t>Transelectric</w:t>
      </w:r>
      <w:proofErr w:type="spellEnd"/>
      <w:r w:rsidRPr="00FA5106">
        <w:rPr>
          <w:rFonts w:ascii="Cambria" w:hAnsi="Cambria"/>
          <w:sz w:val="20"/>
          <w:szCs w:val="20"/>
        </w:rPr>
        <w:t xml:space="preserve"> S.A.” or “the company”)</w:t>
      </w:r>
      <w:r w:rsidRPr="00961A11">
        <w:rPr>
          <w:rStyle w:val="FootnoteReference"/>
          <w:rFonts w:ascii="Cambria" w:hAnsi="Cambria"/>
          <w:sz w:val="20"/>
          <w:szCs w:val="20"/>
        </w:rPr>
        <w:footnoteReference w:id="6"/>
      </w:r>
      <w:r w:rsidRPr="00FA5106">
        <w:rPr>
          <w:rFonts w:ascii="Cambria" w:hAnsi="Cambria"/>
          <w:sz w:val="20"/>
          <w:szCs w:val="20"/>
        </w:rPr>
        <w:t xml:space="preserve"> was in charge of the construction and the power line started operating on April 1, 2003. The petitioners alleged that Transelectric S.A. unilaterally decided to change the route of the power line and as a result, a power transmission tower was installed a few meters away from the house of the alleged victim, exposing her family and other inhabitants to major health and personal safety risks. They allege that, with the initial layout, no community or person would have been impacted. In addition, they assert that the judicial authorities did not enforce a protection measure granted by the Constitutional Court.</w:t>
      </w:r>
    </w:p>
    <w:p w14:paraId="0330BCF5" w14:textId="67749A5C" w:rsidR="00C1082C" w:rsidRPr="00961A11" w:rsidRDefault="00C1082C" w:rsidP="00C108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t>The petitioners allege that, on March 13, 2003, the alleged victim</w:t>
      </w:r>
      <w:r w:rsidRPr="00961A11">
        <w:rPr>
          <w:rStyle w:val="FootnoteReference"/>
          <w:rFonts w:ascii="Cambria" w:hAnsi="Cambria"/>
          <w:sz w:val="20"/>
          <w:szCs w:val="20"/>
        </w:rPr>
        <w:footnoteReference w:id="7"/>
      </w:r>
      <w:r w:rsidRPr="00961A11">
        <w:rPr>
          <w:rFonts w:ascii="Cambria" w:hAnsi="Cambria"/>
          <w:sz w:val="20"/>
          <w:szCs w:val="20"/>
        </w:rPr>
        <w:t xml:space="preserve"> filed an </w:t>
      </w:r>
      <w:r w:rsidR="00F35FD4">
        <w:rPr>
          <w:rFonts w:ascii="Cambria" w:hAnsi="Cambria"/>
          <w:sz w:val="20"/>
          <w:szCs w:val="20"/>
        </w:rPr>
        <w:t>action</w:t>
      </w:r>
      <w:r w:rsidRPr="00961A11">
        <w:rPr>
          <w:rFonts w:ascii="Cambria" w:hAnsi="Cambria"/>
          <w:sz w:val="20"/>
          <w:szCs w:val="20"/>
        </w:rPr>
        <w:t xml:space="preserve"> for protection on constitutional grounds (</w:t>
      </w:r>
      <w:proofErr w:type="spellStart"/>
      <w:r w:rsidRPr="00961A11">
        <w:rPr>
          <w:rFonts w:ascii="Cambria" w:hAnsi="Cambria"/>
          <w:i/>
          <w:sz w:val="20"/>
          <w:szCs w:val="20"/>
        </w:rPr>
        <w:t>amparo</w:t>
      </w:r>
      <w:proofErr w:type="spellEnd"/>
      <w:r w:rsidRPr="00961A11">
        <w:rPr>
          <w:rFonts w:ascii="Cambria" w:hAnsi="Cambria"/>
          <w:sz w:val="20"/>
          <w:szCs w:val="20"/>
        </w:rPr>
        <w:t xml:space="preserve">) against the Company, claiming that, as a result of the change in the layout, the high-voltage power transmission towers were located too close to the houses of the sector’s inhabitants and were directly impacting their physical and psychological health. The request was </w:t>
      </w:r>
      <w:r w:rsidR="004E461B">
        <w:rPr>
          <w:rFonts w:ascii="Cambria" w:hAnsi="Cambria"/>
          <w:sz w:val="20"/>
          <w:szCs w:val="20"/>
        </w:rPr>
        <w:t>dismissed</w:t>
      </w:r>
      <w:r w:rsidRPr="00961A11">
        <w:rPr>
          <w:rFonts w:ascii="Cambria" w:hAnsi="Cambria"/>
          <w:sz w:val="20"/>
          <w:szCs w:val="20"/>
        </w:rPr>
        <w:t xml:space="preserve"> town on April 10, 2003. Nevertheless, </w:t>
      </w:r>
      <w:r w:rsidR="0006503D" w:rsidRPr="00961A11">
        <w:rPr>
          <w:rFonts w:ascii="Cambria" w:hAnsi="Cambria"/>
          <w:sz w:val="20"/>
          <w:szCs w:val="20"/>
        </w:rPr>
        <w:t>on December 4, 2003,</w:t>
      </w:r>
      <w:r w:rsidR="0006503D">
        <w:rPr>
          <w:rFonts w:ascii="Cambria" w:hAnsi="Cambria"/>
          <w:sz w:val="20"/>
          <w:szCs w:val="20"/>
        </w:rPr>
        <w:t xml:space="preserve"> </w:t>
      </w:r>
      <w:r w:rsidRPr="00961A11">
        <w:rPr>
          <w:rFonts w:ascii="Cambria" w:hAnsi="Cambria"/>
          <w:sz w:val="20"/>
          <w:szCs w:val="20"/>
        </w:rPr>
        <w:t xml:space="preserve">the decision was appealed by the alleged victim, among others, and the First Chamber of Ecuador’s Constitutional Court partially granted them protection, ruling that the Company </w:t>
      </w:r>
      <w:r w:rsidR="0006503D">
        <w:rPr>
          <w:rFonts w:ascii="Cambria" w:hAnsi="Cambria"/>
          <w:sz w:val="20"/>
          <w:szCs w:val="20"/>
        </w:rPr>
        <w:t>had to</w:t>
      </w:r>
      <w:r w:rsidRPr="00961A11">
        <w:rPr>
          <w:rFonts w:ascii="Cambria" w:hAnsi="Cambria"/>
          <w:sz w:val="20"/>
          <w:szCs w:val="20"/>
        </w:rPr>
        <w:t xml:space="preserve"> adopt the necessary preventive measures to ascertain the possible impact that the high-voltage grid would exert and to protect the population from the environmental impacts that it might cause, as provided for in Article 90 of the Political Constitution, and </w:t>
      </w:r>
      <w:r w:rsidR="004F6A17">
        <w:rPr>
          <w:rFonts w:ascii="Cambria" w:hAnsi="Cambria"/>
          <w:sz w:val="20"/>
          <w:szCs w:val="20"/>
        </w:rPr>
        <w:t>remitted</w:t>
      </w:r>
      <w:r w:rsidRPr="00961A11">
        <w:rPr>
          <w:rFonts w:ascii="Cambria" w:hAnsi="Cambria"/>
          <w:sz w:val="20"/>
          <w:szCs w:val="20"/>
        </w:rPr>
        <w:t xml:space="preserve"> the case to the original judge to oversee enforcement. </w:t>
      </w:r>
    </w:p>
    <w:p w14:paraId="7FCDC131" w14:textId="082B09DD" w:rsidR="00C1082C" w:rsidRPr="00961A11" w:rsidRDefault="00C1082C" w:rsidP="00C108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t xml:space="preserve">The petitioners claim that, on various occasions, the courts issued resolutions ordering that Resolution 0312-03 RA be enforced. </w:t>
      </w:r>
      <w:r w:rsidR="00841724">
        <w:rPr>
          <w:rFonts w:ascii="Cambria" w:hAnsi="Cambria"/>
          <w:sz w:val="20"/>
          <w:szCs w:val="20"/>
        </w:rPr>
        <w:t>T</w:t>
      </w:r>
      <w:r w:rsidRPr="00961A11">
        <w:rPr>
          <w:rFonts w:ascii="Cambria" w:hAnsi="Cambria"/>
          <w:sz w:val="20"/>
          <w:szCs w:val="20"/>
        </w:rPr>
        <w:t>hey indicate that, on January 29, 2004, the Thirteenth</w:t>
      </w:r>
      <w:r w:rsidR="00CB204D">
        <w:rPr>
          <w:rFonts w:ascii="Cambria" w:hAnsi="Cambria"/>
          <w:sz w:val="20"/>
          <w:szCs w:val="20"/>
        </w:rPr>
        <w:t xml:space="preserve"> Civil</w:t>
      </w:r>
      <w:r w:rsidRPr="00961A11">
        <w:rPr>
          <w:rFonts w:ascii="Cambria" w:hAnsi="Cambria"/>
          <w:sz w:val="20"/>
          <w:szCs w:val="20"/>
        </w:rPr>
        <w:t xml:space="preserve"> Judge ordered the Company to fulfill the terms of the protection resolutions, after a complaint was filed by the alleged victim. On November 18, 2004, the First Chamber indicated that it pertained to the Thirteenth</w:t>
      </w:r>
      <w:r w:rsidR="00CB204D">
        <w:rPr>
          <w:rFonts w:ascii="Cambria" w:hAnsi="Cambria"/>
          <w:sz w:val="20"/>
          <w:szCs w:val="20"/>
        </w:rPr>
        <w:t xml:space="preserve"> Civil</w:t>
      </w:r>
      <w:r w:rsidRPr="00961A11">
        <w:rPr>
          <w:rFonts w:ascii="Cambria" w:hAnsi="Cambria"/>
          <w:sz w:val="20"/>
          <w:szCs w:val="20"/>
        </w:rPr>
        <w:t xml:space="preserve"> Judge to enforce Resolution 0312-03 RA and, on October 25, 2005, the Constitutional Court requested the Thirteenth Civil Judge of Pichincha to enforce Resolution 0312-03 RA, a request that was reiterated on April 12, 2006. On December 7, 2006, the </w:t>
      </w:r>
      <w:r w:rsidR="00CB204D" w:rsidRPr="00961A11">
        <w:rPr>
          <w:rFonts w:ascii="Cambria" w:hAnsi="Cambria"/>
          <w:sz w:val="20"/>
          <w:szCs w:val="20"/>
        </w:rPr>
        <w:t>Thirteenth</w:t>
      </w:r>
      <w:r w:rsidR="00CB204D">
        <w:rPr>
          <w:rFonts w:ascii="Cambria" w:hAnsi="Cambria"/>
          <w:sz w:val="20"/>
          <w:szCs w:val="20"/>
        </w:rPr>
        <w:t xml:space="preserve"> </w:t>
      </w:r>
      <w:r w:rsidRPr="00961A11">
        <w:rPr>
          <w:rFonts w:ascii="Cambria" w:hAnsi="Cambria"/>
          <w:sz w:val="20"/>
          <w:szCs w:val="20"/>
        </w:rPr>
        <w:t xml:space="preserve">Civil </w:t>
      </w:r>
      <w:r w:rsidR="00CB204D">
        <w:rPr>
          <w:rFonts w:ascii="Cambria" w:hAnsi="Cambria"/>
          <w:sz w:val="20"/>
          <w:szCs w:val="20"/>
        </w:rPr>
        <w:t>Judge</w:t>
      </w:r>
      <w:r w:rsidRPr="00961A11">
        <w:rPr>
          <w:rFonts w:ascii="Cambria" w:hAnsi="Cambria"/>
          <w:sz w:val="20"/>
          <w:szCs w:val="20"/>
        </w:rPr>
        <w:t xml:space="preserve"> ordered Transelectric S.A. to adopt, within 30 days, the necessary preventive measures in accordance with Resolution 0312-03 RA. Transelectric S.A. filed an appeal, which was </w:t>
      </w:r>
      <w:r w:rsidR="00CB204D">
        <w:rPr>
          <w:rFonts w:ascii="Cambria" w:hAnsi="Cambria"/>
          <w:sz w:val="20"/>
          <w:szCs w:val="20"/>
        </w:rPr>
        <w:t>dismissed</w:t>
      </w:r>
      <w:r w:rsidRPr="00961A11">
        <w:rPr>
          <w:rFonts w:ascii="Cambria" w:hAnsi="Cambria"/>
          <w:sz w:val="20"/>
          <w:szCs w:val="20"/>
        </w:rPr>
        <w:t xml:space="preserve"> on May 18, 2007. On October 10, 2007, the First Secretary requested the </w:t>
      </w:r>
      <w:r w:rsidR="003C3F71" w:rsidRPr="00961A11">
        <w:rPr>
          <w:rFonts w:ascii="Cambria" w:hAnsi="Cambria"/>
          <w:sz w:val="20"/>
          <w:szCs w:val="20"/>
        </w:rPr>
        <w:t>Thirteenth</w:t>
      </w:r>
      <w:r w:rsidR="003C3F71">
        <w:rPr>
          <w:rFonts w:ascii="Cambria" w:hAnsi="Cambria"/>
          <w:sz w:val="20"/>
          <w:szCs w:val="20"/>
        </w:rPr>
        <w:t xml:space="preserve"> Civil</w:t>
      </w:r>
      <w:r w:rsidR="003C3F71" w:rsidRPr="00961A11">
        <w:rPr>
          <w:rFonts w:ascii="Cambria" w:hAnsi="Cambria"/>
          <w:sz w:val="20"/>
          <w:szCs w:val="20"/>
        </w:rPr>
        <w:t xml:space="preserve"> Judge</w:t>
      </w:r>
      <w:r w:rsidRPr="00961A11">
        <w:rPr>
          <w:rFonts w:ascii="Cambria" w:hAnsi="Cambria"/>
          <w:sz w:val="20"/>
          <w:szCs w:val="20"/>
        </w:rPr>
        <w:t xml:space="preserve"> to report, within 72 hours, on enforcement of said resolution. On that same day, the </w:t>
      </w:r>
      <w:r w:rsidR="003C3F71" w:rsidRPr="00961A11">
        <w:rPr>
          <w:rFonts w:ascii="Cambria" w:hAnsi="Cambria"/>
          <w:sz w:val="20"/>
          <w:szCs w:val="20"/>
        </w:rPr>
        <w:t>Thirteenth</w:t>
      </w:r>
      <w:r w:rsidR="003C3F71">
        <w:rPr>
          <w:rFonts w:ascii="Cambria" w:hAnsi="Cambria"/>
          <w:sz w:val="20"/>
          <w:szCs w:val="20"/>
        </w:rPr>
        <w:t xml:space="preserve"> Civil</w:t>
      </w:r>
      <w:r w:rsidR="003C3F71" w:rsidRPr="00961A11">
        <w:rPr>
          <w:rFonts w:ascii="Cambria" w:hAnsi="Cambria"/>
          <w:sz w:val="20"/>
          <w:szCs w:val="20"/>
        </w:rPr>
        <w:t xml:space="preserve"> Judge </w:t>
      </w:r>
      <w:r w:rsidRPr="00961A11">
        <w:rPr>
          <w:rFonts w:ascii="Cambria" w:hAnsi="Cambria"/>
          <w:sz w:val="20"/>
          <w:szCs w:val="20"/>
        </w:rPr>
        <w:t>ordered Transelectric to carry out one of the two alternatives proposed by CONELEC,</w:t>
      </w:r>
      <w:r w:rsidRPr="00961A11">
        <w:rPr>
          <w:rStyle w:val="FootnoteReference"/>
          <w:rFonts w:ascii="Cambria" w:hAnsi="Cambria"/>
          <w:sz w:val="20"/>
          <w:szCs w:val="20"/>
        </w:rPr>
        <w:footnoteReference w:id="8"/>
      </w:r>
      <w:r w:rsidRPr="00961A11">
        <w:rPr>
          <w:rFonts w:ascii="Cambria" w:hAnsi="Cambria"/>
          <w:sz w:val="20"/>
          <w:szCs w:val="20"/>
        </w:rPr>
        <w:t xml:space="preserve"> either abiding by the original layout es</w:t>
      </w:r>
      <w:r w:rsidR="00742AF7">
        <w:rPr>
          <w:rFonts w:ascii="Cambria" w:hAnsi="Cambria"/>
          <w:sz w:val="20"/>
          <w:szCs w:val="20"/>
        </w:rPr>
        <w:t xml:space="preserve">tablished by CONELEC on May 3, </w:t>
      </w:r>
      <w:r w:rsidRPr="00961A11">
        <w:rPr>
          <w:rFonts w:ascii="Cambria" w:hAnsi="Cambria"/>
          <w:sz w:val="20"/>
          <w:szCs w:val="20"/>
        </w:rPr>
        <w:t xml:space="preserve">2001 or else lengthening the original route. </w:t>
      </w:r>
    </w:p>
    <w:p w14:paraId="13796BDE" w14:textId="4A25EF5A" w:rsidR="00C1082C" w:rsidRPr="00961A11" w:rsidRDefault="00975B3E" w:rsidP="00C108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75B3E">
        <w:rPr>
          <w:rFonts w:ascii="Cambria" w:hAnsi="Cambria"/>
          <w:sz w:val="20"/>
          <w:szCs w:val="20"/>
        </w:rPr>
        <w:t xml:space="preserve">On </w:t>
      </w:r>
      <w:r w:rsidR="00C1082C" w:rsidRPr="00975B3E">
        <w:rPr>
          <w:rFonts w:ascii="Cambria" w:hAnsi="Cambria"/>
          <w:sz w:val="20"/>
          <w:szCs w:val="20"/>
        </w:rPr>
        <w:t xml:space="preserve">January 2, 2008, the Constitutional Court warned the </w:t>
      </w:r>
      <w:r w:rsidR="005A4839" w:rsidRPr="00961A11">
        <w:rPr>
          <w:rFonts w:ascii="Cambria" w:hAnsi="Cambria"/>
          <w:sz w:val="20"/>
          <w:szCs w:val="20"/>
        </w:rPr>
        <w:t>Thirteenth</w:t>
      </w:r>
      <w:r w:rsidR="005A4839">
        <w:rPr>
          <w:rFonts w:ascii="Cambria" w:hAnsi="Cambria"/>
          <w:sz w:val="20"/>
          <w:szCs w:val="20"/>
        </w:rPr>
        <w:t xml:space="preserve"> Civil</w:t>
      </w:r>
      <w:r w:rsidR="005A4839" w:rsidRPr="00961A11">
        <w:rPr>
          <w:rFonts w:ascii="Cambria" w:hAnsi="Cambria"/>
          <w:sz w:val="20"/>
          <w:szCs w:val="20"/>
        </w:rPr>
        <w:t xml:space="preserve"> Judge</w:t>
      </w:r>
      <w:r w:rsidR="005A4839" w:rsidRPr="00975B3E">
        <w:rPr>
          <w:rFonts w:ascii="Cambria" w:hAnsi="Cambria"/>
          <w:sz w:val="20"/>
          <w:szCs w:val="20"/>
        </w:rPr>
        <w:t xml:space="preserve"> </w:t>
      </w:r>
      <w:r w:rsidR="00C1082C" w:rsidRPr="00975B3E">
        <w:rPr>
          <w:rFonts w:ascii="Cambria" w:hAnsi="Cambria"/>
          <w:sz w:val="20"/>
          <w:szCs w:val="20"/>
        </w:rPr>
        <w:t xml:space="preserve">that, if </w:t>
      </w:r>
      <w:r w:rsidR="005A4839">
        <w:rPr>
          <w:rFonts w:ascii="Cambria" w:hAnsi="Cambria"/>
          <w:sz w:val="20"/>
          <w:szCs w:val="20"/>
        </w:rPr>
        <w:t>he</w:t>
      </w:r>
      <w:r w:rsidR="00C1082C" w:rsidRPr="00975B3E">
        <w:rPr>
          <w:rFonts w:ascii="Cambria" w:hAnsi="Cambria"/>
          <w:sz w:val="20"/>
          <w:szCs w:val="20"/>
        </w:rPr>
        <w:t xml:space="preserve"> did not send the report on enforcement of the judgment, </w:t>
      </w:r>
      <w:r w:rsidR="006D695C">
        <w:rPr>
          <w:rFonts w:ascii="Cambria" w:hAnsi="Cambria"/>
          <w:sz w:val="20"/>
          <w:szCs w:val="20"/>
        </w:rPr>
        <w:t>his</w:t>
      </w:r>
      <w:r w:rsidR="00C1082C" w:rsidRPr="00975B3E">
        <w:rPr>
          <w:rFonts w:ascii="Cambria" w:hAnsi="Cambria"/>
          <w:sz w:val="20"/>
          <w:szCs w:val="20"/>
        </w:rPr>
        <w:t xml:space="preserve"> action would be submitted for review to the National Council of the Judicial System. The petitioners indicate that, on January</w:t>
      </w:r>
      <w:r w:rsidR="00C1082C" w:rsidRPr="00961A11">
        <w:rPr>
          <w:rFonts w:ascii="Cambria" w:hAnsi="Cambria"/>
          <w:sz w:val="20"/>
          <w:szCs w:val="20"/>
        </w:rPr>
        <w:t xml:space="preserve"> 9, 2008, the </w:t>
      </w:r>
      <w:r w:rsidR="002A103C" w:rsidRPr="00961A11">
        <w:rPr>
          <w:rFonts w:ascii="Cambria" w:hAnsi="Cambria"/>
          <w:sz w:val="20"/>
          <w:szCs w:val="20"/>
        </w:rPr>
        <w:t>Thirteenth</w:t>
      </w:r>
      <w:r w:rsidR="002A103C">
        <w:rPr>
          <w:rFonts w:ascii="Cambria" w:hAnsi="Cambria"/>
          <w:sz w:val="20"/>
          <w:szCs w:val="20"/>
        </w:rPr>
        <w:t xml:space="preserve"> Civil</w:t>
      </w:r>
      <w:r w:rsidR="002A103C" w:rsidRPr="00961A11">
        <w:rPr>
          <w:rFonts w:ascii="Cambria" w:hAnsi="Cambria"/>
          <w:sz w:val="20"/>
          <w:szCs w:val="20"/>
        </w:rPr>
        <w:t xml:space="preserve"> Judge</w:t>
      </w:r>
      <w:r w:rsidR="002A103C" w:rsidRPr="00975B3E">
        <w:rPr>
          <w:rFonts w:ascii="Cambria" w:hAnsi="Cambria"/>
          <w:sz w:val="20"/>
          <w:szCs w:val="20"/>
        </w:rPr>
        <w:t xml:space="preserve"> </w:t>
      </w:r>
      <w:r w:rsidR="00C1082C" w:rsidRPr="00961A11">
        <w:rPr>
          <w:rFonts w:ascii="Cambria" w:hAnsi="Cambria"/>
          <w:sz w:val="20"/>
          <w:szCs w:val="20"/>
        </w:rPr>
        <w:t xml:space="preserve">reported that his office unsuccessfully resorted to all of the powers within its reach to enforce the resolution, except use of the forces of law and order. The petitioners indicate that, on February 20, 2008, </w:t>
      </w:r>
      <w:r w:rsidR="00AB2EEF" w:rsidRPr="00961A11">
        <w:rPr>
          <w:rFonts w:ascii="Cambria" w:hAnsi="Cambria"/>
          <w:sz w:val="20"/>
          <w:szCs w:val="20"/>
        </w:rPr>
        <w:t>the Thirteenth</w:t>
      </w:r>
      <w:r w:rsidR="00AB2EEF">
        <w:rPr>
          <w:rFonts w:ascii="Cambria" w:hAnsi="Cambria"/>
          <w:sz w:val="20"/>
          <w:szCs w:val="20"/>
        </w:rPr>
        <w:t xml:space="preserve"> </w:t>
      </w:r>
      <w:r w:rsidR="00AB2EEF">
        <w:rPr>
          <w:rFonts w:ascii="Cambria" w:hAnsi="Cambria"/>
          <w:sz w:val="20"/>
          <w:szCs w:val="20"/>
        </w:rPr>
        <w:lastRenderedPageBreak/>
        <w:t>Civil</w:t>
      </w:r>
      <w:r w:rsidR="00AB2EEF" w:rsidRPr="00961A11">
        <w:rPr>
          <w:rFonts w:ascii="Cambria" w:hAnsi="Cambria"/>
          <w:sz w:val="20"/>
          <w:szCs w:val="20"/>
        </w:rPr>
        <w:t xml:space="preserve"> Judge</w:t>
      </w:r>
      <w:r w:rsidR="00AB2EEF" w:rsidRPr="00975B3E">
        <w:rPr>
          <w:rFonts w:ascii="Cambria" w:hAnsi="Cambria"/>
          <w:sz w:val="20"/>
          <w:szCs w:val="20"/>
        </w:rPr>
        <w:t xml:space="preserve"> </w:t>
      </w:r>
      <w:r w:rsidR="00C1082C" w:rsidRPr="00961A11">
        <w:rPr>
          <w:rFonts w:ascii="Cambria" w:hAnsi="Cambria"/>
          <w:sz w:val="20"/>
          <w:szCs w:val="20"/>
        </w:rPr>
        <w:t>ordered that the Attorney General’s Office be called to launch criminal prosecution proceedings against the representatives of the company for contempt of court. Finally, they allege that, on March 26, 2008, an onsite inspection was conducted by the judges of the Constitutional Court, as a result of which it was confirmed that the transmission towers were never relocated.</w:t>
      </w:r>
    </w:p>
    <w:p w14:paraId="342BDFD1" w14:textId="77777777" w:rsidR="00C1082C" w:rsidRPr="00961A11" w:rsidRDefault="00C1082C" w:rsidP="00C108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t>Furthermore, the petitioners point out that various government stakeholders adopted resolutions in favor of withdrawing the towers. They allege that, on December 22, 2003, the Prefect of the Government of the Province of Pichincha requested Transelectric S.A to withdraw the tower within 15 days. Likewise, on January 7, 2004, the Commissioner of the Metropolitan District of Quito ordered the company to relocate the high-voltage towers and CONELEC to adopt the necessary measures to prevent impacts, within 60 days.</w:t>
      </w:r>
    </w:p>
    <w:p w14:paraId="1236294C" w14:textId="396DCFDF" w:rsidR="00C1082C" w:rsidRPr="00961A11" w:rsidRDefault="00C1082C" w:rsidP="00C108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t xml:space="preserve">The petitioners allege that, on May 11, 2004, the Area Commissioner filed a complaint with the Prosecution Service because of the failure to relocate the towers. On October 20, 2004, the Government of the Province of Pichincha reported that, the previous day, the Provincial Council of Pichincha authorized legal authorities to prosecute Transelectric S.A. for not having fulfilled the order by the Provincial Council to withdraw the high-voltage. They indicate that, on January 10, 2005, the Ministry of the Environment determined that the company Transelectric S.A. had not abided by what had been planned in the environmental impact study, and therefore it was deemed </w:t>
      </w:r>
      <w:r w:rsidR="004B7A0D">
        <w:rPr>
          <w:rFonts w:ascii="Cambria" w:hAnsi="Cambria"/>
          <w:sz w:val="20"/>
          <w:szCs w:val="20"/>
        </w:rPr>
        <w:t>appropriate</w:t>
      </w:r>
      <w:r w:rsidRPr="00961A11">
        <w:rPr>
          <w:rFonts w:ascii="Cambria" w:hAnsi="Cambria"/>
          <w:sz w:val="20"/>
          <w:szCs w:val="20"/>
        </w:rPr>
        <w:t xml:space="preserve"> to suspend the proceedings for granting the environmental permit until the above-mentioned company carried out the corresponding corrective measures. </w:t>
      </w:r>
    </w:p>
    <w:p w14:paraId="42DB1051" w14:textId="77777777" w:rsidR="00C1082C" w:rsidRPr="00961A11" w:rsidRDefault="00C1082C" w:rsidP="00C108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t xml:space="preserve">They indicate that, on the basis of the resolution of January 11, 2006 and that of February 15, 2006, CONELEC decided to commission a technical study to be delivered within 30 days, before proceeding with the withdrawal of the towers, also within 30 days. Likewise, on May 10, 2006, a report drafted by the Office of the Comptroller General of the State which recommended the withdrawal of the power transmission tower was approved, and on March 7, 2008, the Directorate for Project and Environmental Auditing of the Office of the Comptroller General of the State concluded that the recommendation to withdraw the towers had not as yet been heeded. On June 12, 2007, as well as on October 4, 2007 and November 12, 2007, CONELEC urged Transelectric S.A. to implement one of the two alternatives it had proposed. </w:t>
      </w:r>
    </w:p>
    <w:p w14:paraId="690DC6BE" w14:textId="60D473B7" w:rsidR="00C1082C" w:rsidRPr="00961A11" w:rsidRDefault="00FF32FE" w:rsidP="00C108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petitioners indicate</w:t>
      </w:r>
      <w:r w:rsidR="00C1082C" w:rsidRPr="00961A11">
        <w:rPr>
          <w:rFonts w:ascii="Cambria" w:hAnsi="Cambria"/>
          <w:sz w:val="20"/>
          <w:szCs w:val="20"/>
        </w:rPr>
        <w:t xml:space="preserve"> that, although all judicial mechanisms as set forth in the Constitution have been exhausted, at the time of filing their complaint with the Commission, the </w:t>
      </w:r>
      <w:r w:rsidR="00032AAC">
        <w:rPr>
          <w:rFonts w:ascii="Cambria" w:hAnsi="Cambria"/>
          <w:sz w:val="20"/>
          <w:szCs w:val="20"/>
        </w:rPr>
        <w:t>resolution enacted</w:t>
      </w:r>
      <w:r w:rsidR="00C1082C" w:rsidRPr="00961A11">
        <w:rPr>
          <w:rFonts w:ascii="Cambria" w:hAnsi="Cambria"/>
          <w:sz w:val="20"/>
          <w:szCs w:val="20"/>
        </w:rPr>
        <w:t xml:space="preserve"> by the </w:t>
      </w:r>
      <w:r w:rsidR="00032AAC">
        <w:rPr>
          <w:rFonts w:ascii="Cambria" w:hAnsi="Cambria"/>
          <w:sz w:val="20"/>
          <w:szCs w:val="20"/>
        </w:rPr>
        <w:t>Constitutional Court in 2003 had</w:t>
      </w:r>
      <w:r w:rsidR="00C1082C" w:rsidRPr="00961A11">
        <w:rPr>
          <w:rFonts w:ascii="Cambria" w:hAnsi="Cambria"/>
          <w:sz w:val="20"/>
          <w:szCs w:val="20"/>
        </w:rPr>
        <w:t xml:space="preserve"> not been implemented. Furthermore, they allege that the appeal for protection</w:t>
      </w:r>
      <w:r w:rsidR="00F97E16">
        <w:rPr>
          <w:rFonts w:ascii="Cambria" w:hAnsi="Cambria"/>
          <w:sz w:val="20"/>
          <w:szCs w:val="20"/>
        </w:rPr>
        <w:t xml:space="preserve"> (</w:t>
      </w:r>
      <w:proofErr w:type="spellStart"/>
      <w:r w:rsidR="00F97E16">
        <w:rPr>
          <w:rFonts w:ascii="Cambria" w:hAnsi="Cambria"/>
          <w:i/>
          <w:sz w:val="20"/>
          <w:szCs w:val="20"/>
        </w:rPr>
        <w:t>amparo</w:t>
      </w:r>
      <w:proofErr w:type="spellEnd"/>
      <w:r w:rsidR="00F97E16">
        <w:rPr>
          <w:rFonts w:ascii="Cambria" w:hAnsi="Cambria"/>
          <w:sz w:val="20"/>
          <w:szCs w:val="20"/>
        </w:rPr>
        <w:t>)</w:t>
      </w:r>
      <w:r w:rsidR="00C1082C" w:rsidRPr="00961A11">
        <w:rPr>
          <w:rFonts w:ascii="Cambria" w:hAnsi="Cambria"/>
          <w:sz w:val="20"/>
          <w:szCs w:val="20"/>
        </w:rPr>
        <w:t xml:space="preserve"> was suitable because what was being sought was the safeguarding of the rights to health and the enjoyment of a healthy environment, whereas ordinary civil proceedings are seeking economic compensation, and between these two proceedings there is no procedural identity.</w:t>
      </w:r>
      <w:r w:rsidR="00C1082C" w:rsidRPr="00961A11">
        <w:rPr>
          <w:rStyle w:val="FootnoteReference"/>
          <w:rFonts w:ascii="Cambria" w:hAnsi="Cambria"/>
          <w:sz w:val="20"/>
          <w:szCs w:val="20"/>
        </w:rPr>
        <w:footnoteReference w:id="9"/>
      </w:r>
    </w:p>
    <w:p w14:paraId="508E66A0" w14:textId="002467BC" w:rsidR="00C1082C" w:rsidRPr="00961A11" w:rsidRDefault="00C1082C" w:rsidP="00C108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t>As for the State, it alleges that the petition does not meet the requirements of Article 46 of the Convention. On the one hand, it alleges that the petition was filed late, because the final decision to be considered is December 4, 2003, whereas the petition was submitted to the IACHR on February 5, 2009. It indicates that, in this decision, the Constitutional Court determined that it was not possible to prove the existence of any harm or unlawful action by the administration, which was the final decision in the proceedings and, according to the petitioners, it was a decision that violated the rights of the alleged victim</w:t>
      </w:r>
      <w:r w:rsidR="005B25CD">
        <w:rPr>
          <w:rFonts w:ascii="Cambria" w:hAnsi="Cambria"/>
          <w:sz w:val="20"/>
          <w:szCs w:val="20"/>
        </w:rPr>
        <w:t>s</w:t>
      </w:r>
      <w:r w:rsidRPr="00961A11">
        <w:rPr>
          <w:rFonts w:ascii="Cambria" w:hAnsi="Cambria"/>
          <w:sz w:val="20"/>
          <w:szCs w:val="20"/>
        </w:rPr>
        <w:t xml:space="preserve">. Furthermore, the state alleges the failure to exhaust domestic remedies in the context of the </w:t>
      </w:r>
      <w:r w:rsidR="006E1969">
        <w:rPr>
          <w:rFonts w:ascii="Cambria" w:hAnsi="Cambria"/>
          <w:sz w:val="20"/>
          <w:szCs w:val="20"/>
        </w:rPr>
        <w:t>action</w:t>
      </w:r>
      <w:r w:rsidRPr="00961A11">
        <w:rPr>
          <w:rFonts w:ascii="Cambria" w:hAnsi="Cambria"/>
          <w:sz w:val="20"/>
          <w:szCs w:val="20"/>
        </w:rPr>
        <w:t xml:space="preserve"> filed for environmental harm. It indicates that the complaint filed on November 17, 2014 by Héctor Hugo Rosero Contreras and Ana del Rocio </w:t>
      </w:r>
      <w:proofErr w:type="spellStart"/>
      <w:r w:rsidRPr="00961A11">
        <w:rPr>
          <w:rFonts w:ascii="Cambria" w:hAnsi="Cambria"/>
          <w:sz w:val="20"/>
          <w:szCs w:val="20"/>
        </w:rPr>
        <w:t>Rosero</w:t>
      </w:r>
      <w:proofErr w:type="spellEnd"/>
      <w:r w:rsidRPr="00961A11">
        <w:rPr>
          <w:rFonts w:ascii="Cambria" w:hAnsi="Cambria"/>
          <w:sz w:val="20"/>
          <w:szCs w:val="20"/>
        </w:rPr>
        <w:t xml:space="preserve"> </w:t>
      </w:r>
      <w:proofErr w:type="spellStart"/>
      <w:r w:rsidRPr="00961A11">
        <w:rPr>
          <w:rFonts w:ascii="Cambria" w:hAnsi="Cambria"/>
          <w:sz w:val="20"/>
          <w:szCs w:val="20"/>
        </w:rPr>
        <w:t>Zarabia</w:t>
      </w:r>
      <w:proofErr w:type="spellEnd"/>
      <w:r w:rsidRPr="00961A11">
        <w:rPr>
          <w:rFonts w:ascii="Cambria" w:hAnsi="Cambria"/>
          <w:sz w:val="20"/>
          <w:szCs w:val="20"/>
        </w:rPr>
        <w:t xml:space="preserve"> was dismissed on May 25, 2016, as well as the appeal for clarification filed on June 15, 2016. It indicates that, against this decision, the complainants </w:t>
      </w:r>
      <w:r w:rsidR="00715A20">
        <w:rPr>
          <w:rFonts w:ascii="Cambria" w:hAnsi="Cambria"/>
          <w:sz w:val="20"/>
          <w:szCs w:val="20"/>
        </w:rPr>
        <w:t xml:space="preserve">should have </w:t>
      </w:r>
      <w:r w:rsidRPr="00961A11">
        <w:rPr>
          <w:rFonts w:ascii="Cambria" w:hAnsi="Cambria"/>
          <w:sz w:val="20"/>
          <w:szCs w:val="20"/>
        </w:rPr>
        <w:t xml:space="preserve">filed a cassation appeal, which </w:t>
      </w:r>
      <w:r w:rsidR="00684188">
        <w:rPr>
          <w:rFonts w:ascii="Cambria" w:hAnsi="Cambria"/>
          <w:sz w:val="20"/>
          <w:szCs w:val="20"/>
        </w:rPr>
        <w:t>they failed to do</w:t>
      </w:r>
      <w:r w:rsidRPr="00961A11">
        <w:rPr>
          <w:rFonts w:ascii="Cambria" w:hAnsi="Cambria"/>
          <w:sz w:val="20"/>
          <w:szCs w:val="20"/>
        </w:rPr>
        <w:t>, and therefore the case was archived on November 16, 2016. Nevertheless, in a subsequent communication and in view of the fact that the petitioner was not a party to the appeal for damages, the state contends that the alleged victim</w:t>
      </w:r>
      <w:r w:rsidR="00E43B92">
        <w:rPr>
          <w:rFonts w:ascii="Cambria" w:hAnsi="Cambria"/>
          <w:sz w:val="20"/>
          <w:szCs w:val="20"/>
        </w:rPr>
        <w:t xml:space="preserve"> </w:t>
      </w:r>
      <w:r w:rsidRPr="00961A11">
        <w:rPr>
          <w:rFonts w:ascii="Cambria" w:hAnsi="Cambria"/>
          <w:sz w:val="20"/>
          <w:szCs w:val="20"/>
        </w:rPr>
        <w:t xml:space="preserve">was obliged to exhaust available domestic </w:t>
      </w:r>
      <w:r w:rsidRPr="00961A11">
        <w:rPr>
          <w:rFonts w:ascii="Cambria" w:hAnsi="Cambria"/>
          <w:sz w:val="20"/>
          <w:szCs w:val="20"/>
        </w:rPr>
        <w:lastRenderedPageBreak/>
        <w:t>remedies to secure compensation for the alleged harm, in other words a civil lawsuit for compensation for environmental harm.</w:t>
      </w:r>
    </w:p>
    <w:p w14:paraId="0203EEC8" w14:textId="7B2A4961" w:rsidR="00C1082C" w:rsidRPr="00961A11" w:rsidRDefault="00C1082C" w:rsidP="00C108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t xml:space="preserve">The state alleges the absence of a colorable claim and the inexistence of the state’s international responsibility. It indicates that what was ordered by Resolution 0312-03 RA was the adoption of preventive measures, but at no time was it possible to prove the existence of any harm to the environment or to the health of the sector’s inhabitants. </w:t>
      </w:r>
      <w:r w:rsidR="00AE57E0">
        <w:rPr>
          <w:rFonts w:ascii="Cambria" w:hAnsi="Cambria"/>
          <w:sz w:val="20"/>
          <w:szCs w:val="20"/>
        </w:rPr>
        <w:t>To the</w:t>
      </w:r>
      <w:r w:rsidRPr="00961A11">
        <w:rPr>
          <w:rFonts w:ascii="Cambria" w:hAnsi="Cambria"/>
          <w:sz w:val="20"/>
          <w:szCs w:val="20"/>
        </w:rPr>
        <w:t xml:space="preserve"> incidents alleged by the petitioners, the state adds a communication from CONELEC, dated December 31, 2003, ordering Transelectric S.A. to conduct an external environmental audit, in compliance with Resolution 0312-03 RA. The state indicates that the audit was conducted between July and August 2004 and that Transelectric S.A. then informed the Thirteenth Civil Court Judge about the results of said audit, on the basis of which it was possible to conclude that Resolution 0312-03 RA had been fully enforced. In addition, it alleges that, by means of a court ruling on December 3, 2012, the Thirteenth Civil </w:t>
      </w:r>
      <w:r w:rsidR="00AC52B9">
        <w:rPr>
          <w:rFonts w:ascii="Cambria" w:hAnsi="Cambria"/>
          <w:sz w:val="20"/>
          <w:szCs w:val="20"/>
        </w:rPr>
        <w:t>Judge</w:t>
      </w:r>
      <w:r w:rsidRPr="00961A11">
        <w:rPr>
          <w:rFonts w:ascii="Cambria" w:hAnsi="Cambria"/>
          <w:sz w:val="20"/>
          <w:szCs w:val="20"/>
        </w:rPr>
        <w:t xml:space="preserve"> indicated that the request for withdrawing the towers by the alleged victim was not relevant. It claims that, in view of this ruling, the alleged victim filed an appeal for clarification, to which the </w:t>
      </w:r>
      <w:r w:rsidR="008D51EF" w:rsidRPr="00961A11">
        <w:rPr>
          <w:rFonts w:ascii="Cambria" w:hAnsi="Cambria"/>
          <w:sz w:val="20"/>
          <w:szCs w:val="20"/>
        </w:rPr>
        <w:t xml:space="preserve">Thirteenth Civil </w:t>
      </w:r>
      <w:r w:rsidR="008D51EF">
        <w:rPr>
          <w:rFonts w:ascii="Cambria" w:hAnsi="Cambria"/>
          <w:sz w:val="20"/>
          <w:szCs w:val="20"/>
        </w:rPr>
        <w:t>Judge</w:t>
      </w:r>
      <w:r w:rsidR="008D51EF" w:rsidRPr="00961A11">
        <w:rPr>
          <w:rFonts w:ascii="Cambria" w:hAnsi="Cambria"/>
          <w:sz w:val="20"/>
          <w:szCs w:val="20"/>
        </w:rPr>
        <w:t xml:space="preserve"> </w:t>
      </w:r>
      <w:r w:rsidRPr="00961A11">
        <w:rPr>
          <w:rFonts w:ascii="Cambria" w:hAnsi="Cambria"/>
          <w:sz w:val="20"/>
          <w:szCs w:val="20"/>
        </w:rPr>
        <w:t>ruled that the wording of the judgment referred to was sufficiently clear. It adds that, on May 11, 2016, the Ministry of the Environment issued a favorable statement for the ex post environmental impact study of the power line project, because it had met the technical and legal requirements for this purpose, demonstrating that said power line had never proven to be of any risk. Therefore, the state claims that there was no unjustified delay in enforcing the judgment, that the necessary preventive measures were implemented on the basis of the implementation of the feasibility studies and the onsite inspections, among others. It reiterates that said resolution did not establish the existence of any harm nor did it order suspending the construction or withdrawing the high-voltage towers. Thus, this confirms that the Constitutional Court, although it had partially ruled in favor of the complainants with respect to the appeal for protection, it did not accept the claims of the alleged victim, which constitute the object of her petition with the IACHR.</w:t>
      </w:r>
    </w:p>
    <w:p w14:paraId="6953F7A4" w14:textId="6BEC1C49" w:rsidR="00F621C3" w:rsidRPr="006318B2" w:rsidRDefault="00C1082C" w:rsidP="00C108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t>Finally, the state claims that the Commission does not have jurisdiction in the case because the matter relates to the right to health and a healthy environment, indicating that, according to Article 19.6 of the Protocol of San Salvador, the submittal of petitions to the IACHR regarding alleged violations of these rights is not allowed.</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3BEA6B49" w14:textId="3A79353C" w:rsidR="00C1082C" w:rsidRPr="00961A11" w:rsidRDefault="00C1082C" w:rsidP="00C108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t xml:space="preserve">The Commission observes that the alleged victim filed an </w:t>
      </w:r>
      <w:r w:rsidR="00A0644E">
        <w:rPr>
          <w:rFonts w:ascii="Cambria" w:hAnsi="Cambria"/>
          <w:sz w:val="20"/>
          <w:szCs w:val="20"/>
        </w:rPr>
        <w:t>action</w:t>
      </w:r>
      <w:r w:rsidRPr="00961A11">
        <w:rPr>
          <w:rFonts w:ascii="Cambria" w:hAnsi="Cambria"/>
          <w:sz w:val="20"/>
          <w:szCs w:val="20"/>
        </w:rPr>
        <w:t xml:space="preserve"> for protection on March 13, 2003. On December 4, 2003, the First Chamber of the Constitutional Court ruled that the appeal was partially admissible and that the Company </w:t>
      </w:r>
      <w:r w:rsidR="00EC34A2">
        <w:rPr>
          <w:rFonts w:ascii="Cambria" w:hAnsi="Cambria"/>
          <w:sz w:val="20"/>
          <w:szCs w:val="20"/>
        </w:rPr>
        <w:t>had to</w:t>
      </w:r>
      <w:r w:rsidRPr="00961A11">
        <w:rPr>
          <w:rFonts w:ascii="Cambria" w:hAnsi="Cambria"/>
          <w:sz w:val="20"/>
          <w:szCs w:val="20"/>
        </w:rPr>
        <w:t xml:space="preserve"> adopt the necessary preventive measures to protect the life of the impacted population. The Commission also observes that the petitioners allege that, since then, they have resorted to various mechanisms for the purpose of ensuring enforcement of the protection measure ordered by the Constitutional Court and, on the day of the submittal of the petition, the remedy had not been enforced. The state objects by alleging the failure to exhaust domestic remedies and to observe the time-limits for the submittal of the petition. Nevertheless, the Commission observes that, according to what was </w:t>
      </w:r>
      <w:r w:rsidR="004405B8">
        <w:rPr>
          <w:rFonts w:ascii="Cambria" w:hAnsi="Cambria"/>
          <w:sz w:val="20"/>
          <w:szCs w:val="20"/>
        </w:rPr>
        <w:t>exposed</w:t>
      </w:r>
      <w:r w:rsidRPr="00961A11">
        <w:rPr>
          <w:rFonts w:ascii="Cambria" w:hAnsi="Cambria"/>
          <w:sz w:val="20"/>
          <w:szCs w:val="20"/>
        </w:rPr>
        <w:t xml:space="preserve"> by the petitioners, Resolution 0312-03 RA has not yet been satisfactorily enforced. Therefore, the Commission considers that the exception to the requirement of exhaustion as provided for in Article 46.2</w:t>
      </w:r>
      <w:r w:rsidR="005B5D28">
        <w:rPr>
          <w:rFonts w:ascii="Cambria" w:hAnsi="Cambria"/>
          <w:sz w:val="20"/>
          <w:szCs w:val="20"/>
        </w:rPr>
        <w:t>.</w:t>
      </w:r>
      <w:r w:rsidRPr="00961A11">
        <w:rPr>
          <w:rFonts w:ascii="Cambria" w:hAnsi="Cambria"/>
          <w:sz w:val="20"/>
          <w:szCs w:val="20"/>
        </w:rPr>
        <w:t xml:space="preserve">c of the American Convention is applicable. Furthermore, the Commission observes that the main </w:t>
      </w:r>
      <w:r w:rsidR="00F13BAE">
        <w:rPr>
          <w:rFonts w:ascii="Cambria" w:hAnsi="Cambria"/>
          <w:sz w:val="20"/>
          <w:szCs w:val="20"/>
        </w:rPr>
        <w:t>object</w:t>
      </w:r>
      <w:r w:rsidRPr="00961A11">
        <w:rPr>
          <w:rFonts w:ascii="Cambria" w:hAnsi="Cambria"/>
          <w:sz w:val="20"/>
          <w:szCs w:val="20"/>
        </w:rPr>
        <w:t xml:space="preserve"> of the petition is the failure to enforce a court judgment that ordered preventive measures to be taken, not the compensation for damages, and therefore the suitable remedy is not the civil lawsuit for damages.</w:t>
      </w:r>
    </w:p>
    <w:p w14:paraId="2B229AF9" w14:textId="1F4C16B6" w:rsidR="00C1082C" w:rsidRPr="00416FC6" w:rsidRDefault="00C1082C" w:rsidP="00C108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61A11">
        <w:rPr>
          <w:rFonts w:ascii="Cambria" w:hAnsi="Cambria"/>
          <w:sz w:val="20"/>
          <w:szCs w:val="20"/>
        </w:rPr>
        <w:t xml:space="preserve">Furthermore, the Inter-American Commission takes note of the state’s claim about what it describes or qualifies as untimely in forwarding the petition. The IACHR points out that, regarding this, neither the American </w:t>
      </w:r>
      <w:r w:rsidRPr="00416FC6">
        <w:rPr>
          <w:rFonts w:asciiTheme="majorHAnsi" w:hAnsiTheme="majorHAnsi"/>
          <w:sz w:val="20"/>
          <w:szCs w:val="20"/>
        </w:rPr>
        <w:t xml:space="preserve">Convention nor the Rules of Procedure </w:t>
      </w:r>
      <w:r w:rsidR="00F3194C" w:rsidRPr="00416FC6">
        <w:rPr>
          <w:rFonts w:asciiTheme="majorHAnsi" w:hAnsiTheme="majorHAnsi"/>
          <w:sz w:val="20"/>
          <w:szCs w:val="20"/>
        </w:rPr>
        <w:t>establish a deadline for notifying</w:t>
      </w:r>
      <w:r w:rsidRPr="00416FC6">
        <w:rPr>
          <w:rFonts w:asciiTheme="majorHAnsi" w:hAnsiTheme="majorHAnsi"/>
          <w:sz w:val="20"/>
          <w:szCs w:val="20"/>
        </w:rPr>
        <w:t xml:space="preserve"> </w:t>
      </w:r>
      <w:r w:rsidR="00F3194C" w:rsidRPr="00416FC6">
        <w:rPr>
          <w:rFonts w:asciiTheme="majorHAnsi" w:hAnsiTheme="majorHAnsi"/>
          <w:sz w:val="20"/>
          <w:szCs w:val="20"/>
        </w:rPr>
        <w:t>a</w:t>
      </w:r>
      <w:r w:rsidRPr="00416FC6">
        <w:rPr>
          <w:rFonts w:asciiTheme="majorHAnsi" w:hAnsiTheme="majorHAnsi"/>
          <w:sz w:val="20"/>
          <w:szCs w:val="20"/>
        </w:rPr>
        <w:t xml:space="preserve"> state</w:t>
      </w:r>
      <w:r w:rsidR="00F3194C" w:rsidRPr="00416FC6">
        <w:rPr>
          <w:rFonts w:asciiTheme="majorHAnsi" w:hAnsiTheme="majorHAnsi"/>
          <w:sz w:val="20"/>
          <w:szCs w:val="20"/>
        </w:rPr>
        <w:t xml:space="preserve"> of a petition, measured from the time it was received, and that the times allowed in the Ru</w:t>
      </w:r>
      <w:r w:rsidRPr="00416FC6">
        <w:rPr>
          <w:rFonts w:asciiTheme="majorHAnsi" w:hAnsiTheme="majorHAnsi"/>
          <w:sz w:val="20"/>
          <w:szCs w:val="20"/>
        </w:rPr>
        <w:t xml:space="preserve">les of Procedure and in the Convention for other </w:t>
      </w:r>
      <w:r w:rsidR="00F3194C" w:rsidRPr="00416FC6">
        <w:rPr>
          <w:rFonts w:asciiTheme="majorHAnsi" w:hAnsiTheme="majorHAnsi"/>
          <w:sz w:val="20"/>
          <w:szCs w:val="20"/>
        </w:rPr>
        <w:t>processing</w:t>
      </w:r>
      <w:r w:rsidR="00CD51E6" w:rsidRPr="00416FC6">
        <w:rPr>
          <w:rFonts w:asciiTheme="majorHAnsi" w:hAnsiTheme="majorHAnsi"/>
          <w:sz w:val="20"/>
          <w:szCs w:val="20"/>
        </w:rPr>
        <w:t xml:space="preserve"> stage</w:t>
      </w:r>
      <w:r w:rsidR="00F3194C" w:rsidRPr="00416FC6">
        <w:rPr>
          <w:rFonts w:asciiTheme="majorHAnsi" w:hAnsiTheme="majorHAnsi"/>
          <w:sz w:val="20"/>
          <w:szCs w:val="20"/>
        </w:rPr>
        <w:t xml:space="preserve">s </w:t>
      </w:r>
      <w:r w:rsidRPr="00416FC6">
        <w:rPr>
          <w:rFonts w:asciiTheme="majorHAnsi" w:hAnsiTheme="majorHAnsi"/>
          <w:sz w:val="20"/>
          <w:szCs w:val="20"/>
        </w:rPr>
        <w:t>are not applicable by analogy.</w:t>
      </w:r>
    </w:p>
    <w:p w14:paraId="05415C74" w14:textId="2FC588F6" w:rsidR="00F621C3" w:rsidRPr="00416FC6" w:rsidRDefault="00C1082C" w:rsidP="00416F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16FC6">
        <w:rPr>
          <w:rFonts w:asciiTheme="majorHAnsi" w:hAnsiTheme="majorHAnsi"/>
          <w:sz w:val="20"/>
          <w:szCs w:val="20"/>
        </w:rPr>
        <w:lastRenderedPageBreak/>
        <w:t xml:space="preserve">Likewise, the Commission observes that the petition was received on February 5, 2009, and the facts reported in the petition had taken place as of February 2002. The First Chamber of the Constitutional Court ruled in favor of the alleged victim on December 4, 2003 </w:t>
      </w:r>
      <w:r w:rsidR="00416FC6">
        <w:rPr>
          <w:rFonts w:asciiTheme="majorHAnsi" w:hAnsiTheme="majorHAnsi"/>
          <w:sz w:val="20"/>
          <w:szCs w:val="20"/>
        </w:rPr>
        <w:t>and such ruling would not have been enforced to this date,</w:t>
      </w:r>
      <w:r w:rsidRPr="00416FC6">
        <w:rPr>
          <w:rFonts w:asciiTheme="majorHAnsi" w:hAnsiTheme="majorHAnsi"/>
          <w:sz w:val="20"/>
          <w:szCs w:val="20"/>
        </w:rPr>
        <w:t xml:space="preserve"> as a result of which the Commission deems that the petition was submitted within a reasonable period of time according to the terms of Article 32.2 of IACHR’s Rules of Procedure.</w:t>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6CA82123" w14:textId="032AA62C" w:rsidR="00C1082C" w:rsidRPr="00961A11" w:rsidRDefault="00B16A49" w:rsidP="00C108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909AD">
        <w:rPr>
          <w:rFonts w:ascii="Cambria" w:hAnsi="Cambria"/>
          <w:sz w:val="20"/>
          <w:szCs w:val="20"/>
        </w:rPr>
        <w:t xml:space="preserve">Based on the elements of fact and law submitted by the parties and the nature of the matter brought before it, the Commission finds </w:t>
      </w:r>
      <w:r w:rsidRPr="00961A11">
        <w:rPr>
          <w:rFonts w:ascii="Cambria" w:hAnsi="Cambria"/>
          <w:sz w:val="20"/>
          <w:szCs w:val="20"/>
        </w:rPr>
        <w:t>that, if proven</w:t>
      </w:r>
      <w:r w:rsidR="00C1082C" w:rsidRPr="00961A11">
        <w:rPr>
          <w:rFonts w:ascii="Cambria" w:hAnsi="Cambria"/>
          <w:sz w:val="20"/>
          <w:szCs w:val="20"/>
        </w:rPr>
        <w:t>, the alleged unjustified inactivity and delay in enforcing the decision of the Constitutional Court, as well as its possible impacts on the health of the alleged victim</w:t>
      </w:r>
      <w:r>
        <w:rPr>
          <w:rFonts w:ascii="Cambria" w:hAnsi="Cambria"/>
          <w:sz w:val="20"/>
          <w:szCs w:val="20"/>
        </w:rPr>
        <w:t>s</w:t>
      </w:r>
      <w:r w:rsidR="00932E11">
        <w:rPr>
          <w:rFonts w:ascii="Cambria" w:hAnsi="Cambria"/>
          <w:sz w:val="20"/>
          <w:szCs w:val="20"/>
        </w:rPr>
        <w:t xml:space="preserve"> </w:t>
      </w:r>
      <w:r w:rsidR="00C1082C" w:rsidRPr="00961A11">
        <w:rPr>
          <w:rFonts w:ascii="Cambria" w:hAnsi="Cambria"/>
          <w:sz w:val="20"/>
          <w:szCs w:val="20"/>
        </w:rPr>
        <w:t>, could establish possible violations of Article 5 (humane treatment), 8 (fair trial)</w:t>
      </w:r>
      <w:r w:rsidR="00FF73E1">
        <w:rPr>
          <w:rFonts w:ascii="Cambria" w:hAnsi="Cambria"/>
          <w:sz w:val="20"/>
          <w:szCs w:val="20"/>
        </w:rPr>
        <w:t xml:space="preserve"> and</w:t>
      </w:r>
      <w:r w:rsidR="00C1082C" w:rsidRPr="00961A11">
        <w:rPr>
          <w:rFonts w:ascii="Cambria" w:hAnsi="Cambria"/>
          <w:sz w:val="20"/>
          <w:szCs w:val="20"/>
        </w:rPr>
        <w:t xml:space="preserve"> </w:t>
      </w:r>
      <w:r w:rsidR="00932E11">
        <w:rPr>
          <w:rFonts w:ascii="Cambria" w:hAnsi="Cambria"/>
          <w:sz w:val="20"/>
          <w:szCs w:val="20"/>
        </w:rPr>
        <w:t>25 (judicial protection)</w:t>
      </w:r>
      <w:r w:rsidR="00C1082C" w:rsidRPr="00961A11">
        <w:rPr>
          <w:rFonts w:ascii="Cambria" w:hAnsi="Cambria"/>
          <w:sz w:val="20"/>
          <w:szCs w:val="20"/>
        </w:rPr>
        <w:t xml:space="preserve"> of the American Convention, in connection with its Article 1.1</w:t>
      </w:r>
      <w:r w:rsidR="00150377">
        <w:rPr>
          <w:rFonts w:ascii="Cambria" w:hAnsi="Cambria"/>
          <w:sz w:val="20"/>
          <w:szCs w:val="20"/>
        </w:rPr>
        <w:t xml:space="preserve"> (obligation to respect rights)</w:t>
      </w:r>
      <w:r w:rsidR="00C1082C" w:rsidRPr="00961A11">
        <w:rPr>
          <w:rFonts w:ascii="Cambria" w:hAnsi="Cambria"/>
          <w:sz w:val="20"/>
          <w:szCs w:val="20"/>
        </w:rPr>
        <w:t xml:space="preserve">. As for the claim about the alleged violation of Article 4 (life) of the American Convention, the Commission observes that the petitioners have not provided any allegations or sufficient evidence that would make it possible to consider </w:t>
      </w:r>
      <w:r w:rsidR="00C1082C" w:rsidRPr="00961A11">
        <w:rPr>
          <w:rFonts w:ascii="Cambria" w:hAnsi="Cambria"/>
          <w:i/>
          <w:sz w:val="20"/>
          <w:szCs w:val="20"/>
        </w:rPr>
        <w:t>prima facie</w:t>
      </w:r>
      <w:r w:rsidR="00C1082C" w:rsidRPr="00961A11">
        <w:rPr>
          <w:rFonts w:ascii="Cambria" w:hAnsi="Cambria"/>
          <w:sz w:val="20"/>
          <w:szCs w:val="20"/>
        </w:rPr>
        <w:t xml:space="preserve"> its possible violation.</w:t>
      </w:r>
    </w:p>
    <w:p w14:paraId="70146B96" w14:textId="090C3494" w:rsidR="00F621C3" w:rsidRPr="000B6B7A" w:rsidRDefault="00C1082C" w:rsidP="00C108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t xml:space="preserve">As for the allegations relative to the Commission’s competence </w:t>
      </w:r>
      <w:proofErr w:type="spellStart"/>
      <w:r w:rsidRPr="00961A11">
        <w:rPr>
          <w:rFonts w:ascii="Cambria" w:hAnsi="Cambria"/>
          <w:i/>
          <w:sz w:val="20"/>
          <w:szCs w:val="20"/>
        </w:rPr>
        <w:t>ratione</w:t>
      </w:r>
      <w:proofErr w:type="spellEnd"/>
      <w:r w:rsidRPr="00961A11">
        <w:rPr>
          <w:rFonts w:ascii="Cambria" w:hAnsi="Cambria"/>
          <w:i/>
          <w:sz w:val="20"/>
          <w:szCs w:val="20"/>
        </w:rPr>
        <w:t xml:space="preserve"> </w:t>
      </w:r>
      <w:proofErr w:type="spellStart"/>
      <w:r w:rsidRPr="00961A11">
        <w:rPr>
          <w:rFonts w:ascii="Cambria" w:hAnsi="Cambria"/>
          <w:i/>
          <w:sz w:val="20"/>
          <w:szCs w:val="20"/>
        </w:rPr>
        <w:t>materia</w:t>
      </w:r>
      <w:r>
        <w:rPr>
          <w:rFonts w:ascii="Cambria" w:hAnsi="Cambria"/>
          <w:i/>
          <w:sz w:val="20"/>
          <w:szCs w:val="20"/>
        </w:rPr>
        <w:t>e</w:t>
      </w:r>
      <w:proofErr w:type="spellEnd"/>
      <w:r w:rsidRPr="00961A11">
        <w:rPr>
          <w:rFonts w:ascii="Cambria" w:hAnsi="Cambria"/>
          <w:i/>
          <w:sz w:val="20"/>
          <w:szCs w:val="20"/>
        </w:rPr>
        <w:t xml:space="preserve"> </w:t>
      </w:r>
      <w:r w:rsidRPr="00961A11">
        <w:rPr>
          <w:rFonts w:ascii="Cambria" w:hAnsi="Cambria"/>
          <w:sz w:val="20"/>
          <w:szCs w:val="20"/>
        </w:rPr>
        <w:t>on the violations of the Protocol of San Salvador, the IACHR notes that the competence provided for in the terms of Article 19.6 of said treaty to establish violations in the context of an individual case is confined to Articles 8 and 13. Regarding the other articles, according to Article 29 of the American Convention, the Commission can take them into account to interpret and enforce the American Convention and other applicable instruments. Furthermore, in regard to the Universal Declaration of Human Rights, the Commission does not have the jurisdiction to establish violations of the standards of said treaty, without detriment to the fact that it can take them into account as part of its exercise of interpreting the standards of the American Convention in the merits stage of the present case, according to the terms of Article 29 of the American Convention.</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0E3F85F8" w14:textId="190D7A9F" w:rsidR="00C1082C" w:rsidRPr="00961A11" w:rsidRDefault="00C1082C" w:rsidP="00C1082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148E">
        <w:rPr>
          <w:rFonts w:ascii="Cambria" w:hAnsi="Cambria"/>
          <w:sz w:val="20"/>
          <w:szCs w:val="20"/>
        </w:rPr>
        <w:t>To declare the present petition admissi</w:t>
      </w:r>
      <w:r w:rsidR="00FF73E1">
        <w:rPr>
          <w:rFonts w:ascii="Cambria" w:hAnsi="Cambria"/>
          <w:sz w:val="20"/>
          <w:szCs w:val="20"/>
        </w:rPr>
        <w:t>ble regarding Articles 5, 8 y</w:t>
      </w:r>
      <w:r w:rsidR="00377529">
        <w:rPr>
          <w:rFonts w:ascii="Cambria" w:hAnsi="Cambria"/>
          <w:sz w:val="20"/>
          <w:szCs w:val="20"/>
        </w:rPr>
        <w:t xml:space="preserve"> 25</w:t>
      </w:r>
      <w:r w:rsidRPr="0031148E">
        <w:rPr>
          <w:rFonts w:ascii="Cambria" w:hAnsi="Cambria"/>
          <w:sz w:val="20"/>
          <w:szCs w:val="20"/>
        </w:rPr>
        <w:t xml:space="preserve"> of the American Convention, in connection with its Article 1.1.</w:t>
      </w:r>
    </w:p>
    <w:p w14:paraId="36032A60" w14:textId="77777777" w:rsidR="00C1082C" w:rsidRPr="00961A11" w:rsidRDefault="00C1082C" w:rsidP="00C1082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61A11">
        <w:rPr>
          <w:rFonts w:ascii="Cambria" w:hAnsi="Cambria"/>
          <w:sz w:val="20"/>
          <w:szCs w:val="20"/>
        </w:rPr>
        <w:t>To declare the present petition inadmissible regarding Article 4 of the American Convention.</w:t>
      </w:r>
    </w:p>
    <w:p w14:paraId="22CC8DDA" w14:textId="327D6FF4" w:rsidR="00F621C3" w:rsidRPr="001F1902" w:rsidRDefault="00C1082C" w:rsidP="00C1082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1148E">
        <w:rPr>
          <w:rFonts w:ascii="Cambria" w:hAnsi="Cambria"/>
          <w:sz w:val="20"/>
          <w:szCs w:val="20"/>
        </w:rPr>
        <w:t>To notify the parties of the present decision; to continue to examine the merits of the case; and to publish this decision and include it in its Annual Report to the General Assembly of the Organization of American States.</w:t>
      </w:r>
    </w:p>
    <w:p w14:paraId="4B579D0D" w14:textId="6322BFE3" w:rsidR="00331E7A" w:rsidRPr="00145EDC" w:rsidRDefault="00331E7A" w:rsidP="002F462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r w:rsidRPr="009D7EFE">
        <w:rPr>
          <w:rFonts w:ascii="Cambria" w:hAnsi="Cambria"/>
          <w:sz w:val="20"/>
          <w:szCs w:val="20"/>
        </w:rPr>
        <w:t xml:space="preserve">Approved by the Inter-American Commission on Human Rights on the </w:t>
      </w:r>
      <w:r>
        <w:rPr>
          <w:rFonts w:ascii="Cambria" w:hAnsi="Cambria"/>
          <w:sz w:val="20"/>
          <w:szCs w:val="20"/>
        </w:rPr>
        <w:t>25</w:t>
      </w:r>
      <w:r w:rsidRPr="009D7EFE">
        <w:rPr>
          <w:rFonts w:ascii="Cambria" w:hAnsi="Cambria"/>
          <w:sz w:val="20"/>
          <w:szCs w:val="20"/>
          <w:vertAlign w:val="superscript"/>
        </w:rPr>
        <w:t>th</w:t>
      </w:r>
      <w:r>
        <w:rPr>
          <w:rFonts w:ascii="Cambria" w:hAnsi="Cambria"/>
          <w:sz w:val="20"/>
          <w:szCs w:val="20"/>
        </w:rPr>
        <w:t xml:space="preserve"> </w:t>
      </w:r>
      <w:r w:rsidRPr="009D7EFE">
        <w:rPr>
          <w:rFonts w:ascii="Cambria" w:hAnsi="Cambria"/>
          <w:sz w:val="20"/>
          <w:szCs w:val="20"/>
        </w:rPr>
        <w:t xml:space="preserve">day of the month of </w:t>
      </w:r>
      <w:r>
        <w:rPr>
          <w:rFonts w:ascii="Cambria" w:hAnsi="Cambria"/>
          <w:sz w:val="20"/>
          <w:szCs w:val="20"/>
        </w:rPr>
        <w:t>May</w:t>
      </w:r>
      <w:r w:rsidRPr="009D7EFE">
        <w:rPr>
          <w:rFonts w:ascii="Cambria" w:hAnsi="Cambria"/>
          <w:sz w:val="20"/>
          <w:szCs w:val="20"/>
        </w:rPr>
        <w:t>, 2019. (Signed):  Esmeralda E. Arosemena Bernal de Troitiño, President;</w:t>
      </w:r>
      <w:r>
        <w:rPr>
          <w:rFonts w:ascii="Cambria" w:hAnsi="Cambria"/>
          <w:sz w:val="20"/>
          <w:szCs w:val="20"/>
        </w:rPr>
        <w:t xml:space="preserve"> </w:t>
      </w:r>
      <w:r w:rsidRPr="009D7EFE">
        <w:rPr>
          <w:rFonts w:ascii="Cambria" w:hAnsi="Cambria"/>
          <w:sz w:val="20"/>
          <w:szCs w:val="20"/>
        </w:rPr>
        <w:t xml:space="preserve">Joel Hernández García, First Vice President; Antonia Urrejola, Second Vice President; </w:t>
      </w:r>
      <w:r>
        <w:rPr>
          <w:rFonts w:ascii="Cambria" w:hAnsi="Cambria"/>
          <w:sz w:val="20"/>
          <w:szCs w:val="20"/>
        </w:rPr>
        <w:t xml:space="preserve">Margarette May Macaulay, </w:t>
      </w:r>
      <w:r w:rsidRPr="009D7EFE">
        <w:rPr>
          <w:rFonts w:ascii="Cambria" w:hAnsi="Cambria"/>
          <w:sz w:val="20"/>
          <w:szCs w:val="20"/>
        </w:rPr>
        <w:t>Francisco José Eguiguren Praeli, Luis Ernesto Vargas Silva, and Flávia Piovesan, Commissioners.</w:t>
      </w: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131D7" w14:textId="77777777" w:rsidR="00A959DA" w:rsidRDefault="00A959DA" w:rsidP="00036A8A">
      <w:r>
        <w:separator/>
      </w:r>
    </w:p>
  </w:endnote>
  <w:endnote w:type="continuationSeparator" w:id="0">
    <w:p w14:paraId="32DECE27" w14:textId="77777777" w:rsidR="00A959DA" w:rsidRDefault="00A959D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E1478" w14:textId="77777777" w:rsidR="003C38DF" w:rsidRDefault="003C3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C38DF">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C7CA6" w14:textId="77777777" w:rsidR="00A959DA" w:rsidRPr="00036A8A" w:rsidRDefault="00A959D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587589F" w14:textId="77777777" w:rsidR="00A959DA" w:rsidRPr="00036A8A" w:rsidRDefault="00A959DA" w:rsidP="00036A8A">
      <w:pPr>
        <w:rPr>
          <w:rFonts w:asciiTheme="majorHAnsi" w:hAnsiTheme="majorHAnsi"/>
          <w:sz w:val="16"/>
          <w:szCs w:val="16"/>
        </w:rPr>
      </w:pPr>
      <w:r w:rsidRPr="00036A8A">
        <w:rPr>
          <w:rFonts w:asciiTheme="majorHAnsi" w:hAnsiTheme="majorHAnsi"/>
          <w:sz w:val="16"/>
          <w:szCs w:val="16"/>
        </w:rPr>
        <w:separator/>
      </w:r>
    </w:p>
    <w:p w14:paraId="745F9749" w14:textId="77777777" w:rsidR="00A959DA" w:rsidRPr="00036A8A" w:rsidRDefault="00A959D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B8D43C0" w14:textId="77777777" w:rsidR="00A959DA" w:rsidRPr="0093441A" w:rsidRDefault="00A959D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EF8B275" w14:textId="77777777" w:rsidR="00FA5106" w:rsidRPr="00961A11" w:rsidRDefault="00FA5106" w:rsidP="00FA5106">
      <w:pPr>
        <w:pStyle w:val="FootnoteText"/>
        <w:ind w:firstLine="720"/>
        <w:jc w:val="both"/>
        <w:rPr>
          <w:rFonts w:ascii="Cambria" w:hAnsi="Cambria"/>
          <w:sz w:val="16"/>
        </w:rPr>
      </w:pPr>
      <w:r w:rsidRPr="00961A11">
        <w:rPr>
          <w:rStyle w:val="FootnoteReference"/>
          <w:rFonts w:ascii="Cambria" w:hAnsi="Cambria"/>
          <w:sz w:val="16"/>
        </w:rPr>
        <w:footnoteRef/>
      </w:r>
      <w:r w:rsidRPr="00961A11">
        <w:rPr>
          <w:rFonts w:ascii="Cambria" w:hAnsi="Cambria"/>
          <w:sz w:val="16"/>
        </w:rPr>
        <w:t xml:space="preserve"> Hereinafter “Convention” or “American Convention.”</w:t>
      </w:r>
    </w:p>
  </w:footnote>
  <w:footnote w:id="3">
    <w:p w14:paraId="43C33100" w14:textId="77777777" w:rsidR="00FA5106" w:rsidRPr="00961A11" w:rsidRDefault="00FA5106" w:rsidP="00FA5106">
      <w:pPr>
        <w:pStyle w:val="FootnoteText"/>
        <w:ind w:firstLine="720"/>
        <w:jc w:val="both"/>
        <w:rPr>
          <w:rFonts w:ascii="Cambria" w:hAnsi="Cambria"/>
          <w:sz w:val="16"/>
        </w:rPr>
      </w:pPr>
      <w:r w:rsidRPr="00961A11">
        <w:rPr>
          <w:rStyle w:val="FootnoteReference"/>
          <w:rFonts w:ascii="Cambria" w:hAnsi="Cambria"/>
          <w:sz w:val="16"/>
        </w:rPr>
        <w:footnoteRef/>
      </w:r>
      <w:r w:rsidRPr="00961A11">
        <w:rPr>
          <w:rFonts w:ascii="Cambria" w:hAnsi="Cambria"/>
          <w:sz w:val="16"/>
        </w:rPr>
        <w:t xml:space="preserve"> Articles 3, 8, and 25 of the Universal Declaration of Human Rights.</w:t>
      </w:r>
    </w:p>
  </w:footnote>
  <w:footnote w:id="4">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5">
    <w:p w14:paraId="2ABC6E5B" w14:textId="77777777" w:rsidR="00423633" w:rsidRPr="00961A11" w:rsidRDefault="00423633" w:rsidP="00423633">
      <w:pPr>
        <w:pStyle w:val="FootnoteText"/>
        <w:ind w:firstLine="720"/>
        <w:jc w:val="both"/>
        <w:rPr>
          <w:rFonts w:ascii="Cambria" w:hAnsi="Cambria"/>
          <w:sz w:val="16"/>
        </w:rPr>
      </w:pPr>
      <w:r w:rsidRPr="00961A11">
        <w:rPr>
          <w:rStyle w:val="FootnoteReference"/>
          <w:rFonts w:ascii="Cambria" w:hAnsi="Cambria"/>
          <w:sz w:val="16"/>
        </w:rPr>
        <w:footnoteRef/>
      </w:r>
      <w:r w:rsidRPr="00961A11">
        <w:rPr>
          <w:rFonts w:ascii="Cambria" w:hAnsi="Cambria"/>
          <w:sz w:val="16"/>
        </w:rPr>
        <w:t xml:space="preserve"> Public, state-owned company and the institution in charge of monitoring electric power activities in </w:t>
      </w:r>
      <w:r w:rsidRPr="00961A11">
        <w:rPr>
          <w:rFonts w:ascii="Cambria" w:hAnsi="Cambria"/>
          <w:sz w:val="16"/>
          <w:szCs w:val="16"/>
        </w:rPr>
        <w:t>Ecuador.</w:t>
      </w:r>
    </w:p>
  </w:footnote>
  <w:footnote w:id="6">
    <w:p w14:paraId="6F58472C" w14:textId="77777777" w:rsidR="00C1082C" w:rsidRPr="00961A11" w:rsidRDefault="00C1082C" w:rsidP="00C1082C">
      <w:pPr>
        <w:pStyle w:val="FootnoteText"/>
        <w:ind w:firstLine="720"/>
        <w:jc w:val="both"/>
        <w:rPr>
          <w:rFonts w:ascii="Cambria" w:hAnsi="Cambria"/>
          <w:sz w:val="16"/>
        </w:rPr>
      </w:pPr>
      <w:r w:rsidRPr="00961A11">
        <w:rPr>
          <w:rStyle w:val="FootnoteReference"/>
          <w:rFonts w:ascii="Cambria" w:hAnsi="Cambria"/>
          <w:sz w:val="16"/>
        </w:rPr>
        <w:footnoteRef/>
      </w:r>
      <w:r w:rsidRPr="00961A11">
        <w:rPr>
          <w:rFonts w:ascii="Cambria" w:hAnsi="Cambria"/>
          <w:sz w:val="16"/>
        </w:rPr>
        <w:t xml:space="preserve"> Public enterprise, with shares and capital stock 100% owned by the Ecuadorian state.</w:t>
      </w:r>
    </w:p>
  </w:footnote>
  <w:footnote w:id="7">
    <w:p w14:paraId="28AF5E9E" w14:textId="77777777" w:rsidR="00C1082C" w:rsidRPr="00961A11" w:rsidRDefault="00C1082C" w:rsidP="00C1082C">
      <w:pPr>
        <w:pStyle w:val="FootnoteText"/>
        <w:ind w:firstLine="720"/>
        <w:jc w:val="both"/>
        <w:rPr>
          <w:rFonts w:ascii="Cambria" w:hAnsi="Cambria"/>
          <w:sz w:val="16"/>
        </w:rPr>
      </w:pPr>
      <w:r w:rsidRPr="00961A11">
        <w:rPr>
          <w:rStyle w:val="FootnoteReference"/>
          <w:rFonts w:ascii="Cambria" w:hAnsi="Cambria"/>
          <w:sz w:val="16"/>
        </w:rPr>
        <w:footnoteRef/>
      </w:r>
      <w:r w:rsidRPr="00961A11">
        <w:rPr>
          <w:rFonts w:ascii="Cambria" w:hAnsi="Cambria"/>
          <w:sz w:val="16"/>
        </w:rPr>
        <w:t xml:space="preserve"> Along with 7 persons impacted by the building of a power transmission tower close to their houses.</w:t>
      </w:r>
    </w:p>
  </w:footnote>
  <w:footnote w:id="8">
    <w:p w14:paraId="6ACDA225" w14:textId="77777777" w:rsidR="00C1082C" w:rsidRPr="00961A11" w:rsidRDefault="00C1082C" w:rsidP="00C1082C">
      <w:pPr>
        <w:pStyle w:val="FootnoteText"/>
        <w:ind w:firstLine="720"/>
        <w:jc w:val="both"/>
        <w:rPr>
          <w:rFonts w:ascii="Cambria" w:hAnsi="Cambria"/>
          <w:sz w:val="16"/>
        </w:rPr>
      </w:pPr>
      <w:r w:rsidRPr="00961A11">
        <w:rPr>
          <w:rStyle w:val="FootnoteReference"/>
          <w:rFonts w:ascii="Cambria" w:hAnsi="Cambria"/>
          <w:sz w:val="16"/>
        </w:rPr>
        <w:footnoteRef/>
      </w:r>
      <w:r w:rsidRPr="00961A11">
        <w:rPr>
          <w:rFonts w:ascii="Cambria" w:hAnsi="Cambria"/>
          <w:sz w:val="16"/>
        </w:rPr>
        <w:t xml:space="preserve"> In an official letter on June 12, 2007, CONELEC addressed the CEO of Transelectric S.A. and urged him to find a solution to the deadlock that emerged because of the route of the Santa Rosa-</w:t>
      </w:r>
      <w:proofErr w:type="spellStart"/>
      <w:r w:rsidRPr="00961A11">
        <w:rPr>
          <w:rFonts w:ascii="Cambria" w:hAnsi="Cambria"/>
          <w:sz w:val="16"/>
        </w:rPr>
        <w:t>Pomasquí</w:t>
      </w:r>
      <w:proofErr w:type="spellEnd"/>
      <w:r w:rsidRPr="00961A11">
        <w:rPr>
          <w:rFonts w:ascii="Cambria" w:hAnsi="Cambria"/>
          <w:sz w:val="16"/>
        </w:rPr>
        <w:t xml:space="preserve"> Power Transmission Line and to immediately implement one of the two alternatives identified in the letter.</w:t>
      </w:r>
    </w:p>
  </w:footnote>
  <w:footnote w:id="9">
    <w:p w14:paraId="6DD261F8" w14:textId="09C3C997" w:rsidR="00C1082C" w:rsidRPr="00961A11" w:rsidRDefault="00C1082C" w:rsidP="00C1082C">
      <w:pPr>
        <w:pStyle w:val="FootnoteText"/>
        <w:ind w:firstLine="720"/>
        <w:jc w:val="both"/>
        <w:rPr>
          <w:rFonts w:ascii="Cambria" w:hAnsi="Cambria"/>
          <w:sz w:val="16"/>
        </w:rPr>
      </w:pPr>
      <w:r w:rsidRPr="00961A11">
        <w:rPr>
          <w:rStyle w:val="FootnoteReference"/>
          <w:rFonts w:ascii="Cambria" w:hAnsi="Cambria"/>
          <w:sz w:val="16"/>
        </w:rPr>
        <w:footnoteRef/>
      </w:r>
      <w:r w:rsidRPr="00961A11">
        <w:rPr>
          <w:rFonts w:ascii="Cambria" w:hAnsi="Cambria"/>
          <w:sz w:val="16"/>
        </w:rPr>
        <w:t xml:space="preserve"> The petitioners pointed out that </w:t>
      </w:r>
      <w:r w:rsidRPr="00961A11">
        <w:rPr>
          <w:rFonts w:ascii="Cambria" w:hAnsi="Cambria"/>
          <w:sz w:val="16"/>
          <w:szCs w:val="16"/>
        </w:rPr>
        <w:t xml:space="preserve">Hugo Rosero Contreras and Ana </w:t>
      </w:r>
      <w:proofErr w:type="spellStart"/>
      <w:r w:rsidRPr="00961A11">
        <w:rPr>
          <w:rFonts w:ascii="Cambria" w:hAnsi="Cambria"/>
          <w:sz w:val="16"/>
          <w:szCs w:val="16"/>
        </w:rPr>
        <w:t>Rosero</w:t>
      </w:r>
      <w:proofErr w:type="spellEnd"/>
      <w:r w:rsidRPr="00961A11">
        <w:rPr>
          <w:rFonts w:ascii="Cambria" w:hAnsi="Cambria"/>
          <w:sz w:val="16"/>
          <w:szCs w:val="16"/>
        </w:rPr>
        <w:t xml:space="preserve"> </w:t>
      </w:r>
      <w:proofErr w:type="spellStart"/>
      <w:r w:rsidRPr="00961A11">
        <w:rPr>
          <w:rFonts w:ascii="Cambria" w:hAnsi="Cambria"/>
          <w:sz w:val="16"/>
          <w:szCs w:val="16"/>
        </w:rPr>
        <w:t>Zarabia</w:t>
      </w:r>
      <w:proofErr w:type="spellEnd"/>
      <w:r w:rsidRPr="00961A11">
        <w:rPr>
          <w:rFonts w:ascii="Cambria" w:hAnsi="Cambria"/>
          <w:sz w:val="16"/>
          <w:szCs w:val="16"/>
        </w:rPr>
        <w:t xml:space="preserve">, parties to the civil lawsuit for damages referred to by the state during the processing of the </w:t>
      </w:r>
      <w:r w:rsidR="005B25CD" w:rsidRPr="00961A11">
        <w:rPr>
          <w:rFonts w:ascii="Cambria" w:hAnsi="Cambria"/>
          <w:sz w:val="16"/>
          <w:szCs w:val="16"/>
        </w:rPr>
        <w:t>petition;</w:t>
      </w:r>
      <w:r w:rsidRPr="00961A11">
        <w:rPr>
          <w:rFonts w:ascii="Cambria" w:hAnsi="Cambria"/>
          <w:sz w:val="16"/>
          <w:szCs w:val="16"/>
        </w:rPr>
        <w:t xml:space="preserve"> do not appear as petitioners or as alleged victims in the present case, or in the appeal for protection.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A959DA"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02DBA" w14:textId="77777777" w:rsidR="003C38DF" w:rsidRDefault="003C3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23E3B"/>
    <w:rsid w:val="00032AAC"/>
    <w:rsid w:val="00036A8A"/>
    <w:rsid w:val="00040C3A"/>
    <w:rsid w:val="000639C0"/>
    <w:rsid w:val="0006503D"/>
    <w:rsid w:val="00070F3A"/>
    <w:rsid w:val="000716C5"/>
    <w:rsid w:val="00075E23"/>
    <w:rsid w:val="00092F32"/>
    <w:rsid w:val="0009344A"/>
    <w:rsid w:val="000A575F"/>
    <w:rsid w:val="000C4365"/>
    <w:rsid w:val="000D10DB"/>
    <w:rsid w:val="000E2879"/>
    <w:rsid w:val="00124116"/>
    <w:rsid w:val="0013104F"/>
    <w:rsid w:val="00137EBA"/>
    <w:rsid w:val="00145EDC"/>
    <w:rsid w:val="00150377"/>
    <w:rsid w:val="00153084"/>
    <w:rsid w:val="00167A34"/>
    <w:rsid w:val="001714B4"/>
    <w:rsid w:val="0018037F"/>
    <w:rsid w:val="001A5F27"/>
    <w:rsid w:val="001A65E4"/>
    <w:rsid w:val="001A7870"/>
    <w:rsid w:val="001C1B41"/>
    <w:rsid w:val="001E366B"/>
    <w:rsid w:val="001E3BA8"/>
    <w:rsid w:val="001F1902"/>
    <w:rsid w:val="00210E0E"/>
    <w:rsid w:val="00210F4B"/>
    <w:rsid w:val="00230163"/>
    <w:rsid w:val="0023351C"/>
    <w:rsid w:val="00247403"/>
    <w:rsid w:val="00247542"/>
    <w:rsid w:val="002539FC"/>
    <w:rsid w:val="00257893"/>
    <w:rsid w:val="00266092"/>
    <w:rsid w:val="00266B61"/>
    <w:rsid w:val="0026712A"/>
    <w:rsid w:val="002704DB"/>
    <w:rsid w:val="002760CE"/>
    <w:rsid w:val="002A103C"/>
    <w:rsid w:val="002B7A85"/>
    <w:rsid w:val="002C1641"/>
    <w:rsid w:val="002D7EA2"/>
    <w:rsid w:val="002E15DF"/>
    <w:rsid w:val="002E187C"/>
    <w:rsid w:val="002E6E57"/>
    <w:rsid w:val="002F4622"/>
    <w:rsid w:val="00301075"/>
    <w:rsid w:val="00302733"/>
    <w:rsid w:val="00311A4F"/>
    <w:rsid w:val="0031406D"/>
    <w:rsid w:val="00314078"/>
    <w:rsid w:val="00321AFD"/>
    <w:rsid w:val="00322450"/>
    <w:rsid w:val="003246B5"/>
    <w:rsid w:val="0033169F"/>
    <w:rsid w:val="00331E7A"/>
    <w:rsid w:val="003414AC"/>
    <w:rsid w:val="00356185"/>
    <w:rsid w:val="00360380"/>
    <w:rsid w:val="00375014"/>
    <w:rsid w:val="003771A3"/>
    <w:rsid w:val="00377529"/>
    <w:rsid w:val="00386CF0"/>
    <w:rsid w:val="003A4348"/>
    <w:rsid w:val="003C32BC"/>
    <w:rsid w:val="003C38DF"/>
    <w:rsid w:val="003C3F71"/>
    <w:rsid w:val="003E3E03"/>
    <w:rsid w:val="003F1BBF"/>
    <w:rsid w:val="004162B1"/>
    <w:rsid w:val="004165C2"/>
    <w:rsid w:val="00416FC6"/>
    <w:rsid w:val="00421E6D"/>
    <w:rsid w:val="00423633"/>
    <w:rsid w:val="004405B8"/>
    <w:rsid w:val="00450A4A"/>
    <w:rsid w:val="004666FB"/>
    <w:rsid w:val="00466D0B"/>
    <w:rsid w:val="00467B7E"/>
    <w:rsid w:val="00482649"/>
    <w:rsid w:val="00491FA8"/>
    <w:rsid w:val="0049419D"/>
    <w:rsid w:val="004B2762"/>
    <w:rsid w:val="004B7A0D"/>
    <w:rsid w:val="004B7EB6"/>
    <w:rsid w:val="004C41DE"/>
    <w:rsid w:val="004C4B62"/>
    <w:rsid w:val="004D6025"/>
    <w:rsid w:val="004D72BC"/>
    <w:rsid w:val="004E461B"/>
    <w:rsid w:val="004F6A17"/>
    <w:rsid w:val="004F6B67"/>
    <w:rsid w:val="00501399"/>
    <w:rsid w:val="00507BC4"/>
    <w:rsid w:val="005128E4"/>
    <w:rsid w:val="00525560"/>
    <w:rsid w:val="005357A6"/>
    <w:rsid w:val="00544C49"/>
    <w:rsid w:val="0057402A"/>
    <w:rsid w:val="005771D0"/>
    <w:rsid w:val="005816E5"/>
    <w:rsid w:val="0059191A"/>
    <w:rsid w:val="005921FF"/>
    <w:rsid w:val="00592718"/>
    <w:rsid w:val="005A4839"/>
    <w:rsid w:val="005A6D0E"/>
    <w:rsid w:val="005B222D"/>
    <w:rsid w:val="005B25CD"/>
    <w:rsid w:val="005B52B0"/>
    <w:rsid w:val="005B5D28"/>
    <w:rsid w:val="005B6806"/>
    <w:rsid w:val="005C00F9"/>
    <w:rsid w:val="005C4225"/>
    <w:rsid w:val="005F0F33"/>
    <w:rsid w:val="00600DEB"/>
    <w:rsid w:val="00613027"/>
    <w:rsid w:val="006252AE"/>
    <w:rsid w:val="00627C9F"/>
    <w:rsid w:val="006311DA"/>
    <w:rsid w:val="006311E9"/>
    <w:rsid w:val="006318B2"/>
    <w:rsid w:val="00632354"/>
    <w:rsid w:val="00642810"/>
    <w:rsid w:val="00652333"/>
    <w:rsid w:val="00653EA6"/>
    <w:rsid w:val="0068009E"/>
    <w:rsid w:val="00684188"/>
    <w:rsid w:val="006A17D2"/>
    <w:rsid w:val="006A73E6"/>
    <w:rsid w:val="006B2D5C"/>
    <w:rsid w:val="006C4EB1"/>
    <w:rsid w:val="006D4707"/>
    <w:rsid w:val="006D695C"/>
    <w:rsid w:val="006E0166"/>
    <w:rsid w:val="006E1969"/>
    <w:rsid w:val="006E7B34"/>
    <w:rsid w:val="006F59B5"/>
    <w:rsid w:val="00701B24"/>
    <w:rsid w:val="0071495F"/>
    <w:rsid w:val="00715A20"/>
    <w:rsid w:val="00736E06"/>
    <w:rsid w:val="0073798E"/>
    <w:rsid w:val="00742AF7"/>
    <w:rsid w:val="00745899"/>
    <w:rsid w:val="007607C4"/>
    <w:rsid w:val="0076643F"/>
    <w:rsid w:val="00781653"/>
    <w:rsid w:val="007A2F70"/>
    <w:rsid w:val="007C3334"/>
    <w:rsid w:val="007C52BB"/>
    <w:rsid w:val="007D2B98"/>
    <w:rsid w:val="00803F1C"/>
    <w:rsid w:val="0080600E"/>
    <w:rsid w:val="00817612"/>
    <w:rsid w:val="00837C45"/>
    <w:rsid w:val="00841724"/>
    <w:rsid w:val="00853419"/>
    <w:rsid w:val="00867DD1"/>
    <w:rsid w:val="00897E12"/>
    <w:rsid w:val="008D43BA"/>
    <w:rsid w:val="008D51EF"/>
    <w:rsid w:val="008E3759"/>
    <w:rsid w:val="008F60EF"/>
    <w:rsid w:val="009041DC"/>
    <w:rsid w:val="009104B4"/>
    <w:rsid w:val="009228DA"/>
    <w:rsid w:val="00925FCD"/>
    <w:rsid w:val="00932E11"/>
    <w:rsid w:val="0093441A"/>
    <w:rsid w:val="009413D0"/>
    <w:rsid w:val="00954BF7"/>
    <w:rsid w:val="0096706E"/>
    <w:rsid w:val="00975B3E"/>
    <w:rsid w:val="00981FBA"/>
    <w:rsid w:val="009B381B"/>
    <w:rsid w:val="009D7611"/>
    <w:rsid w:val="009E53DE"/>
    <w:rsid w:val="009E566A"/>
    <w:rsid w:val="00A0644E"/>
    <w:rsid w:val="00A12DBC"/>
    <w:rsid w:val="00A43458"/>
    <w:rsid w:val="00A528D1"/>
    <w:rsid w:val="00A66BE5"/>
    <w:rsid w:val="00A959DA"/>
    <w:rsid w:val="00AB2EEF"/>
    <w:rsid w:val="00AC52B9"/>
    <w:rsid w:val="00AD37C1"/>
    <w:rsid w:val="00AE57E0"/>
    <w:rsid w:val="00AE66EC"/>
    <w:rsid w:val="00AE6F91"/>
    <w:rsid w:val="00AF5571"/>
    <w:rsid w:val="00B06BB7"/>
    <w:rsid w:val="00B167E9"/>
    <w:rsid w:val="00B16A49"/>
    <w:rsid w:val="00B179ED"/>
    <w:rsid w:val="00B314DB"/>
    <w:rsid w:val="00B31EBE"/>
    <w:rsid w:val="00B3718B"/>
    <w:rsid w:val="00B44B23"/>
    <w:rsid w:val="00B4632A"/>
    <w:rsid w:val="00B92E49"/>
    <w:rsid w:val="00BA276C"/>
    <w:rsid w:val="00BB306F"/>
    <w:rsid w:val="00BC057C"/>
    <w:rsid w:val="00BD232B"/>
    <w:rsid w:val="00BD2E42"/>
    <w:rsid w:val="00BD4B89"/>
    <w:rsid w:val="00BE085A"/>
    <w:rsid w:val="00C1082C"/>
    <w:rsid w:val="00C21762"/>
    <w:rsid w:val="00C24543"/>
    <w:rsid w:val="00C256A2"/>
    <w:rsid w:val="00C3492D"/>
    <w:rsid w:val="00C55560"/>
    <w:rsid w:val="00C66B72"/>
    <w:rsid w:val="00C9567A"/>
    <w:rsid w:val="00CA6577"/>
    <w:rsid w:val="00CB204D"/>
    <w:rsid w:val="00CB2660"/>
    <w:rsid w:val="00CC5E90"/>
    <w:rsid w:val="00CD046C"/>
    <w:rsid w:val="00CD51E6"/>
    <w:rsid w:val="00CE5199"/>
    <w:rsid w:val="00CE66D5"/>
    <w:rsid w:val="00D34786"/>
    <w:rsid w:val="00D40A1E"/>
    <w:rsid w:val="00D533C0"/>
    <w:rsid w:val="00D5672B"/>
    <w:rsid w:val="00D712D3"/>
    <w:rsid w:val="00D71422"/>
    <w:rsid w:val="00D7145E"/>
    <w:rsid w:val="00D75084"/>
    <w:rsid w:val="00D7558D"/>
    <w:rsid w:val="00D81D92"/>
    <w:rsid w:val="00D93446"/>
    <w:rsid w:val="00DA7B5F"/>
    <w:rsid w:val="00DF078B"/>
    <w:rsid w:val="00DF350D"/>
    <w:rsid w:val="00E227C1"/>
    <w:rsid w:val="00E43157"/>
    <w:rsid w:val="00E43B92"/>
    <w:rsid w:val="00E47F3D"/>
    <w:rsid w:val="00E533FF"/>
    <w:rsid w:val="00E709B3"/>
    <w:rsid w:val="00E7588C"/>
    <w:rsid w:val="00E7797F"/>
    <w:rsid w:val="00E850B6"/>
    <w:rsid w:val="00E8789F"/>
    <w:rsid w:val="00E97B71"/>
    <w:rsid w:val="00EB454D"/>
    <w:rsid w:val="00EC34A2"/>
    <w:rsid w:val="00ED0D1B"/>
    <w:rsid w:val="00EE3522"/>
    <w:rsid w:val="00EF619B"/>
    <w:rsid w:val="00F00B55"/>
    <w:rsid w:val="00F1380F"/>
    <w:rsid w:val="00F13BAE"/>
    <w:rsid w:val="00F14F0E"/>
    <w:rsid w:val="00F15A3B"/>
    <w:rsid w:val="00F24C29"/>
    <w:rsid w:val="00F253CC"/>
    <w:rsid w:val="00F3194C"/>
    <w:rsid w:val="00F35FD4"/>
    <w:rsid w:val="00F42B71"/>
    <w:rsid w:val="00F56BA5"/>
    <w:rsid w:val="00F621C3"/>
    <w:rsid w:val="00F644E6"/>
    <w:rsid w:val="00F9653B"/>
    <w:rsid w:val="00F97E16"/>
    <w:rsid w:val="00FA5106"/>
    <w:rsid w:val="00FB62CF"/>
    <w:rsid w:val="00FC3EB4"/>
    <w:rsid w:val="00FC6C58"/>
    <w:rsid w:val="00FE6B45"/>
    <w:rsid w:val="00FF32FE"/>
    <w:rsid w:val="00FF5851"/>
    <w:rsid w:val="00FF73E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EC047D70324A9D9B7A5CE89F54762E"/>
        <w:category>
          <w:name w:val="General"/>
          <w:gallery w:val="placeholder"/>
        </w:category>
        <w:types>
          <w:type w:val="bbPlcHdr"/>
        </w:types>
        <w:behaviors>
          <w:behavior w:val="content"/>
        </w:behaviors>
        <w:guid w:val="{06813B88-A8DD-42E5-9FF0-EBC9411CB9A9}"/>
      </w:docPartPr>
      <w:docPartBody>
        <w:p w:rsidR="00842B4E" w:rsidRDefault="00DB338D" w:rsidP="00DB338D">
          <w:pPr>
            <w:pStyle w:val="FCEC047D70324A9D9B7A5CE89F54762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6255BF"/>
    <w:rsid w:val="00842B4E"/>
    <w:rsid w:val="009B27D8"/>
    <w:rsid w:val="00AB44F1"/>
    <w:rsid w:val="00B03680"/>
    <w:rsid w:val="00DB338D"/>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338D"/>
    <w:rPr>
      <w:color w:val="808080"/>
    </w:rPr>
  </w:style>
  <w:style w:type="paragraph" w:customStyle="1" w:styleId="4DBB5F3FC358F64B9E5EFB773263C7D2">
    <w:name w:val="4DBB5F3FC358F64B9E5EFB773263C7D2"/>
    <w:rsid w:val="00AB44F1"/>
  </w:style>
  <w:style w:type="paragraph" w:customStyle="1" w:styleId="175E7D82D1CA4D96AEA5AC0817532210">
    <w:name w:val="175E7D82D1CA4D96AEA5AC0817532210"/>
    <w:rsid w:val="00DB338D"/>
    <w:pPr>
      <w:spacing w:after="200" w:line="276" w:lineRule="auto"/>
    </w:pPr>
    <w:rPr>
      <w:sz w:val="22"/>
      <w:szCs w:val="22"/>
    </w:rPr>
  </w:style>
  <w:style w:type="paragraph" w:customStyle="1" w:styleId="9B0EB8078A2E46338057F322D1815031">
    <w:name w:val="9B0EB8078A2E46338057F322D1815031"/>
    <w:rsid w:val="00DB338D"/>
    <w:pPr>
      <w:spacing w:after="200" w:line="276" w:lineRule="auto"/>
    </w:pPr>
    <w:rPr>
      <w:sz w:val="22"/>
      <w:szCs w:val="22"/>
    </w:rPr>
  </w:style>
  <w:style w:type="paragraph" w:customStyle="1" w:styleId="6FBA4898238C4F888B329AE83869A240">
    <w:name w:val="6FBA4898238C4F888B329AE83869A240"/>
    <w:rsid w:val="00DB338D"/>
    <w:pPr>
      <w:spacing w:after="200" w:line="276" w:lineRule="auto"/>
    </w:pPr>
    <w:rPr>
      <w:sz w:val="22"/>
      <w:szCs w:val="22"/>
    </w:rPr>
  </w:style>
  <w:style w:type="paragraph" w:customStyle="1" w:styleId="A839C8084296492C806CD3CA24D6D4A0">
    <w:name w:val="A839C8084296492C806CD3CA24D6D4A0"/>
    <w:rsid w:val="00DB338D"/>
    <w:pPr>
      <w:spacing w:after="200" w:line="276" w:lineRule="auto"/>
    </w:pPr>
    <w:rPr>
      <w:sz w:val="22"/>
      <w:szCs w:val="22"/>
    </w:rPr>
  </w:style>
  <w:style w:type="paragraph" w:customStyle="1" w:styleId="FCEC047D70324A9D9B7A5CE89F54762E">
    <w:name w:val="FCEC047D70324A9D9B7A5CE89F54762E"/>
    <w:rsid w:val="00DB338D"/>
    <w:pPr>
      <w:spacing w:after="200" w:line="276"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97568-B0A6-4AE1-A64E-37CD4F80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2759</Words>
  <Characters>15728</Characters>
  <Application>Microsoft Office Word</Application>
  <DocSecurity>0</DocSecurity>
  <Lines>131</Lines>
  <Paragraphs>36</Paragraphs>
  <ScaleCrop>false</ScaleCrop>
  <Company/>
  <LinksUpToDate>false</LinksUpToDate>
  <CharactersWithSpaces>18451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78/19</dc:title>
  <dc:creator/>
  <cp:lastModifiedBy/>
  <cp:revision>1</cp:revision>
  <dcterms:created xsi:type="dcterms:W3CDTF">2019-06-24T18:56:00Z</dcterms:created>
  <dcterms:modified xsi:type="dcterms:W3CDTF">2019-06-24T18:56:00Z</dcterms:modified>
</cp:coreProperties>
</file>