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385641" w:rsidRDefault="006311DA" w:rsidP="00627C9F">
      <w:pPr>
        <w:jc w:val="both"/>
        <w:rPr>
          <w:rFonts w:asciiTheme="majorHAnsi" w:hAnsiTheme="majorHAnsi" w:cs="Univers"/>
          <w:b/>
          <w:bCs/>
          <w:sz w:val="22"/>
          <w:szCs w:val="22"/>
        </w:rPr>
      </w:pPr>
      <w:r w:rsidRPr="00385641">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7EEAF214" wp14:editId="1655E19A">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48387CC2"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85641">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7BC9FD7" wp14:editId="1A4D059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3202DC30" wp14:editId="32C5F18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7BC9FD7"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3202DC30" wp14:editId="32C5F18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85641" w:rsidRDefault="00040C3A" w:rsidP="00040C3A">
      <w:pPr>
        <w:tabs>
          <w:tab w:val="center" w:pos="5400"/>
        </w:tabs>
        <w:suppressAutoHyphens/>
        <w:jc w:val="both"/>
        <w:rPr>
          <w:rFonts w:asciiTheme="majorHAnsi" w:hAnsiTheme="majorHAnsi"/>
          <w:sz w:val="22"/>
          <w:szCs w:val="22"/>
        </w:rPr>
      </w:pPr>
    </w:p>
    <w:p w:rsidR="00040C3A" w:rsidRPr="00385641" w:rsidRDefault="00040C3A" w:rsidP="00040C3A">
      <w:pPr>
        <w:tabs>
          <w:tab w:val="center" w:pos="5400"/>
        </w:tabs>
        <w:suppressAutoHyphens/>
        <w:jc w:val="both"/>
        <w:rPr>
          <w:rFonts w:asciiTheme="majorHAnsi" w:hAnsiTheme="majorHAnsi"/>
          <w:sz w:val="22"/>
          <w:szCs w:val="22"/>
        </w:rPr>
      </w:pPr>
    </w:p>
    <w:p w:rsidR="005128E4" w:rsidRPr="00385641" w:rsidRDefault="005128E4" w:rsidP="00040C3A">
      <w:pPr>
        <w:tabs>
          <w:tab w:val="center" w:pos="5400"/>
        </w:tabs>
        <w:suppressAutoHyphens/>
        <w:rPr>
          <w:rFonts w:asciiTheme="majorHAnsi" w:hAnsiTheme="majorHAnsi"/>
          <w:sz w:val="22"/>
          <w:szCs w:val="22"/>
        </w:rPr>
      </w:pPr>
    </w:p>
    <w:p w:rsidR="005128E4" w:rsidRPr="00385641" w:rsidRDefault="005128E4" w:rsidP="00040C3A">
      <w:pPr>
        <w:tabs>
          <w:tab w:val="center" w:pos="5400"/>
        </w:tabs>
        <w:suppressAutoHyphens/>
        <w:rPr>
          <w:rFonts w:asciiTheme="majorHAnsi" w:hAnsiTheme="majorHAnsi"/>
          <w:sz w:val="22"/>
          <w:szCs w:val="22"/>
        </w:rPr>
      </w:pPr>
    </w:p>
    <w:p w:rsidR="005128E4" w:rsidRPr="00385641" w:rsidRDefault="005128E4" w:rsidP="00040C3A">
      <w:pPr>
        <w:tabs>
          <w:tab w:val="center" w:pos="5400"/>
        </w:tabs>
        <w:suppressAutoHyphens/>
        <w:rPr>
          <w:rFonts w:asciiTheme="majorHAnsi" w:hAnsiTheme="majorHAnsi"/>
          <w:sz w:val="22"/>
          <w:szCs w:val="22"/>
        </w:rPr>
      </w:pPr>
    </w:p>
    <w:p w:rsidR="00040C3A" w:rsidRPr="00385641" w:rsidRDefault="00040C3A" w:rsidP="005128E4">
      <w:pPr>
        <w:tabs>
          <w:tab w:val="center" w:pos="5400"/>
        </w:tabs>
        <w:suppressAutoHyphens/>
        <w:jc w:val="center"/>
        <w:rPr>
          <w:rFonts w:asciiTheme="majorHAnsi" w:hAnsiTheme="majorHAnsi"/>
          <w:sz w:val="22"/>
          <w:szCs w:val="22"/>
        </w:rPr>
      </w:pPr>
    </w:p>
    <w:p w:rsidR="00040C3A" w:rsidRPr="00385641" w:rsidRDefault="00040C3A" w:rsidP="005128E4">
      <w:pPr>
        <w:tabs>
          <w:tab w:val="center" w:pos="5400"/>
        </w:tabs>
        <w:suppressAutoHyphens/>
        <w:jc w:val="center"/>
        <w:rPr>
          <w:rFonts w:asciiTheme="majorHAnsi" w:hAnsiTheme="majorHAnsi"/>
          <w:sz w:val="22"/>
          <w:szCs w:val="22"/>
        </w:rPr>
      </w:pPr>
    </w:p>
    <w:p w:rsidR="005B52B0" w:rsidRPr="00385641" w:rsidRDefault="005B52B0" w:rsidP="005128E4">
      <w:pPr>
        <w:tabs>
          <w:tab w:val="center" w:pos="5400"/>
        </w:tabs>
        <w:suppressAutoHyphens/>
        <w:jc w:val="center"/>
        <w:rPr>
          <w:rFonts w:asciiTheme="majorHAnsi" w:hAnsiTheme="majorHAnsi"/>
          <w:sz w:val="22"/>
          <w:szCs w:val="22"/>
        </w:rPr>
      </w:pPr>
    </w:p>
    <w:p w:rsidR="005B52B0" w:rsidRPr="00385641" w:rsidRDefault="005B52B0" w:rsidP="005128E4">
      <w:pPr>
        <w:tabs>
          <w:tab w:val="center" w:pos="5400"/>
        </w:tabs>
        <w:suppressAutoHyphens/>
        <w:jc w:val="center"/>
        <w:rPr>
          <w:rFonts w:asciiTheme="majorHAnsi" w:hAnsiTheme="majorHAnsi"/>
          <w:sz w:val="22"/>
          <w:szCs w:val="22"/>
        </w:rPr>
      </w:pPr>
    </w:p>
    <w:p w:rsidR="005B52B0" w:rsidRPr="00385641" w:rsidRDefault="005B52B0" w:rsidP="005128E4">
      <w:pPr>
        <w:tabs>
          <w:tab w:val="center" w:pos="5400"/>
        </w:tabs>
        <w:suppressAutoHyphens/>
        <w:jc w:val="center"/>
        <w:rPr>
          <w:rFonts w:asciiTheme="majorHAnsi" w:hAnsiTheme="majorHAnsi"/>
          <w:sz w:val="22"/>
          <w:szCs w:val="22"/>
        </w:rPr>
      </w:pPr>
    </w:p>
    <w:p w:rsidR="00040C3A" w:rsidRPr="00385641" w:rsidRDefault="00040C3A" w:rsidP="00040C3A">
      <w:pPr>
        <w:tabs>
          <w:tab w:val="center" w:pos="5400"/>
        </w:tabs>
        <w:suppressAutoHyphens/>
        <w:jc w:val="center"/>
        <w:rPr>
          <w:rFonts w:asciiTheme="majorHAnsi" w:hAnsiTheme="majorHAnsi"/>
          <w:sz w:val="22"/>
          <w:szCs w:val="22"/>
        </w:rPr>
      </w:pPr>
    </w:p>
    <w:p w:rsidR="00040C3A" w:rsidRPr="00385641" w:rsidRDefault="00040C3A" w:rsidP="00040C3A">
      <w:pPr>
        <w:tabs>
          <w:tab w:val="center" w:pos="5400"/>
        </w:tabs>
        <w:suppressAutoHyphens/>
        <w:jc w:val="center"/>
        <w:rPr>
          <w:rFonts w:asciiTheme="majorHAnsi" w:hAnsiTheme="majorHAnsi"/>
          <w:sz w:val="22"/>
          <w:szCs w:val="22"/>
        </w:rPr>
      </w:pPr>
    </w:p>
    <w:p w:rsidR="00040C3A" w:rsidRPr="00385641" w:rsidRDefault="00040C3A" w:rsidP="00040C3A">
      <w:pPr>
        <w:tabs>
          <w:tab w:val="center" w:pos="5400"/>
        </w:tabs>
        <w:suppressAutoHyphens/>
        <w:jc w:val="center"/>
        <w:rPr>
          <w:rFonts w:asciiTheme="majorHAnsi" w:hAnsiTheme="majorHAnsi"/>
          <w:sz w:val="22"/>
          <w:szCs w:val="22"/>
        </w:rPr>
      </w:pPr>
    </w:p>
    <w:p w:rsidR="00040C3A" w:rsidRPr="00385641" w:rsidRDefault="00E533FF" w:rsidP="00040C3A">
      <w:pPr>
        <w:tabs>
          <w:tab w:val="center" w:pos="5400"/>
        </w:tabs>
        <w:suppressAutoHyphens/>
        <w:jc w:val="center"/>
        <w:rPr>
          <w:rFonts w:asciiTheme="majorHAnsi" w:hAnsiTheme="majorHAnsi"/>
          <w:sz w:val="22"/>
          <w:szCs w:val="22"/>
        </w:rPr>
      </w:pPr>
      <w:r w:rsidRPr="00385641">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17DBA5A8" wp14:editId="606EDBEC">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311A32"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090A7D">
                              <w:rPr>
                                <w:rFonts w:asciiTheme="majorHAnsi" w:hAnsiTheme="majorHAnsi" w:cs="Arial"/>
                                <w:b/>
                                <w:bCs/>
                                <w:color w:val="0D0D0D" w:themeColor="text1" w:themeTint="F2"/>
                                <w:sz w:val="36"/>
                                <w:szCs w:val="40"/>
                              </w:rPr>
                              <w:t>137</w:t>
                            </w:r>
                            <w:r>
                              <w:rPr>
                                <w:rFonts w:asciiTheme="majorHAnsi" w:hAnsiTheme="majorHAnsi" w:cs="Arial"/>
                                <w:b/>
                                <w:bCs/>
                                <w:color w:val="0D0D0D" w:themeColor="text1" w:themeTint="F2"/>
                                <w:sz w:val="36"/>
                                <w:szCs w:val="40"/>
                              </w:rPr>
                              <w:t>/19</w:t>
                            </w:r>
                          </w:p>
                          <w:p w:rsidR="00322450" w:rsidRPr="004B7EB6" w:rsidRDefault="00016BB4"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CASE 12.233</w:t>
                            </w:r>
                          </w:p>
                          <w:p w:rsidR="00322450" w:rsidRPr="004B7EB6" w:rsidRDefault="00322450"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FRIENDLY SETTLEMENT</w:t>
                            </w:r>
                            <w:r w:rsidR="00450A4A" w:rsidRPr="004B7EB6">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322450" w:rsidRPr="00016BB4" w:rsidRDefault="00016BB4"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VICTOR AMESTICA MORENO AND OTHERS</w:t>
                            </w:r>
                          </w:p>
                          <w:p w:rsidR="005B52B0" w:rsidRPr="004B7EB6" w:rsidRDefault="00016BB4"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CHILE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7DBA5A8"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311A32"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090A7D">
                        <w:rPr>
                          <w:rFonts w:asciiTheme="majorHAnsi" w:hAnsiTheme="majorHAnsi" w:cs="Arial"/>
                          <w:b/>
                          <w:bCs/>
                          <w:color w:val="0D0D0D" w:themeColor="text1" w:themeTint="F2"/>
                          <w:sz w:val="36"/>
                          <w:szCs w:val="40"/>
                        </w:rPr>
                        <w:t>137</w:t>
                      </w:r>
                      <w:r>
                        <w:rPr>
                          <w:rFonts w:asciiTheme="majorHAnsi" w:hAnsiTheme="majorHAnsi" w:cs="Arial"/>
                          <w:b/>
                          <w:bCs/>
                          <w:color w:val="0D0D0D" w:themeColor="text1" w:themeTint="F2"/>
                          <w:sz w:val="36"/>
                          <w:szCs w:val="40"/>
                        </w:rPr>
                        <w:t>/19</w:t>
                      </w:r>
                    </w:p>
                    <w:p w:rsidR="00322450" w:rsidRPr="004B7EB6" w:rsidRDefault="00016BB4"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CASE 12.233</w:t>
                      </w:r>
                    </w:p>
                    <w:p w:rsidR="00322450" w:rsidRPr="004B7EB6" w:rsidRDefault="00322450"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FRIENDLY SETTLEMENT</w:t>
                      </w:r>
                      <w:r w:rsidR="00450A4A" w:rsidRPr="004B7EB6">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322450" w:rsidRPr="00016BB4" w:rsidRDefault="00016BB4"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VICTOR AMESTICA MORENO AND OTHERS</w:t>
                      </w:r>
                    </w:p>
                    <w:p w:rsidR="005B52B0" w:rsidRPr="004B7EB6" w:rsidRDefault="00016BB4"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CHILE</w:t>
                      </w:r>
                    </w:p>
                  </w:txbxContent>
                </v:textbox>
              </v:shape>
            </w:pict>
          </mc:Fallback>
        </mc:AlternateContent>
      </w:r>
      <w:r w:rsidR="004B7EB6" w:rsidRPr="00385641">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17F7C7ED" wp14:editId="17BD84C0">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OEA/Ser.L/V/II.150</w:t>
                            </w:r>
                          </w:p>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090A7D">
                              <w:rPr>
                                <w:rFonts w:asciiTheme="minorHAnsi" w:hAnsiTheme="minorHAnsi"/>
                                <w:color w:val="FFFFFF" w:themeColor="background1"/>
                                <w:sz w:val="22"/>
                                <w:lang w:val="pt-BR"/>
                              </w:rPr>
                              <w:t>147</w:t>
                            </w:r>
                          </w:p>
                          <w:p w:rsidR="00627C9F" w:rsidRPr="004B7EB6" w:rsidRDefault="00090A7D" w:rsidP="002C1641">
                            <w:pPr>
                              <w:jc w:val="right"/>
                              <w:rPr>
                                <w:rFonts w:asciiTheme="minorHAnsi" w:hAnsiTheme="minorHAnsi"/>
                                <w:color w:val="FFFFFF" w:themeColor="background1"/>
                                <w:sz w:val="22"/>
                              </w:rPr>
                            </w:pPr>
                            <w:r>
                              <w:rPr>
                                <w:rFonts w:asciiTheme="minorHAnsi" w:hAnsiTheme="minorHAnsi"/>
                                <w:color w:val="FFFFFF" w:themeColor="background1"/>
                                <w:sz w:val="22"/>
                              </w:rPr>
                              <w:t>6</w:t>
                            </w:r>
                            <w:r w:rsidR="00627C9F" w:rsidRPr="004B7EB6">
                              <w:rPr>
                                <w:rFonts w:asciiTheme="minorHAnsi" w:hAnsiTheme="minorHAnsi"/>
                                <w:color w:val="FFFFFF" w:themeColor="background1"/>
                                <w:sz w:val="22"/>
                              </w:rPr>
                              <w:t xml:space="preserve"> </w:t>
                            </w:r>
                            <w:r>
                              <w:rPr>
                                <w:rFonts w:asciiTheme="minorHAnsi" w:hAnsiTheme="minorHAnsi"/>
                                <w:color w:val="FFFFFF" w:themeColor="background1"/>
                                <w:sz w:val="22"/>
                              </w:rPr>
                              <w:t>September 2019</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proofErr w:type="spellStart"/>
                            <w:r w:rsidR="007B1CDE">
                              <w:rPr>
                                <w:rFonts w:asciiTheme="minorHAnsi" w:hAnsiTheme="minorHAnsi"/>
                                <w:color w:val="FFFFFF" w:themeColor="background1"/>
                                <w:sz w:val="22"/>
                              </w:rPr>
                              <w:t>Spansih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F7C7ED"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OEA/Ser.L/V/II.150</w:t>
                      </w:r>
                    </w:p>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090A7D">
                        <w:rPr>
                          <w:rFonts w:asciiTheme="minorHAnsi" w:hAnsiTheme="minorHAnsi"/>
                          <w:color w:val="FFFFFF" w:themeColor="background1"/>
                          <w:sz w:val="22"/>
                          <w:lang w:val="pt-BR"/>
                        </w:rPr>
                        <w:t>147</w:t>
                      </w:r>
                    </w:p>
                    <w:p w:rsidR="00627C9F" w:rsidRPr="004B7EB6" w:rsidRDefault="00090A7D" w:rsidP="002C1641">
                      <w:pPr>
                        <w:jc w:val="right"/>
                        <w:rPr>
                          <w:rFonts w:asciiTheme="minorHAnsi" w:hAnsiTheme="minorHAnsi"/>
                          <w:color w:val="FFFFFF" w:themeColor="background1"/>
                          <w:sz w:val="22"/>
                        </w:rPr>
                      </w:pPr>
                      <w:r>
                        <w:rPr>
                          <w:rFonts w:asciiTheme="minorHAnsi" w:hAnsiTheme="minorHAnsi"/>
                          <w:color w:val="FFFFFF" w:themeColor="background1"/>
                          <w:sz w:val="22"/>
                        </w:rPr>
                        <w:t>6</w:t>
                      </w:r>
                      <w:r w:rsidR="00627C9F" w:rsidRPr="004B7EB6">
                        <w:rPr>
                          <w:rFonts w:asciiTheme="minorHAnsi" w:hAnsiTheme="minorHAnsi"/>
                          <w:color w:val="FFFFFF" w:themeColor="background1"/>
                          <w:sz w:val="22"/>
                        </w:rPr>
                        <w:t xml:space="preserve"> </w:t>
                      </w:r>
                      <w:r>
                        <w:rPr>
                          <w:rFonts w:asciiTheme="minorHAnsi" w:hAnsiTheme="minorHAnsi"/>
                          <w:color w:val="FFFFFF" w:themeColor="background1"/>
                          <w:sz w:val="22"/>
                        </w:rPr>
                        <w:t>September 2019</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proofErr w:type="spellStart"/>
                      <w:r w:rsidR="007B1CDE">
                        <w:rPr>
                          <w:rFonts w:asciiTheme="minorHAnsi" w:hAnsiTheme="minorHAnsi"/>
                          <w:color w:val="FFFFFF" w:themeColor="background1"/>
                          <w:sz w:val="22"/>
                        </w:rPr>
                        <w:t>Spansih</w:t>
                      </w:r>
                      <w:proofErr w:type="spellEnd"/>
                    </w:p>
                  </w:txbxContent>
                </v:textbox>
              </v:shape>
            </w:pict>
          </mc:Fallback>
        </mc:AlternateContent>
      </w:r>
    </w:p>
    <w:p w:rsidR="00040C3A" w:rsidRPr="00385641" w:rsidRDefault="00040C3A" w:rsidP="00040C3A">
      <w:pPr>
        <w:tabs>
          <w:tab w:val="center" w:pos="5400"/>
        </w:tabs>
        <w:suppressAutoHyphens/>
        <w:jc w:val="center"/>
        <w:rPr>
          <w:rFonts w:asciiTheme="majorHAnsi" w:hAnsiTheme="majorHAnsi"/>
          <w:sz w:val="22"/>
          <w:szCs w:val="22"/>
        </w:rPr>
      </w:pPr>
    </w:p>
    <w:p w:rsidR="00040C3A" w:rsidRPr="00385641" w:rsidRDefault="00040C3A" w:rsidP="00040C3A">
      <w:pPr>
        <w:tabs>
          <w:tab w:val="center" w:pos="5400"/>
        </w:tabs>
        <w:suppressAutoHyphens/>
        <w:jc w:val="center"/>
        <w:rPr>
          <w:rFonts w:asciiTheme="majorHAnsi" w:hAnsiTheme="majorHAnsi" w:cs="Arial"/>
          <w:sz w:val="22"/>
          <w:szCs w:val="22"/>
        </w:rPr>
      </w:pPr>
    </w:p>
    <w:p w:rsidR="00040C3A" w:rsidRPr="00385641" w:rsidRDefault="00040C3A" w:rsidP="00040C3A">
      <w:pPr>
        <w:tabs>
          <w:tab w:val="center" w:pos="5400"/>
        </w:tabs>
        <w:suppressAutoHyphens/>
        <w:jc w:val="center"/>
        <w:rPr>
          <w:rFonts w:asciiTheme="majorHAnsi" w:hAnsiTheme="majorHAnsi"/>
          <w:sz w:val="22"/>
          <w:szCs w:val="22"/>
        </w:rPr>
      </w:pPr>
    </w:p>
    <w:p w:rsidR="00040C3A" w:rsidRPr="00385641" w:rsidRDefault="00040C3A" w:rsidP="00040C3A">
      <w:pPr>
        <w:tabs>
          <w:tab w:val="center" w:pos="5400"/>
        </w:tabs>
        <w:suppressAutoHyphens/>
        <w:jc w:val="center"/>
        <w:rPr>
          <w:rFonts w:asciiTheme="majorHAnsi" w:hAnsiTheme="majorHAnsi"/>
          <w:sz w:val="22"/>
          <w:szCs w:val="22"/>
        </w:rPr>
      </w:pPr>
    </w:p>
    <w:p w:rsidR="00040C3A" w:rsidRPr="00385641" w:rsidRDefault="00040C3A" w:rsidP="00040C3A">
      <w:pPr>
        <w:tabs>
          <w:tab w:val="center" w:pos="5400"/>
        </w:tabs>
        <w:suppressAutoHyphens/>
        <w:jc w:val="center"/>
        <w:rPr>
          <w:rFonts w:asciiTheme="majorHAnsi" w:hAnsiTheme="majorHAnsi"/>
          <w:sz w:val="22"/>
          <w:szCs w:val="22"/>
        </w:rPr>
      </w:pPr>
    </w:p>
    <w:p w:rsidR="00040C3A" w:rsidRPr="00385641" w:rsidRDefault="00040C3A" w:rsidP="00040C3A">
      <w:pPr>
        <w:tabs>
          <w:tab w:val="center" w:pos="5400"/>
        </w:tabs>
        <w:suppressAutoHyphens/>
        <w:jc w:val="center"/>
        <w:rPr>
          <w:rFonts w:asciiTheme="majorHAnsi" w:hAnsiTheme="majorHAnsi"/>
          <w:sz w:val="22"/>
          <w:szCs w:val="22"/>
        </w:rPr>
      </w:pPr>
    </w:p>
    <w:p w:rsidR="005128E4" w:rsidRPr="00385641" w:rsidRDefault="005128E4" w:rsidP="00040C3A">
      <w:pPr>
        <w:tabs>
          <w:tab w:val="center" w:pos="5400"/>
        </w:tabs>
        <w:suppressAutoHyphens/>
        <w:jc w:val="center"/>
        <w:rPr>
          <w:rFonts w:asciiTheme="majorHAnsi" w:hAnsiTheme="majorHAnsi"/>
          <w:sz w:val="22"/>
          <w:szCs w:val="22"/>
        </w:rPr>
      </w:pPr>
    </w:p>
    <w:p w:rsidR="00040C3A" w:rsidRPr="00385641" w:rsidRDefault="00040C3A" w:rsidP="00040C3A">
      <w:pPr>
        <w:tabs>
          <w:tab w:val="center" w:pos="5400"/>
        </w:tabs>
        <w:suppressAutoHyphens/>
        <w:jc w:val="center"/>
        <w:rPr>
          <w:rFonts w:asciiTheme="majorHAnsi" w:hAnsiTheme="majorHAnsi"/>
          <w:sz w:val="22"/>
          <w:szCs w:val="22"/>
        </w:rPr>
      </w:pPr>
    </w:p>
    <w:p w:rsidR="005128E4" w:rsidRPr="00385641" w:rsidRDefault="005128E4" w:rsidP="00040C3A">
      <w:pPr>
        <w:tabs>
          <w:tab w:val="center" w:pos="5400"/>
        </w:tabs>
        <w:suppressAutoHyphens/>
        <w:jc w:val="center"/>
        <w:rPr>
          <w:rFonts w:asciiTheme="majorHAnsi" w:hAnsiTheme="majorHAnsi"/>
          <w:sz w:val="22"/>
          <w:szCs w:val="22"/>
        </w:rPr>
      </w:pPr>
    </w:p>
    <w:p w:rsidR="005128E4" w:rsidRPr="00385641" w:rsidRDefault="005128E4" w:rsidP="00040C3A">
      <w:pPr>
        <w:tabs>
          <w:tab w:val="center" w:pos="5400"/>
        </w:tabs>
        <w:suppressAutoHyphens/>
        <w:jc w:val="center"/>
        <w:rPr>
          <w:rFonts w:asciiTheme="majorHAnsi" w:hAnsiTheme="majorHAnsi"/>
          <w:sz w:val="22"/>
          <w:szCs w:val="22"/>
        </w:rPr>
      </w:pPr>
    </w:p>
    <w:p w:rsidR="005128E4" w:rsidRPr="00385641" w:rsidRDefault="005128E4" w:rsidP="00040C3A">
      <w:pPr>
        <w:tabs>
          <w:tab w:val="center" w:pos="5400"/>
        </w:tabs>
        <w:suppressAutoHyphens/>
        <w:jc w:val="center"/>
        <w:rPr>
          <w:rFonts w:asciiTheme="majorHAnsi" w:hAnsiTheme="majorHAnsi"/>
          <w:sz w:val="22"/>
          <w:szCs w:val="22"/>
        </w:rPr>
      </w:pPr>
    </w:p>
    <w:p w:rsidR="00040C3A" w:rsidRPr="00385641" w:rsidRDefault="00040C3A" w:rsidP="00040C3A">
      <w:pPr>
        <w:tabs>
          <w:tab w:val="center" w:pos="5400"/>
        </w:tabs>
        <w:suppressAutoHyphens/>
        <w:jc w:val="center"/>
        <w:rPr>
          <w:rFonts w:asciiTheme="majorHAnsi" w:hAnsiTheme="majorHAnsi"/>
          <w:sz w:val="22"/>
          <w:szCs w:val="22"/>
        </w:rPr>
      </w:pPr>
    </w:p>
    <w:p w:rsidR="00040C3A" w:rsidRPr="00385641" w:rsidRDefault="00040C3A" w:rsidP="00040C3A">
      <w:pPr>
        <w:tabs>
          <w:tab w:val="center" w:pos="5400"/>
        </w:tabs>
        <w:suppressAutoHyphens/>
        <w:jc w:val="center"/>
        <w:rPr>
          <w:rFonts w:asciiTheme="majorHAnsi" w:hAnsiTheme="majorHAnsi"/>
          <w:sz w:val="22"/>
          <w:szCs w:val="22"/>
        </w:rPr>
      </w:pPr>
    </w:p>
    <w:p w:rsidR="002C1641" w:rsidRPr="00385641" w:rsidRDefault="002C1641" w:rsidP="00040C3A">
      <w:pPr>
        <w:tabs>
          <w:tab w:val="center" w:pos="5400"/>
        </w:tabs>
        <w:suppressAutoHyphens/>
        <w:jc w:val="center"/>
        <w:rPr>
          <w:rFonts w:asciiTheme="majorHAnsi" w:hAnsiTheme="majorHAnsi"/>
          <w:sz w:val="18"/>
          <w:szCs w:val="22"/>
        </w:rPr>
      </w:pPr>
    </w:p>
    <w:p w:rsidR="002C1641" w:rsidRPr="00385641" w:rsidRDefault="002C1641" w:rsidP="00040C3A">
      <w:pPr>
        <w:tabs>
          <w:tab w:val="center" w:pos="5400"/>
        </w:tabs>
        <w:suppressAutoHyphens/>
        <w:jc w:val="center"/>
        <w:rPr>
          <w:rFonts w:asciiTheme="majorHAnsi" w:hAnsiTheme="majorHAnsi"/>
          <w:sz w:val="18"/>
          <w:szCs w:val="22"/>
        </w:rPr>
      </w:pPr>
    </w:p>
    <w:p w:rsidR="002C1641" w:rsidRPr="00385641" w:rsidRDefault="002C1641" w:rsidP="00040C3A">
      <w:pPr>
        <w:tabs>
          <w:tab w:val="center" w:pos="5400"/>
        </w:tabs>
        <w:suppressAutoHyphens/>
        <w:jc w:val="center"/>
        <w:rPr>
          <w:rFonts w:asciiTheme="majorHAnsi" w:hAnsiTheme="majorHAnsi"/>
          <w:sz w:val="18"/>
          <w:szCs w:val="22"/>
        </w:rPr>
      </w:pPr>
    </w:p>
    <w:p w:rsidR="002C1641" w:rsidRPr="00385641" w:rsidRDefault="002C1641" w:rsidP="00040C3A">
      <w:pPr>
        <w:tabs>
          <w:tab w:val="center" w:pos="5400"/>
        </w:tabs>
        <w:suppressAutoHyphens/>
        <w:jc w:val="center"/>
        <w:rPr>
          <w:rFonts w:asciiTheme="majorHAnsi" w:hAnsiTheme="majorHAnsi"/>
          <w:sz w:val="18"/>
          <w:szCs w:val="22"/>
        </w:rPr>
      </w:pPr>
    </w:p>
    <w:p w:rsidR="002C1641" w:rsidRPr="00385641" w:rsidRDefault="002C1641" w:rsidP="00040C3A">
      <w:pPr>
        <w:tabs>
          <w:tab w:val="center" w:pos="5400"/>
        </w:tabs>
        <w:suppressAutoHyphens/>
        <w:jc w:val="center"/>
        <w:rPr>
          <w:rFonts w:asciiTheme="majorHAnsi" w:hAnsiTheme="majorHAnsi"/>
          <w:sz w:val="18"/>
          <w:szCs w:val="22"/>
        </w:rPr>
      </w:pPr>
    </w:p>
    <w:p w:rsidR="002C1641" w:rsidRPr="00385641" w:rsidRDefault="002C1641" w:rsidP="00040C3A">
      <w:pPr>
        <w:tabs>
          <w:tab w:val="center" w:pos="5400"/>
        </w:tabs>
        <w:suppressAutoHyphens/>
        <w:jc w:val="center"/>
        <w:rPr>
          <w:rFonts w:asciiTheme="majorHAnsi" w:hAnsiTheme="majorHAnsi"/>
          <w:sz w:val="18"/>
          <w:szCs w:val="22"/>
        </w:rPr>
      </w:pPr>
    </w:p>
    <w:p w:rsidR="002C1641" w:rsidRPr="00385641" w:rsidRDefault="002C1641" w:rsidP="00040C3A">
      <w:pPr>
        <w:tabs>
          <w:tab w:val="center" w:pos="5400"/>
        </w:tabs>
        <w:suppressAutoHyphens/>
        <w:jc w:val="center"/>
        <w:rPr>
          <w:rFonts w:asciiTheme="majorHAnsi" w:hAnsiTheme="majorHAnsi"/>
          <w:sz w:val="18"/>
          <w:szCs w:val="22"/>
        </w:rPr>
      </w:pPr>
    </w:p>
    <w:p w:rsidR="002C1641" w:rsidRPr="00385641" w:rsidRDefault="002C1641" w:rsidP="00040C3A">
      <w:pPr>
        <w:tabs>
          <w:tab w:val="center" w:pos="5400"/>
        </w:tabs>
        <w:suppressAutoHyphens/>
        <w:jc w:val="center"/>
        <w:rPr>
          <w:rFonts w:asciiTheme="majorHAnsi" w:hAnsiTheme="majorHAnsi"/>
          <w:sz w:val="18"/>
          <w:szCs w:val="22"/>
        </w:rPr>
      </w:pPr>
    </w:p>
    <w:p w:rsidR="002C1641" w:rsidRPr="00385641" w:rsidRDefault="002C1641" w:rsidP="00040C3A">
      <w:pPr>
        <w:tabs>
          <w:tab w:val="center" w:pos="5400"/>
        </w:tabs>
        <w:suppressAutoHyphens/>
        <w:jc w:val="center"/>
        <w:rPr>
          <w:rFonts w:asciiTheme="majorHAnsi" w:hAnsiTheme="majorHAnsi"/>
          <w:sz w:val="18"/>
          <w:szCs w:val="22"/>
        </w:rPr>
      </w:pPr>
    </w:p>
    <w:p w:rsidR="002C1641" w:rsidRPr="00385641" w:rsidRDefault="002C1641" w:rsidP="00040C3A">
      <w:pPr>
        <w:tabs>
          <w:tab w:val="center" w:pos="5400"/>
        </w:tabs>
        <w:suppressAutoHyphens/>
        <w:jc w:val="center"/>
        <w:rPr>
          <w:rFonts w:asciiTheme="majorHAnsi" w:hAnsiTheme="majorHAnsi"/>
          <w:sz w:val="18"/>
          <w:szCs w:val="22"/>
        </w:rPr>
      </w:pPr>
    </w:p>
    <w:p w:rsidR="002C1641" w:rsidRPr="00385641" w:rsidRDefault="002C1641" w:rsidP="00040C3A">
      <w:pPr>
        <w:tabs>
          <w:tab w:val="center" w:pos="5400"/>
        </w:tabs>
        <w:suppressAutoHyphens/>
        <w:jc w:val="center"/>
        <w:rPr>
          <w:rFonts w:asciiTheme="majorHAnsi" w:hAnsiTheme="majorHAnsi"/>
          <w:sz w:val="18"/>
          <w:szCs w:val="22"/>
        </w:rPr>
      </w:pPr>
    </w:p>
    <w:p w:rsidR="002C1641" w:rsidRPr="00385641" w:rsidRDefault="002C1641" w:rsidP="00040C3A">
      <w:pPr>
        <w:tabs>
          <w:tab w:val="center" w:pos="5400"/>
        </w:tabs>
        <w:suppressAutoHyphens/>
        <w:jc w:val="center"/>
        <w:rPr>
          <w:rFonts w:asciiTheme="majorHAnsi" w:hAnsiTheme="majorHAnsi"/>
          <w:sz w:val="18"/>
          <w:szCs w:val="22"/>
        </w:rPr>
      </w:pPr>
    </w:p>
    <w:p w:rsidR="002C1641" w:rsidRPr="00385641" w:rsidRDefault="003C32BC" w:rsidP="00040C3A">
      <w:pPr>
        <w:tabs>
          <w:tab w:val="center" w:pos="5400"/>
        </w:tabs>
        <w:suppressAutoHyphens/>
        <w:jc w:val="center"/>
        <w:rPr>
          <w:rFonts w:asciiTheme="majorHAnsi" w:hAnsiTheme="majorHAnsi"/>
          <w:sz w:val="18"/>
          <w:szCs w:val="22"/>
        </w:rPr>
      </w:pPr>
      <w:r w:rsidRPr="00385641">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9A6F53" wp14:editId="2BAD981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5899" w:rsidRPr="003C32BC" w:rsidRDefault="004B7EB6"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br/>
                            </w:r>
                            <w:r w:rsidR="00745899"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00745899" w:rsidRPr="003C32BC">
                              <w:rPr>
                                <w:rFonts w:asciiTheme="majorHAnsi" w:hAnsiTheme="majorHAnsi"/>
                                <w:color w:val="0D0D0D" w:themeColor="text1" w:themeTint="F2"/>
                                <w:sz w:val="18"/>
                                <w:szCs w:val="22"/>
                              </w:rPr>
                              <w:t xml:space="preserve">on </w:t>
                            </w:r>
                            <w:r w:rsidR="00016BB4">
                              <w:rPr>
                                <w:rFonts w:asciiTheme="majorHAnsi" w:hAnsiTheme="majorHAnsi"/>
                                <w:color w:val="0D0D0D" w:themeColor="text1" w:themeTint="F2"/>
                                <w:sz w:val="18"/>
                                <w:szCs w:val="22"/>
                              </w:rPr>
                              <w:t xml:space="preserve">September </w:t>
                            </w:r>
                            <w:r w:rsidR="00090A7D">
                              <w:rPr>
                                <w:rFonts w:asciiTheme="majorHAnsi" w:hAnsiTheme="majorHAnsi"/>
                                <w:color w:val="0D0D0D" w:themeColor="text1" w:themeTint="F2"/>
                                <w:sz w:val="18"/>
                                <w:szCs w:val="22"/>
                              </w:rPr>
                              <w:t>6</w:t>
                            </w:r>
                            <w:r w:rsidR="00016BB4">
                              <w:rPr>
                                <w:rFonts w:asciiTheme="majorHAnsi" w:hAnsiTheme="majorHAnsi"/>
                                <w:color w:val="0D0D0D" w:themeColor="text1" w:themeTint="F2"/>
                                <w:sz w:val="18"/>
                                <w:szCs w:val="22"/>
                              </w:rPr>
                              <w:t>,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C9A6F53"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745899" w:rsidRPr="003C32BC" w:rsidRDefault="004B7EB6"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br/>
                      </w:r>
                      <w:r w:rsidR="00745899"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00745899" w:rsidRPr="003C32BC">
                        <w:rPr>
                          <w:rFonts w:asciiTheme="majorHAnsi" w:hAnsiTheme="majorHAnsi"/>
                          <w:color w:val="0D0D0D" w:themeColor="text1" w:themeTint="F2"/>
                          <w:sz w:val="18"/>
                          <w:szCs w:val="22"/>
                        </w:rPr>
                        <w:t xml:space="preserve">on </w:t>
                      </w:r>
                      <w:r w:rsidR="00016BB4">
                        <w:rPr>
                          <w:rFonts w:asciiTheme="majorHAnsi" w:hAnsiTheme="majorHAnsi"/>
                          <w:color w:val="0D0D0D" w:themeColor="text1" w:themeTint="F2"/>
                          <w:sz w:val="18"/>
                          <w:szCs w:val="22"/>
                        </w:rPr>
                        <w:t xml:space="preserve">September </w:t>
                      </w:r>
                      <w:r w:rsidR="00090A7D">
                        <w:rPr>
                          <w:rFonts w:asciiTheme="majorHAnsi" w:hAnsiTheme="majorHAnsi"/>
                          <w:color w:val="0D0D0D" w:themeColor="text1" w:themeTint="F2"/>
                          <w:sz w:val="18"/>
                          <w:szCs w:val="22"/>
                        </w:rPr>
                        <w:t>6</w:t>
                      </w:r>
                      <w:r w:rsidR="00016BB4">
                        <w:rPr>
                          <w:rFonts w:asciiTheme="majorHAnsi" w:hAnsiTheme="majorHAnsi"/>
                          <w:color w:val="0D0D0D" w:themeColor="text1" w:themeTint="F2"/>
                          <w:sz w:val="18"/>
                          <w:szCs w:val="22"/>
                        </w:rPr>
                        <w:t>, 2019</w:t>
                      </w:r>
                    </w:p>
                  </w:txbxContent>
                </v:textbox>
              </v:shape>
            </w:pict>
          </mc:Fallback>
        </mc:AlternateContent>
      </w:r>
    </w:p>
    <w:p w:rsidR="002C1641" w:rsidRPr="00385641" w:rsidRDefault="002C1641" w:rsidP="00040C3A">
      <w:pPr>
        <w:tabs>
          <w:tab w:val="center" w:pos="5400"/>
        </w:tabs>
        <w:suppressAutoHyphens/>
        <w:jc w:val="center"/>
        <w:rPr>
          <w:rFonts w:asciiTheme="majorHAnsi" w:hAnsiTheme="majorHAnsi"/>
          <w:sz w:val="18"/>
          <w:szCs w:val="22"/>
        </w:rPr>
      </w:pPr>
    </w:p>
    <w:p w:rsidR="002C1641" w:rsidRPr="00385641" w:rsidRDefault="002C1641" w:rsidP="00040C3A">
      <w:pPr>
        <w:tabs>
          <w:tab w:val="center" w:pos="5400"/>
        </w:tabs>
        <w:suppressAutoHyphens/>
        <w:jc w:val="center"/>
        <w:rPr>
          <w:rFonts w:asciiTheme="majorHAnsi" w:hAnsiTheme="majorHAnsi"/>
          <w:sz w:val="18"/>
          <w:szCs w:val="22"/>
        </w:rPr>
      </w:pPr>
    </w:p>
    <w:p w:rsidR="002C1641" w:rsidRPr="00385641" w:rsidRDefault="002C1641" w:rsidP="00040C3A">
      <w:pPr>
        <w:tabs>
          <w:tab w:val="center" w:pos="5400"/>
        </w:tabs>
        <w:suppressAutoHyphens/>
        <w:jc w:val="center"/>
        <w:rPr>
          <w:rFonts w:asciiTheme="majorHAnsi" w:hAnsiTheme="majorHAnsi"/>
          <w:sz w:val="18"/>
          <w:szCs w:val="22"/>
        </w:rPr>
      </w:pPr>
    </w:p>
    <w:p w:rsidR="002C1641" w:rsidRPr="00385641" w:rsidRDefault="002C1641" w:rsidP="00040C3A">
      <w:pPr>
        <w:tabs>
          <w:tab w:val="center" w:pos="5400"/>
        </w:tabs>
        <w:suppressAutoHyphens/>
        <w:jc w:val="center"/>
        <w:rPr>
          <w:rFonts w:asciiTheme="majorHAnsi" w:hAnsiTheme="majorHAnsi"/>
          <w:sz w:val="18"/>
          <w:szCs w:val="22"/>
        </w:rPr>
      </w:pPr>
    </w:p>
    <w:p w:rsidR="002C1641" w:rsidRPr="00385641" w:rsidRDefault="003C32BC" w:rsidP="00040C3A">
      <w:pPr>
        <w:tabs>
          <w:tab w:val="center" w:pos="5400"/>
        </w:tabs>
        <w:suppressAutoHyphens/>
        <w:jc w:val="center"/>
        <w:rPr>
          <w:rFonts w:asciiTheme="majorHAnsi" w:hAnsiTheme="majorHAnsi"/>
          <w:sz w:val="18"/>
          <w:szCs w:val="22"/>
        </w:rPr>
      </w:pPr>
      <w:r w:rsidRPr="00385641">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3DB1B65A" wp14:editId="65AD7369">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016BB4">
                              <w:rPr>
                                <w:rFonts w:asciiTheme="majorHAnsi" w:hAnsiTheme="majorHAnsi"/>
                                <w:color w:val="595959" w:themeColor="text1" w:themeTint="A6"/>
                                <w:sz w:val="18"/>
                              </w:rPr>
                              <w:t xml:space="preserve">IACHR, Report No. </w:t>
                            </w:r>
                            <w:r w:rsidR="00090A7D">
                              <w:rPr>
                                <w:rFonts w:asciiTheme="majorHAnsi" w:hAnsiTheme="majorHAnsi"/>
                                <w:color w:val="595959" w:themeColor="text1" w:themeTint="A6"/>
                                <w:sz w:val="18"/>
                              </w:rPr>
                              <w:t>137</w:t>
                            </w:r>
                            <w:r w:rsidRPr="003C32BC">
                              <w:rPr>
                                <w:rFonts w:asciiTheme="majorHAnsi" w:hAnsiTheme="majorHAnsi"/>
                                <w:color w:val="595959" w:themeColor="text1" w:themeTint="A6"/>
                                <w:sz w:val="18"/>
                              </w:rPr>
                              <w:t>/</w:t>
                            </w:r>
                            <w:r w:rsidR="00016BB4">
                              <w:rPr>
                                <w:rFonts w:asciiTheme="majorHAnsi" w:hAnsiTheme="majorHAnsi"/>
                                <w:color w:val="595959" w:themeColor="text1" w:themeTint="A6"/>
                                <w:sz w:val="18"/>
                              </w:rPr>
                              <w:t>2019</w:t>
                            </w:r>
                            <w:r w:rsidRPr="003C32BC">
                              <w:rPr>
                                <w:rFonts w:asciiTheme="majorHAnsi" w:hAnsiTheme="majorHAnsi"/>
                                <w:color w:val="595959" w:themeColor="text1" w:themeTint="A6"/>
                                <w:sz w:val="18"/>
                              </w:rPr>
                              <w:t>,</w:t>
                            </w:r>
                            <w:r w:rsidR="00016BB4">
                              <w:rPr>
                                <w:rFonts w:asciiTheme="majorHAnsi" w:hAnsiTheme="majorHAnsi"/>
                                <w:color w:val="595959" w:themeColor="text1" w:themeTint="A6"/>
                                <w:sz w:val="18"/>
                              </w:rPr>
                              <w:t xml:space="preserve"> Case 12.233</w:t>
                            </w:r>
                            <w:r w:rsidRPr="003C32BC">
                              <w:rPr>
                                <w:rFonts w:asciiTheme="majorHAnsi" w:hAnsiTheme="majorHAnsi"/>
                                <w:color w:val="595959" w:themeColor="text1" w:themeTint="A6"/>
                                <w:sz w:val="18"/>
                              </w:rPr>
                              <w:t xml:space="preserve">. Friendly Settlement. </w:t>
                            </w:r>
                            <w:r w:rsidR="00016BB4">
                              <w:rPr>
                                <w:rFonts w:asciiTheme="majorHAnsi" w:hAnsiTheme="majorHAnsi"/>
                                <w:color w:val="595959" w:themeColor="text1" w:themeTint="A6"/>
                                <w:sz w:val="18"/>
                              </w:rPr>
                              <w:t xml:space="preserve">Victor </w:t>
                            </w:r>
                            <w:proofErr w:type="spellStart"/>
                            <w:r w:rsidR="00016BB4">
                              <w:rPr>
                                <w:rFonts w:asciiTheme="majorHAnsi" w:hAnsiTheme="majorHAnsi"/>
                                <w:color w:val="595959" w:themeColor="text1" w:themeTint="A6"/>
                                <w:sz w:val="18"/>
                              </w:rPr>
                              <w:t>Amestica</w:t>
                            </w:r>
                            <w:proofErr w:type="spellEnd"/>
                            <w:r w:rsidR="00016BB4">
                              <w:rPr>
                                <w:rFonts w:asciiTheme="majorHAnsi" w:hAnsiTheme="majorHAnsi"/>
                                <w:color w:val="595959" w:themeColor="text1" w:themeTint="A6"/>
                                <w:sz w:val="18"/>
                              </w:rPr>
                              <w:t xml:space="preserve"> Moreno and others</w:t>
                            </w:r>
                            <w:r w:rsidRPr="003C32BC">
                              <w:rPr>
                                <w:rFonts w:asciiTheme="majorHAnsi" w:hAnsiTheme="majorHAnsi"/>
                                <w:color w:val="595959" w:themeColor="text1" w:themeTint="A6"/>
                                <w:sz w:val="18"/>
                              </w:rPr>
                              <w:t xml:space="preserve">. </w:t>
                            </w:r>
                            <w:r w:rsidR="00016BB4">
                              <w:rPr>
                                <w:rFonts w:asciiTheme="majorHAnsi" w:hAnsiTheme="majorHAnsi"/>
                                <w:color w:val="595959" w:themeColor="text1" w:themeTint="A6"/>
                                <w:sz w:val="18"/>
                              </w:rPr>
                              <w:t>Chile. September</w:t>
                            </w:r>
                            <w:r w:rsidR="00090A7D">
                              <w:rPr>
                                <w:rFonts w:asciiTheme="majorHAnsi" w:hAnsiTheme="majorHAnsi"/>
                                <w:color w:val="595959" w:themeColor="text1" w:themeTint="A6"/>
                                <w:sz w:val="18"/>
                              </w:rPr>
                              <w:t xml:space="preserve"> 6</w:t>
                            </w:r>
                            <w:r w:rsidR="00016BB4">
                              <w:rPr>
                                <w:rFonts w:asciiTheme="majorHAnsi" w:hAnsiTheme="majorHAnsi"/>
                                <w:color w:val="595959" w:themeColor="text1" w:themeTint="A6"/>
                                <w:sz w:val="18"/>
                              </w:rPr>
                              <w:t>, 2019</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DB1B65A"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016BB4">
                        <w:rPr>
                          <w:rFonts w:asciiTheme="majorHAnsi" w:hAnsiTheme="majorHAnsi"/>
                          <w:color w:val="595959" w:themeColor="text1" w:themeTint="A6"/>
                          <w:sz w:val="18"/>
                        </w:rPr>
                        <w:t xml:space="preserve">IACHR, Report No. </w:t>
                      </w:r>
                      <w:r w:rsidR="00090A7D">
                        <w:rPr>
                          <w:rFonts w:asciiTheme="majorHAnsi" w:hAnsiTheme="majorHAnsi"/>
                          <w:color w:val="595959" w:themeColor="text1" w:themeTint="A6"/>
                          <w:sz w:val="18"/>
                        </w:rPr>
                        <w:t>137</w:t>
                      </w:r>
                      <w:r w:rsidRPr="003C32BC">
                        <w:rPr>
                          <w:rFonts w:asciiTheme="majorHAnsi" w:hAnsiTheme="majorHAnsi"/>
                          <w:color w:val="595959" w:themeColor="text1" w:themeTint="A6"/>
                          <w:sz w:val="18"/>
                        </w:rPr>
                        <w:t>/</w:t>
                      </w:r>
                      <w:r w:rsidR="00016BB4">
                        <w:rPr>
                          <w:rFonts w:asciiTheme="majorHAnsi" w:hAnsiTheme="majorHAnsi"/>
                          <w:color w:val="595959" w:themeColor="text1" w:themeTint="A6"/>
                          <w:sz w:val="18"/>
                        </w:rPr>
                        <w:t>2019</w:t>
                      </w:r>
                      <w:r w:rsidRPr="003C32BC">
                        <w:rPr>
                          <w:rFonts w:asciiTheme="majorHAnsi" w:hAnsiTheme="majorHAnsi"/>
                          <w:color w:val="595959" w:themeColor="text1" w:themeTint="A6"/>
                          <w:sz w:val="18"/>
                        </w:rPr>
                        <w:t>,</w:t>
                      </w:r>
                      <w:r w:rsidR="00016BB4">
                        <w:rPr>
                          <w:rFonts w:asciiTheme="majorHAnsi" w:hAnsiTheme="majorHAnsi"/>
                          <w:color w:val="595959" w:themeColor="text1" w:themeTint="A6"/>
                          <w:sz w:val="18"/>
                        </w:rPr>
                        <w:t xml:space="preserve"> Case 12.233</w:t>
                      </w:r>
                      <w:r w:rsidRPr="003C32BC">
                        <w:rPr>
                          <w:rFonts w:asciiTheme="majorHAnsi" w:hAnsiTheme="majorHAnsi"/>
                          <w:color w:val="595959" w:themeColor="text1" w:themeTint="A6"/>
                          <w:sz w:val="18"/>
                        </w:rPr>
                        <w:t xml:space="preserve">. Friendly Settlement. </w:t>
                      </w:r>
                      <w:r w:rsidR="00016BB4">
                        <w:rPr>
                          <w:rFonts w:asciiTheme="majorHAnsi" w:hAnsiTheme="majorHAnsi"/>
                          <w:color w:val="595959" w:themeColor="text1" w:themeTint="A6"/>
                          <w:sz w:val="18"/>
                        </w:rPr>
                        <w:t>Victor Amestica Moreno and others</w:t>
                      </w:r>
                      <w:r w:rsidRPr="003C32BC">
                        <w:rPr>
                          <w:rFonts w:asciiTheme="majorHAnsi" w:hAnsiTheme="majorHAnsi"/>
                          <w:color w:val="595959" w:themeColor="text1" w:themeTint="A6"/>
                          <w:sz w:val="18"/>
                        </w:rPr>
                        <w:t xml:space="preserve">. </w:t>
                      </w:r>
                      <w:r w:rsidR="00016BB4">
                        <w:rPr>
                          <w:rFonts w:asciiTheme="majorHAnsi" w:hAnsiTheme="majorHAnsi"/>
                          <w:color w:val="595959" w:themeColor="text1" w:themeTint="A6"/>
                          <w:sz w:val="18"/>
                        </w:rPr>
                        <w:t>Chile. September</w:t>
                      </w:r>
                      <w:r w:rsidR="00090A7D">
                        <w:rPr>
                          <w:rFonts w:asciiTheme="majorHAnsi" w:hAnsiTheme="majorHAnsi"/>
                          <w:color w:val="595959" w:themeColor="text1" w:themeTint="A6"/>
                          <w:sz w:val="18"/>
                        </w:rPr>
                        <w:t xml:space="preserve"> 6</w:t>
                      </w:r>
                      <w:r w:rsidR="00016BB4">
                        <w:rPr>
                          <w:rFonts w:asciiTheme="majorHAnsi" w:hAnsiTheme="majorHAnsi"/>
                          <w:color w:val="595959" w:themeColor="text1" w:themeTint="A6"/>
                          <w:sz w:val="18"/>
                        </w:rPr>
                        <w:t>, 2019</w:t>
                      </w:r>
                      <w:r w:rsidRPr="007607C4">
                        <w:rPr>
                          <w:rFonts w:asciiTheme="majorHAnsi" w:hAnsiTheme="majorHAnsi"/>
                          <w:color w:val="595959" w:themeColor="text1" w:themeTint="A6"/>
                          <w:sz w:val="18"/>
                        </w:rPr>
                        <w:t>.</w:t>
                      </w:r>
                    </w:p>
                  </w:txbxContent>
                </v:textbox>
              </v:shape>
            </w:pict>
          </mc:Fallback>
        </mc:AlternateContent>
      </w:r>
    </w:p>
    <w:p w:rsidR="002C1641" w:rsidRPr="00385641" w:rsidRDefault="002C1641" w:rsidP="00040C3A">
      <w:pPr>
        <w:tabs>
          <w:tab w:val="center" w:pos="5400"/>
        </w:tabs>
        <w:suppressAutoHyphens/>
        <w:jc w:val="center"/>
        <w:rPr>
          <w:rFonts w:asciiTheme="majorHAnsi" w:hAnsiTheme="majorHAnsi"/>
          <w:sz w:val="18"/>
          <w:szCs w:val="22"/>
        </w:rPr>
      </w:pPr>
    </w:p>
    <w:p w:rsidR="002C1641" w:rsidRPr="00385641" w:rsidRDefault="002C1641" w:rsidP="00040C3A">
      <w:pPr>
        <w:tabs>
          <w:tab w:val="center" w:pos="5400"/>
        </w:tabs>
        <w:suppressAutoHyphens/>
        <w:jc w:val="center"/>
        <w:rPr>
          <w:rFonts w:asciiTheme="majorHAnsi" w:hAnsiTheme="majorHAnsi"/>
          <w:sz w:val="18"/>
          <w:szCs w:val="22"/>
        </w:rPr>
      </w:pPr>
    </w:p>
    <w:p w:rsidR="003C32BC" w:rsidRPr="00385641" w:rsidRDefault="003C32BC" w:rsidP="003C32BC">
      <w:pPr>
        <w:tabs>
          <w:tab w:val="center" w:pos="5400"/>
        </w:tabs>
        <w:suppressAutoHyphens/>
        <w:jc w:val="center"/>
        <w:rPr>
          <w:rFonts w:asciiTheme="majorHAnsi" w:hAnsiTheme="majorHAnsi"/>
          <w:sz w:val="18"/>
          <w:szCs w:val="22"/>
        </w:rPr>
      </w:pPr>
    </w:p>
    <w:p w:rsidR="003C32BC" w:rsidRPr="00385641" w:rsidRDefault="006311DA" w:rsidP="003C32BC">
      <w:pPr>
        <w:tabs>
          <w:tab w:val="center" w:pos="5400"/>
        </w:tabs>
        <w:suppressAutoHyphens/>
        <w:jc w:val="center"/>
        <w:rPr>
          <w:rFonts w:asciiTheme="majorHAnsi" w:hAnsiTheme="majorHAnsi"/>
          <w:sz w:val="18"/>
          <w:szCs w:val="22"/>
        </w:rPr>
      </w:pPr>
      <w:r w:rsidRPr="00385641">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4A315F62" wp14:editId="6324FD14">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A315F62"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85641">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1D0DD73D" wp14:editId="3706F303">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6003C4C1" wp14:editId="0BA01920">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D0DD73D"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6003C4C1" wp14:editId="0BA01920">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385641" w:rsidRDefault="007607C4" w:rsidP="003C32BC">
      <w:pPr>
        <w:tabs>
          <w:tab w:val="center" w:pos="5400"/>
        </w:tabs>
        <w:suppressAutoHyphens/>
        <w:jc w:val="center"/>
        <w:rPr>
          <w:rFonts w:asciiTheme="majorHAnsi" w:hAnsiTheme="majorHAnsi"/>
          <w:sz w:val="18"/>
          <w:szCs w:val="22"/>
        </w:rPr>
        <w:sectPr w:rsidR="007607C4" w:rsidRPr="00385641"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rsidR="00311A32" w:rsidRPr="00090A7D" w:rsidRDefault="00311A32" w:rsidP="00311A32">
      <w:pPr>
        <w:tabs>
          <w:tab w:val="center" w:pos="5400"/>
        </w:tabs>
        <w:suppressAutoHyphens/>
        <w:jc w:val="center"/>
        <w:rPr>
          <w:rFonts w:asciiTheme="majorHAnsi" w:hAnsiTheme="majorHAnsi"/>
          <w:b/>
          <w:sz w:val="18"/>
          <w:szCs w:val="18"/>
        </w:rPr>
      </w:pPr>
      <w:r w:rsidRPr="00090A7D">
        <w:rPr>
          <w:rFonts w:asciiTheme="majorHAnsi" w:hAnsiTheme="majorHAnsi"/>
          <w:b/>
          <w:sz w:val="18"/>
          <w:szCs w:val="18"/>
        </w:rPr>
        <w:lastRenderedPageBreak/>
        <w:t>REPORT No.</w:t>
      </w:r>
      <w:r w:rsidR="00090A7D" w:rsidRPr="00090A7D">
        <w:rPr>
          <w:rFonts w:asciiTheme="majorHAnsi" w:hAnsiTheme="majorHAnsi"/>
          <w:b/>
          <w:sz w:val="18"/>
          <w:szCs w:val="18"/>
        </w:rPr>
        <w:t>137</w:t>
      </w:r>
      <w:r w:rsidRPr="00090A7D">
        <w:rPr>
          <w:rFonts w:asciiTheme="majorHAnsi" w:hAnsiTheme="majorHAnsi"/>
          <w:b/>
          <w:sz w:val="18"/>
          <w:szCs w:val="18"/>
        </w:rPr>
        <w:t>/19</w:t>
      </w:r>
    </w:p>
    <w:p w:rsidR="00311A32" w:rsidRPr="00090A7D" w:rsidRDefault="00311A32" w:rsidP="00311A32">
      <w:pPr>
        <w:tabs>
          <w:tab w:val="center" w:pos="5400"/>
        </w:tabs>
        <w:suppressAutoHyphens/>
        <w:jc w:val="center"/>
        <w:rPr>
          <w:rFonts w:asciiTheme="majorHAnsi" w:hAnsiTheme="majorHAnsi"/>
          <w:b/>
          <w:sz w:val="18"/>
          <w:szCs w:val="18"/>
        </w:rPr>
      </w:pPr>
      <w:r w:rsidRPr="00090A7D">
        <w:rPr>
          <w:rFonts w:asciiTheme="majorHAnsi" w:hAnsiTheme="majorHAnsi"/>
          <w:b/>
          <w:sz w:val="18"/>
          <w:szCs w:val="18"/>
        </w:rPr>
        <w:t>CA</w:t>
      </w:r>
      <w:bookmarkStart w:id="0" w:name="_GoBack"/>
      <w:bookmarkEnd w:id="0"/>
      <w:r w:rsidRPr="00090A7D">
        <w:rPr>
          <w:rFonts w:asciiTheme="majorHAnsi" w:hAnsiTheme="majorHAnsi"/>
          <w:b/>
          <w:sz w:val="18"/>
          <w:szCs w:val="18"/>
        </w:rPr>
        <w:t>SE 12.233</w:t>
      </w:r>
    </w:p>
    <w:p w:rsidR="00311A32" w:rsidRPr="00090A7D" w:rsidRDefault="00311A32" w:rsidP="00311A32">
      <w:pPr>
        <w:tabs>
          <w:tab w:val="center" w:pos="5400"/>
        </w:tabs>
        <w:suppressAutoHyphens/>
        <w:jc w:val="center"/>
        <w:rPr>
          <w:rFonts w:asciiTheme="majorHAnsi" w:hAnsiTheme="majorHAnsi"/>
          <w:sz w:val="18"/>
          <w:szCs w:val="18"/>
        </w:rPr>
      </w:pPr>
      <w:r w:rsidRPr="00090A7D">
        <w:rPr>
          <w:rFonts w:asciiTheme="majorHAnsi" w:hAnsiTheme="majorHAnsi"/>
          <w:sz w:val="18"/>
          <w:szCs w:val="18"/>
        </w:rPr>
        <w:t>FRIENDLY SETTLEMENT</w:t>
      </w:r>
    </w:p>
    <w:p w:rsidR="00311A32" w:rsidRPr="004B77E5" w:rsidRDefault="00311A32" w:rsidP="00311A32">
      <w:pPr>
        <w:tabs>
          <w:tab w:val="center" w:pos="5400"/>
        </w:tabs>
        <w:suppressAutoHyphens/>
        <w:jc w:val="center"/>
        <w:rPr>
          <w:rFonts w:asciiTheme="majorHAnsi" w:hAnsiTheme="majorHAnsi"/>
          <w:sz w:val="18"/>
          <w:szCs w:val="18"/>
        </w:rPr>
      </w:pPr>
      <w:r w:rsidRPr="004B77E5">
        <w:rPr>
          <w:rFonts w:asciiTheme="majorHAnsi" w:hAnsiTheme="majorHAnsi"/>
          <w:sz w:val="18"/>
          <w:szCs w:val="18"/>
        </w:rPr>
        <w:t>VÍCTOR AMÉSTICA MORENO ET AL.</w:t>
      </w:r>
    </w:p>
    <w:p w:rsidR="00311A32" w:rsidRPr="00090A7D" w:rsidRDefault="00311A32" w:rsidP="00311A32">
      <w:pPr>
        <w:tabs>
          <w:tab w:val="center" w:pos="5400"/>
        </w:tabs>
        <w:suppressAutoHyphens/>
        <w:jc w:val="center"/>
        <w:rPr>
          <w:rFonts w:asciiTheme="majorHAnsi" w:hAnsiTheme="majorHAnsi"/>
          <w:sz w:val="18"/>
          <w:szCs w:val="18"/>
        </w:rPr>
      </w:pPr>
      <w:r w:rsidRPr="00090A7D">
        <w:rPr>
          <w:rFonts w:asciiTheme="majorHAnsi" w:hAnsiTheme="majorHAnsi"/>
          <w:sz w:val="18"/>
          <w:szCs w:val="18"/>
        </w:rPr>
        <w:t>CHILE</w:t>
      </w:r>
    </w:p>
    <w:p w:rsidR="00311A32" w:rsidRPr="00090A7D" w:rsidRDefault="00016BB4" w:rsidP="00311A32">
      <w:pPr>
        <w:tabs>
          <w:tab w:val="center" w:pos="5400"/>
        </w:tabs>
        <w:suppressAutoHyphens/>
        <w:jc w:val="center"/>
        <w:rPr>
          <w:rFonts w:asciiTheme="majorHAnsi" w:hAnsiTheme="majorHAnsi"/>
          <w:sz w:val="18"/>
          <w:szCs w:val="18"/>
        </w:rPr>
      </w:pPr>
      <w:r w:rsidRPr="00090A7D">
        <w:rPr>
          <w:rFonts w:asciiTheme="majorHAnsi" w:hAnsiTheme="majorHAnsi"/>
          <w:sz w:val="18"/>
          <w:szCs w:val="18"/>
        </w:rPr>
        <w:t>SEPTEMBER</w:t>
      </w:r>
      <w:r w:rsidR="00311A32" w:rsidRPr="00090A7D">
        <w:rPr>
          <w:rFonts w:asciiTheme="majorHAnsi" w:hAnsiTheme="majorHAnsi"/>
          <w:sz w:val="18"/>
          <w:szCs w:val="18"/>
        </w:rPr>
        <w:t xml:space="preserve"> </w:t>
      </w:r>
      <w:r w:rsidR="00090A7D" w:rsidRPr="00090A7D">
        <w:rPr>
          <w:rFonts w:asciiTheme="majorHAnsi" w:hAnsiTheme="majorHAnsi"/>
          <w:sz w:val="18"/>
          <w:szCs w:val="18"/>
        </w:rPr>
        <w:t>6</w:t>
      </w:r>
      <w:r w:rsidR="00311A32" w:rsidRPr="00090A7D">
        <w:rPr>
          <w:rFonts w:asciiTheme="majorHAnsi" w:hAnsiTheme="majorHAnsi"/>
          <w:sz w:val="18"/>
          <w:szCs w:val="18"/>
        </w:rPr>
        <w:t>, 2019</w:t>
      </w:r>
      <w:r w:rsidR="00311A32" w:rsidRPr="00090A7D">
        <w:rPr>
          <w:rStyle w:val="FootnoteReference"/>
          <w:rFonts w:asciiTheme="majorHAnsi" w:hAnsiTheme="majorHAnsi"/>
          <w:sz w:val="18"/>
          <w:szCs w:val="18"/>
        </w:rPr>
        <w:footnoteReference w:id="2"/>
      </w:r>
    </w:p>
    <w:p w:rsidR="00311A32" w:rsidRPr="00385641" w:rsidRDefault="00311A32" w:rsidP="00311A32">
      <w:pPr>
        <w:tabs>
          <w:tab w:val="center" w:pos="5400"/>
        </w:tabs>
        <w:suppressAutoHyphens/>
        <w:jc w:val="center"/>
        <w:rPr>
          <w:rFonts w:asciiTheme="majorHAnsi" w:hAnsiTheme="majorHAnsi"/>
          <w:sz w:val="20"/>
          <w:szCs w:val="20"/>
          <w:highlight w:val="green"/>
        </w:rPr>
      </w:pPr>
    </w:p>
    <w:p w:rsidR="00311A32" w:rsidRPr="00385641" w:rsidRDefault="00311A32" w:rsidP="00311A3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rPr>
          <w:rFonts w:asciiTheme="majorHAnsi" w:hAnsiTheme="majorHAnsi"/>
          <w:b/>
          <w:color w:val="auto"/>
          <w:sz w:val="20"/>
          <w:szCs w:val="20"/>
        </w:rPr>
      </w:pPr>
      <w:r w:rsidRPr="00385641">
        <w:rPr>
          <w:rFonts w:asciiTheme="majorHAnsi" w:hAnsiTheme="majorHAnsi"/>
          <w:b/>
          <w:color w:val="auto"/>
          <w:sz w:val="20"/>
          <w:szCs w:val="20"/>
        </w:rPr>
        <w:t xml:space="preserve">SUMMARY AND PROCEDURAL ASPECTS RELATED TO THE FRIENDLY SETTLEMENT PROCESS </w:t>
      </w:r>
    </w:p>
    <w:p w:rsidR="00311A32" w:rsidRPr="00385641" w:rsidRDefault="00311A32" w:rsidP="00311A32">
      <w:pPr>
        <w:ind w:firstLine="720"/>
        <w:rPr>
          <w:rFonts w:asciiTheme="majorHAnsi" w:hAnsiTheme="majorHAnsi"/>
          <w:b/>
          <w:sz w:val="20"/>
          <w:szCs w:val="20"/>
          <w:highlight w:val="cyan"/>
        </w:rPr>
      </w:pPr>
    </w:p>
    <w:p w:rsidR="00311A32" w:rsidRPr="00385641" w:rsidRDefault="00311A32" w:rsidP="00311A3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 w:val="num" w:pos="720"/>
        </w:tabs>
        <w:ind w:left="0" w:firstLine="720"/>
        <w:jc w:val="both"/>
        <w:rPr>
          <w:rFonts w:asciiTheme="majorHAnsi" w:hAnsiTheme="majorHAnsi" w:cs="Arial"/>
          <w:sz w:val="20"/>
          <w:szCs w:val="20"/>
        </w:rPr>
      </w:pPr>
      <w:bookmarkStart w:id="1" w:name="_Hlk17782032"/>
      <w:r w:rsidRPr="00385641">
        <w:rPr>
          <w:rFonts w:asciiTheme="majorHAnsi" w:hAnsiTheme="majorHAnsi" w:cs="Arial"/>
          <w:sz w:val="20"/>
          <w:szCs w:val="20"/>
        </w:rPr>
        <w:t>On November 1, 1999, the Inter-American Commission on Human Rights (hereinafter</w:t>
      </w:r>
      <w:r w:rsidRPr="00385641">
        <w:rPr>
          <w:rFonts w:asciiTheme="majorHAnsi" w:hAnsiTheme="majorHAnsi"/>
          <w:sz w:val="20"/>
          <w:szCs w:val="20"/>
        </w:rPr>
        <w:t xml:space="preserve"> “the Commission” or the “IACHR”) received a petition from the</w:t>
      </w:r>
      <w:r w:rsidRPr="00385641">
        <w:rPr>
          <w:rFonts w:asciiTheme="majorHAnsi" w:hAnsiTheme="majorHAnsi" w:cs="Arial"/>
          <w:sz w:val="20"/>
          <w:szCs w:val="20"/>
        </w:rPr>
        <w:t xml:space="preserve"> </w:t>
      </w:r>
      <w:proofErr w:type="spellStart"/>
      <w:r w:rsidRPr="00385641">
        <w:rPr>
          <w:rFonts w:asciiTheme="majorHAnsi" w:hAnsiTheme="majorHAnsi" w:cs="Arial"/>
          <w:i/>
          <w:iCs/>
          <w:sz w:val="20"/>
          <w:szCs w:val="20"/>
        </w:rPr>
        <w:t>Corporación</w:t>
      </w:r>
      <w:proofErr w:type="spellEnd"/>
      <w:r w:rsidRPr="00385641">
        <w:rPr>
          <w:rFonts w:asciiTheme="majorHAnsi" w:hAnsiTheme="majorHAnsi" w:cs="Arial"/>
          <w:i/>
          <w:iCs/>
          <w:sz w:val="20"/>
          <w:szCs w:val="20"/>
        </w:rPr>
        <w:t xml:space="preserve"> de </w:t>
      </w:r>
      <w:proofErr w:type="spellStart"/>
      <w:r w:rsidRPr="00385641">
        <w:rPr>
          <w:rFonts w:asciiTheme="majorHAnsi" w:hAnsiTheme="majorHAnsi" w:cs="Arial"/>
          <w:i/>
          <w:iCs/>
          <w:sz w:val="20"/>
          <w:szCs w:val="20"/>
        </w:rPr>
        <w:t>Promoción</w:t>
      </w:r>
      <w:proofErr w:type="spellEnd"/>
      <w:r w:rsidRPr="00385641">
        <w:rPr>
          <w:rFonts w:asciiTheme="majorHAnsi" w:hAnsiTheme="majorHAnsi" w:cs="Arial"/>
          <w:i/>
          <w:iCs/>
          <w:sz w:val="20"/>
          <w:szCs w:val="20"/>
        </w:rPr>
        <w:t xml:space="preserve"> de la </w:t>
      </w:r>
      <w:proofErr w:type="spellStart"/>
      <w:r w:rsidRPr="00385641">
        <w:rPr>
          <w:rFonts w:asciiTheme="majorHAnsi" w:hAnsiTheme="majorHAnsi" w:cs="Arial"/>
          <w:i/>
          <w:iCs/>
          <w:sz w:val="20"/>
          <w:szCs w:val="20"/>
        </w:rPr>
        <w:t>Defensa</w:t>
      </w:r>
      <w:proofErr w:type="spellEnd"/>
      <w:r w:rsidRPr="00385641">
        <w:rPr>
          <w:rFonts w:asciiTheme="majorHAnsi" w:hAnsiTheme="majorHAnsi" w:cs="Arial"/>
          <w:i/>
          <w:iCs/>
          <w:sz w:val="20"/>
          <w:szCs w:val="20"/>
        </w:rPr>
        <w:t xml:space="preserve"> de </w:t>
      </w:r>
      <w:proofErr w:type="spellStart"/>
      <w:r w:rsidRPr="00385641">
        <w:rPr>
          <w:rFonts w:asciiTheme="majorHAnsi" w:hAnsiTheme="majorHAnsi" w:cs="Arial"/>
          <w:i/>
          <w:iCs/>
          <w:sz w:val="20"/>
          <w:szCs w:val="20"/>
        </w:rPr>
        <w:t>los</w:t>
      </w:r>
      <w:proofErr w:type="spellEnd"/>
      <w:r w:rsidRPr="00385641">
        <w:rPr>
          <w:rFonts w:asciiTheme="majorHAnsi" w:hAnsiTheme="majorHAnsi" w:cs="Arial"/>
          <w:i/>
          <w:iCs/>
          <w:sz w:val="20"/>
          <w:szCs w:val="20"/>
        </w:rPr>
        <w:t xml:space="preserve"> Derechos del Pueblo</w:t>
      </w:r>
      <w:r w:rsidRPr="00385641">
        <w:rPr>
          <w:rFonts w:asciiTheme="majorHAnsi" w:hAnsiTheme="majorHAnsi" w:cs="Arial"/>
          <w:sz w:val="20"/>
          <w:szCs w:val="20"/>
        </w:rPr>
        <w:t xml:space="preserve"> [Corporation for the Promotion and Defense of Human Rights], or CODEPU (hereinafter “the petitioners”), against the Republic of Chile (hereinafter “the State” or “the Chilean State”), alleging that Víctor </w:t>
      </w:r>
      <w:proofErr w:type="spellStart"/>
      <w:r w:rsidRPr="00385641">
        <w:rPr>
          <w:rFonts w:asciiTheme="majorHAnsi" w:hAnsiTheme="majorHAnsi" w:cs="Arial"/>
          <w:sz w:val="20"/>
          <w:szCs w:val="20"/>
        </w:rPr>
        <w:t>Améstica</w:t>
      </w:r>
      <w:proofErr w:type="spellEnd"/>
      <w:r w:rsidRPr="00385641">
        <w:rPr>
          <w:rFonts w:asciiTheme="majorHAnsi" w:hAnsiTheme="majorHAnsi" w:cs="Arial"/>
          <w:sz w:val="20"/>
          <w:szCs w:val="20"/>
        </w:rPr>
        <w:t xml:space="preserve"> Moreno, Alberto Araneda Muñoz, </w:t>
      </w:r>
      <w:proofErr w:type="spellStart"/>
      <w:r w:rsidRPr="00385641">
        <w:rPr>
          <w:rFonts w:asciiTheme="majorHAnsi" w:hAnsiTheme="majorHAnsi" w:cs="Arial"/>
          <w:sz w:val="20"/>
          <w:szCs w:val="20"/>
        </w:rPr>
        <w:t>Héctor</w:t>
      </w:r>
      <w:proofErr w:type="spellEnd"/>
      <w:r w:rsidRPr="00385641">
        <w:rPr>
          <w:rFonts w:asciiTheme="majorHAnsi" w:hAnsiTheme="majorHAnsi" w:cs="Arial"/>
          <w:sz w:val="20"/>
          <w:szCs w:val="20"/>
        </w:rPr>
        <w:t xml:space="preserve"> </w:t>
      </w:r>
      <w:proofErr w:type="spellStart"/>
      <w:r w:rsidRPr="00385641">
        <w:rPr>
          <w:rFonts w:asciiTheme="majorHAnsi" w:hAnsiTheme="majorHAnsi" w:cs="Arial"/>
          <w:sz w:val="20"/>
          <w:szCs w:val="20"/>
        </w:rPr>
        <w:t>Martínez</w:t>
      </w:r>
      <w:proofErr w:type="spellEnd"/>
      <w:r w:rsidRPr="00385641">
        <w:rPr>
          <w:rFonts w:asciiTheme="majorHAnsi" w:hAnsiTheme="majorHAnsi" w:cs="Arial"/>
          <w:sz w:val="20"/>
          <w:szCs w:val="20"/>
        </w:rPr>
        <w:t xml:space="preserve"> </w:t>
      </w:r>
      <w:r w:rsidR="00016BB4" w:rsidRPr="00385641">
        <w:rPr>
          <w:rFonts w:asciiTheme="majorHAnsi" w:hAnsiTheme="majorHAnsi" w:cs="Arial"/>
          <w:sz w:val="20"/>
          <w:szCs w:val="20"/>
        </w:rPr>
        <w:t>Vasquez</w:t>
      </w:r>
      <w:r w:rsidRPr="00385641">
        <w:rPr>
          <w:rFonts w:asciiTheme="majorHAnsi" w:hAnsiTheme="majorHAnsi" w:cs="Arial"/>
          <w:sz w:val="20"/>
          <w:szCs w:val="20"/>
        </w:rPr>
        <w:t xml:space="preserve">, Oscar </w:t>
      </w:r>
      <w:r w:rsidR="00016BB4" w:rsidRPr="00385641">
        <w:rPr>
          <w:rFonts w:asciiTheme="majorHAnsi" w:hAnsiTheme="majorHAnsi" w:cs="Arial"/>
          <w:sz w:val="20"/>
          <w:szCs w:val="20"/>
        </w:rPr>
        <w:t>Sepulveda</w:t>
      </w:r>
      <w:r w:rsidRPr="00385641">
        <w:rPr>
          <w:rFonts w:asciiTheme="majorHAnsi" w:hAnsiTheme="majorHAnsi" w:cs="Arial"/>
          <w:sz w:val="20"/>
          <w:szCs w:val="20"/>
        </w:rPr>
        <w:t xml:space="preserve"> </w:t>
      </w:r>
      <w:r w:rsidR="00016BB4" w:rsidRPr="00385641">
        <w:rPr>
          <w:rFonts w:asciiTheme="majorHAnsi" w:hAnsiTheme="majorHAnsi" w:cs="Arial"/>
          <w:sz w:val="20"/>
          <w:szCs w:val="20"/>
        </w:rPr>
        <w:t>Alarcon</w:t>
      </w:r>
      <w:r w:rsidRPr="00385641">
        <w:rPr>
          <w:rFonts w:asciiTheme="majorHAnsi" w:hAnsiTheme="majorHAnsi" w:cs="Arial"/>
          <w:sz w:val="20"/>
          <w:szCs w:val="20"/>
        </w:rPr>
        <w:t xml:space="preserve">, and Alejandro César Sánchez Canales—all members of </w:t>
      </w:r>
      <w:proofErr w:type="spellStart"/>
      <w:r w:rsidRPr="00385641">
        <w:rPr>
          <w:rFonts w:asciiTheme="majorHAnsi" w:hAnsiTheme="majorHAnsi" w:cs="Arial"/>
          <w:i/>
          <w:iCs/>
          <w:sz w:val="20"/>
          <w:szCs w:val="20"/>
        </w:rPr>
        <w:t>Carabineros</w:t>
      </w:r>
      <w:proofErr w:type="spellEnd"/>
      <w:r w:rsidRPr="00385641">
        <w:rPr>
          <w:rFonts w:asciiTheme="majorHAnsi" w:hAnsiTheme="majorHAnsi" w:cs="Arial"/>
          <w:i/>
          <w:iCs/>
          <w:sz w:val="20"/>
          <w:szCs w:val="20"/>
        </w:rPr>
        <w:t xml:space="preserve"> de Chile</w:t>
      </w:r>
      <w:r w:rsidRPr="00385641">
        <w:rPr>
          <w:rStyle w:val="FootnoteReference"/>
          <w:rFonts w:asciiTheme="majorHAnsi" w:hAnsiTheme="majorHAnsi" w:cs="Arial"/>
          <w:sz w:val="20"/>
          <w:szCs w:val="20"/>
        </w:rPr>
        <w:footnoteReference w:id="3"/>
      </w:r>
      <w:r w:rsidRPr="00385641">
        <w:rPr>
          <w:rFonts w:asciiTheme="majorHAnsi" w:hAnsiTheme="majorHAnsi" w:cs="Arial"/>
          <w:sz w:val="20"/>
          <w:szCs w:val="20"/>
        </w:rPr>
        <w:t xml:space="preserve"> (hereinafter “the </w:t>
      </w:r>
      <w:proofErr w:type="spellStart"/>
      <w:r w:rsidRPr="00385641">
        <w:rPr>
          <w:rFonts w:asciiTheme="majorHAnsi" w:hAnsiTheme="majorHAnsi" w:cs="Arial"/>
          <w:sz w:val="20"/>
          <w:szCs w:val="20"/>
        </w:rPr>
        <w:t>Carabineros</w:t>
      </w:r>
      <w:proofErr w:type="spellEnd"/>
      <w:r w:rsidRPr="00385641">
        <w:rPr>
          <w:rFonts w:asciiTheme="majorHAnsi" w:hAnsiTheme="majorHAnsi" w:cs="Arial"/>
          <w:sz w:val="20"/>
          <w:szCs w:val="20"/>
        </w:rPr>
        <w:t xml:space="preserve">”)—had been victims of an arbitrary evaluation process carried out by officials of the </w:t>
      </w:r>
      <w:proofErr w:type="spellStart"/>
      <w:r w:rsidRPr="00385641">
        <w:rPr>
          <w:rFonts w:asciiTheme="majorHAnsi" w:hAnsiTheme="majorHAnsi" w:cs="Arial"/>
          <w:sz w:val="20"/>
          <w:szCs w:val="20"/>
        </w:rPr>
        <w:t>Carabineros</w:t>
      </w:r>
      <w:proofErr w:type="spellEnd"/>
      <w:r w:rsidRPr="00385641">
        <w:rPr>
          <w:rFonts w:asciiTheme="majorHAnsi" w:hAnsiTheme="majorHAnsi" w:cs="Arial"/>
          <w:sz w:val="20"/>
          <w:szCs w:val="20"/>
        </w:rPr>
        <w:t xml:space="preserve">, in which their basic rights were violated, and that they had then been expelled from the institution with no substantive judicial decision having been issued regarding the violation of their rights.  They further alleged that their respective spouses, Jenny Burgos </w:t>
      </w:r>
      <w:proofErr w:type="spellStart"/>
      <w:r w:rsidRPr="00385641">
        <w:rPr>
          <w:rFonts w:asciiTheme="majorHAnsi" w:hAnsiTheme="majorHAnsi" w:cs="Arial"/>
          <w:sz w:val="20"/>
          <w:szCs w:val="20"/>
        </w:rPr>
        <w:t>Orrego</w:t>
      </w:r>
      <w:proofErr w:type="spellEnd"/>
      <w:r w:rsidRPr="00385641">
        <w:rPr>
          <w:rFonts w:asciiTheme="majorHAnsi" w:hAnsiTheme="majorHAnsi" w:cs="Arial"/>
          <w:sz w:val="20"/>
          <w:szCs w:val="20"/>
        </w:rPr>
        <w:t xml:space="preserve">, Marisol Valencia Poblete, Johanna </w:t>
      </w:r>
      <w:proofErr w:type="spellStart"/>
      <w:r w:rsidRPr="00385641">
        <w:rPr>
          <w:rFonts w:asciiTheme="majorHAnsi" w:hAnsiTheme="majorHAnsi" w:cs="Arial"/>
          <w:sz w:val="20"/>
          <w:szCs w:val="20"/>
        </w:rPr>
        <w:t>Valdebenito</w:t>
      </w:r>
      <w:proofErr w:type="spellEnd"/>
      <w:r w:rsidRPr="00385641">
        <w:rPr>
          <w:rFonts w:asciiTheme="majorHAnsi" w:hAnsiTheme="majorHAnsi" w:cs="Arial"/>
          <w:sz w:val="20"/>
          <w:szCs w:val="20"/>
        </w:rPr>
        <w:t xml:space="preserve"> Pinto, Carmen Araya Cordero, and María </w:t>
      </w:r>
      <w:proofErr w:type="spellStart"/>
      <w:r w:rsidRPr="00385641">
        <w:rPr>
          <w:rFonts w:asciiTheme="majorHAnsi" w:hAnsiTheme="majorHAnsi" w:cs="Arial"/>
          <w:sz w:val="20"/>
          <w:szCs w:val="20"/>
        </w:rPr>
        <w:t>Angélica</w:t>
      </w:r>
      <w:proofErr w:type="spellEnd"/>
      <w:r w:rsidRPr="00385641">
        <w:rPr>
          <w:rFonts w:asciiTheme="majorHAnsi" w:hAnsiTheme="majorHAnsi" w:cs="Arial"/>
          <w:sz w:val="20"/>
          <w:szCs w:val="20"/>
        </w:rPr>
        <w:t xml:space="preserve"> </w:t>
      </w:r>
      <w:proofErr w:type="spellStart"/>
      <w:r w:rsidRPr="00385641">
        <w:rPr>
          <w:rFonts w:asciiTheme="majorHAnsi" w:hAnsiTheme="majorHAnsi" w:cs="Arial"/>
          <w:sz w:val="20"/>
          <w:szCs w:val="20"/>
        </w:rPr>
        <w:t>Olguín</w:t>
      </w:r>
      <w:proofErr w:type="spellEnd"/>
      <w:r w:rsidRPr="00385641">
        <w:rPr>
          <w:rFonts w:asciiTheme="majorHAnsi" w:hAnsiTheme="majorHAnsi" w:cs="Arial"/>
          <w:sz w:val="20"/>
          <w:szCs w:val="20"/>
        </w:rPr>
        <w:t xml:space="preserve"> (hereinafter “the spouses of the </w:t>
      </w:r>
      <w:proofErr w:type="spellStart"/>
      <w:r w:rsidRPr="00385641">
        <w:rPr>
          <w:rFonts w:asciiTheme="majorHAnsi" w:hAnsiTheme="majorHAnsi" w:cs="Arial"/>
          <w:sz w:val="20"/>
          <w:szCs w:val="20"/>
        </w:rPr>
        <w:t>Carabineros</w:t>
      </w:r>
      <w:proofErr w:type="spellEnd"/>
      <w:r w:rsidRPr="00385641">
        <w:rPr>
          <w:rFonts w:asciiTheme="majorHAnsi" w:hAnsiTheme="majorHAnsi" w:cs="Arial"/>
          <w:sz w:val="20"/>
          <w:szCs w:val="20"/>
        </w:rPr>
        <w:t>”), were discriminated against for being their wives.</w:t>
      </w: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num" w:pos="4320"/>
        </w:tabs>
        <w:ind w:firstLine="720"/>
        <w:jc w:val="both"/>
        <w:rPr>
          <w:rFonts w:asciiTheme="majorHAnsi" w:hAnsiTheme="majorHAnsi" w:cs="Arial"/>
          <w:sz w:val="20"/>
          <w:szCs w:val="20"/>
          <w:highlight w:val="cyan"/>
        </w:rPr>
      </w:pPr>
    </w:p>
    <w:p w:rsidR="00311A32" w:rsidRPr="00385641" w:rsidRDefault="00311A32" w:rsidP="00311A3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 w:val="num" w:pos="720"/>
        </w:tabs>
        <w:ind w:left="0" w:firstLine="720"/>
        <w:jc w:val="both"/>
        <w:rPr>
          <w:rFonts w:asciiTheme="majorHAnsi" w:hAnsiTheme="majorHAnsi" w:cs="Arial"/>
          <w:sz w:val="20"/>
          <w:szCs w:val="20"/>
        </w:rPr>
      </w:pPr>
      <w:r w:rsidRPr="00385641">
        <w:rPr>
          <w:rFonts w:asciiTheme="majorHAnsi" w:hAnsiTheme="majorHAnsi" w:cs="Arial"/>
          <w:sz w:val="20"/>
          <w:szCs w:val="20"/>
        </w:rPr>
        <w:t>The petitioners alleged that the State was responsible for violating the right to privacy, the right of assembly, the right to private property, the right to equal protection, and the right to judicial protection, protected in Articles 11(2), 15, 21, 24, and</w:t>
      </w:r>
      <w:r w:rsidR="00016BB4" w:rsidRPr="00385641">
        <w:rPr>
          <w:rFonts w:asciiTheme="majorHAnsi" w:hAnsiTheme="majorHAnsi" w:cs="Arial"/>
          <w:sz w:val="20"/>
          <w:szCs w:val="20"/>
        </w:rPr>
        <w:t xml:space="preserve"> 25</w:t>
      </w:r>
      <w:r w:rsidRPr="00385641">
        <w:rPr>
          <w:rFonts w:asciiTheme="majorHAnsi" w:hAnsiTheme="majorHAnsi" w:cs="Arial"/>
          <w:sz w:val="20"/>
          <w:szCs w:val="20"/>
        </w:rPr>
        <w:t xml:space="preserve"> of the American Convention on Human Rights (hereinafter “the Convention” or “the American Convention”).</w:t>
      </w: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firstLine="720"/>
        <w:jc w:val="both"/>
        <w:rPr>
          <w:rFonts w:asciiTheme="majorHAnsi" w:hAnsiTheme="majorHAnsi" w:cs="Arial"/>
          <w:sz w:val="20"/>
          <w:szCs w:val="20"/>
        </w:rPr>
      </w:pPr>
    </w:p>
    <w:p w:rsidR="00311A32" w:rsidRPr="00385641" w:rsidRDefault="00311A32" w:rsidP="00311A3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270"/>
          <w:tab w:val="num" w:pos="720"/>
          <w:tab w:val="left" w:pos="1440"/>
        </w:tabs>
        <w:ind w:left="0" w:firstLine="720"/>
        <w:jc w:val="both"/>
        <w:rPr>
          <w:rFonts w:asciiTheme="majorHAnsi" w:hAnsiTheme="majorHAnsi" w:cs="Arial"/>
          <w:sz w:val="20"/>
          <w:szCs w:val="20"/>
        </w:rPr>
      </w:pPr>
      <w:r w:rsidRPr="00385641">
        <w:rPr>
          <w:rFonts w:asciiTheme="majorHAnsi" w:hAnsiTheme="majorHAnsi" w:cs="Arial"/>
          <w:sz w:val="20"/>
          <w:szCs w:val="20"/>
        </w:rPr>
        <w:t>On October 10, 2003, the IACHR issued Admissibility Report No. 58/03. In its report, the IACHR concluded that it was competent to declare the petition under review admissible with respect to Articles 1(1) (Obligation to Respect Rights), 2 (Domestic Legal Effects), 8 (Right to a Fair Trial), 11 (Right to Privacy), 13 (Freedom of Thought and Expression), 15 (Right of Assembly), 17 (Rights of the Family), 21 (Right to Property), 24 (Right to Equal Protection), and 25 (Right to Judicial Protection) of the American Convention.</w:t>
      </w: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4320"/>
        </w:tabs>
        <w:ind w:firstLine="720"/>
        <w:jc w:val="both"/>
        <w:rPr>
          <w:rFonts w:asciiTheme="majorHAnsi" w:hAnsiTheme="majorHAnsi" w:cs="Arial"/>
          <w:sz w:val="20"/>
          <w:szCs w:val="20"/>
          <w:highlight w:val="cyan"/>
        </w:rPr>
      </w:pPr>
    </w:p>
    <w:p w:rsidR="00311A32" w:rsidRPr="00385641" w:rsidRDefault="00311A32" w:rsidP="00311A3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270"/>
          <w:tab w:val="num" w:pos="720"/>
          <w:tab w:val="left" w:pos="1440"/>
        </w:tabs>
        <w:ind w:left="0" w:firstLine="720"/>
        <w:jc w:val="both"/>
        <w:rPr>
          <w:rFonts w:asciiTheme="majorHAnsi" w:hAnsiTheme="majorHAnsi" w:cs="Arial"/>
          <w:sz w:val="20"/>
          <w:szCs w:val="20"/>
        </w:rPr>
      </w:pPr>
      <w:r w:rsidRPr="00385641">
        <w:rPr>
          <w:rFonts w:asciiTheme="majorHAnsi" w:hAnsiTheme="majorHAnsi" w:cs="Arial"/>
          <w:sz w:val="20"/>
          <w:szCs w:val="20"/>
        </w:rPr>
        <w:t>On December 30, 2003, the petitioners expressed their interest in pursuing a friendly settlement, an offer that was accepted by the Chilean State on February 3, 2006, thus initiating the friendly settlement</w:t>
      </w:r>
      <w:r w:rsidR="00EC34EA" w:rsidRPr="00385641">
        <w:rPr>
          <w:rFonts w:asciiTheme="majorHAnsi" w:hAnsiTheme="majorHAnsi" w:cs="Arial"/>
          <w:sz w:val="20"/>
          <w:szCs w:val="20"/>
        </w:rPr>
        <w:t xml:space="preserve"> negotiations</w:t>
      </w:r>
      <w:r w:rsidRPr="00385641">
        <w:rPr>
          <w:rFonts w:asciiTheme="majorHAnsi" w:hAnsiTheme="majorHAnsi" w:cs="Arial"/>
          <w:sz w:val="20"/>
          <w:szCs w:val="20"/>
        </w:rPr>
        <w:t xml:space="preserve">. On September 20, 2010, at offices of the Under-Secretariat of </w:t>
      </w:r>
      <w:proofErr w:type="spellStart"/>
      <w:r w:rsidRPr="00385641">
        <w:rPr>
          <w:rFonts w:asciiTheme="majorHAnsi" w:hAnsiTheme="majorHAnsi" w:cs="Arial"/>
          <w:sz w:val="20"/>
          <w:szCs w:val="20"/>
        </w:rPr>
        <w:t>Carabineros</w:t>
      </w:r>
      <w:proofErr w:type="spellEnd"/>
      <w:r w:rsidRPr="00385641">
        <w:rPr>
          <w:rFonts w:asciiTheme="majorHAnsi" w:hAnsiTheme="majorHAnsi" w:cs="Arial"/>
          <w:sz w:val="20"/>
          <w:szCs w:val="20"/>
        </w:rPr>
        <w:t xml:space="preserve"> de Chile, the parties signed a friendly settlement agreement (hereinafter the “FSA” or “agreement”), to bring a non-contentious resolution to the complaint brought before the IACHR.</w:t>
      </w:r>
    </w:p>
    <w:p w:rsidR="00311A32" w:rsidRPr="00385641" w:rsidRDefault="00311A32" w:rsidP="00311A32">
      <w:pPr>
        <w:pStyle w:val="ListParagraph"/>
        <w:ind w:left="0" w:firstLine="720"/>
        <w:rPr>
          <w:rFonts w:asciiTheme="majorHAnsi" w:hAnsiTheme="majorHAnsi" w:cs="Arial"/>
          <w:color w:val="auto"/>
          <w:sz w:val="20"/>
          <w:szCs w:val="20"/>
        </w:rPr>
      </w:pPr>
    </w:p>
    <w:p w:rsidR="00311A32" w:rsidRPr="00385641" w:rsidRDefault="00311A32" w:rsidP="00311A3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270"/>
          <w:tab w:val="num" w:pos="720"/>
          <w:tab w:val="left" w:pos="1440"/>
        </w:tabs>
        <w:ind w:left="0" w:firstLine="720"/>
        <w:jc w:val="both"/>
        <w:rPr>
          <w:rFonts w:asciiTheme="majorHAnsi" w:hAnsiTheme="majorHAnsi" w:cs="Arial"/>
          <w:sz w:val="20"/>
          <w:szCs w:val="20"/>
        </w:rPr>
      </w:pPr>
      <w:r w:rsidRPr="00385641">
        <w:rPr>
          <w:rFonts w:asciiTheme="majorHAnsi" w:hAnsiTheme="majorHAnsi" w:cs="Arial"/>
          <w:sz w:val="20"/>
          <w:szCs w:val="20"/>
        </w:rPr>
        <w:t>On August 2, 2019, the Chilean State sent the Commission information regarding compliance with the FSA and requested that it be officially approved. This communication was sent to the petitioners, who on August 20</w:t>
      </w:r>
      <w:r w:rsidR="00EC34EA" w:rsidRPr="00385641">
        <w:rPr>
          <w:rFonts w:asciiTheme="majorHAnsi" w:hAnsiTheme="majorHAnsi" w:cs="Arial"/>
          <w:sz w:val="20"/>
          <w:szCs w:val="20"/>
          <w:vertAlign w:val="superscript"/>
        </w:rPr>
        <w:t>th</w:t>
      </w:r>
      <w:r w:rsidR="00EC34EA" w:rsidRPr="00385641">
        <w:rPr>
          <w:rFonts w:asciiTheme="majorHAnsi" w:hAnsiTheme="majorHAnsi" w:cs="Arial"/>
          <w:sz w:val="20"/>
          <w:szCs w:val="20"/>
        </w:rPr>
        <w:t xml:space="preserve"> and 27</w:t>
      </w:r>
      <w:r w:rsidR="00EC34EA" w:rsidRPr="00385641">
        <w:rPr>
          <w:rFonts w:asciiTheme="majorHAnsi" w:hAnsiTheme="majorHAnsi" w:cs="Arial"/>
          <w:sz w:val="20"/>
          <w:szCs w:val="20"/>
          <w:vertAlign w:val="superscript"/>
        </w:rPr>
        <w:t>th</w:t>
      </w:r>
      <w:r w:rsidRPr="00385641">
        <w:rPr>
          <w:rFonts w:asciiTheme="majorHAnsi" w:hAnsiTheme="majorHAnsi" w:cs="Arial"/>
          <w:sz w:val="20"/>
          <w:szCs w:val="20"/>
        </w:rPr>
        <w:t>, 2019, confirmed that there had been full compliance with the commitments established in the FSA and gave their consent for the approval and publication of the friendly settlement agreement that had been signed.</w:t>
      </w:r>
    </w:p>
    <w:bookmarkEnd w:id="1"/>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4320"/>
        </w:tabs>
        <w:ind w:firstLine="720"/>
        <w:jc w:val="both"/>
        <w:rPr>
          <w:rFonts w:asciiTheme="majorHAnsi" w:hAnsiTheme="majorHAnsi" w:cs="Arial"/>
          <w:sz w:val="20"/>
          <w:szCs w:val="20"/>
          <w:highlight w:val="cyan"/>
        </w:rPr>
      </w:pPr>
    </w:p>
    <w:p w:rsidR="00311A32" w:rsidRPr="00385641" w:rsidRDefault="00311A32" w:rsidP="00311A3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270"/>
          <w:tab w:val="num" w:pos="720"/>
          <w:tab w:val="left" w:pos="1440"/>
        </w:tabs>
        <w:ind w:left="0" w:firstLine="720"/>
        <w:jc w:val="both"/>
        <w:rPr>
          <w:rFonts w:asciiTheme="majorHAnsi" w:hAnsiTheme="majorHAnsi" w:cs="Arial"/>
          <w:sz w:val="20"/>
          <w:szCs w:val="20"/>
        </w:rPr>
      </w:pPr>
      <w:r w:rsidRPr="00385641">
        <w:rPr>
          <w:rFonts w:asciiTheme="majorHAnsi" w:hAnsiTheme="majorHAnsi" w:cs="Arial"/>
          <w:sz w:val="20"/>
          <w:szCs w:val="20"/>
        </w:rPr>
        <w:t>This friendly settlement report, pursuant to Article 49 of the Convention and Article 40(5) of the Commission’s Rules of Procedure, outlines the facts alleged by the petitioners and transcribes the friendly settlement agreement, which was signed on January 20, 2010, by the petitioners and representatives of the Chilean State. In addition, the agreement signed by the parties is approved, and it is agreed to publish this report in the Annual Report of the IACHR to the General Assembly of the Organization of American States.</w:t>
      </w:r>
    </w:p>
    <w:p w:rsidR="00311A32" w:rsidRPr="00385641" w:rsidRDefault="00311A32" w:rsidP="00311A32">
      <w:pPr>
        <w:ind w:firstLine="720"/>
        <w:rPr>
          <w:rFonts w:asciiTheme="majorHAnsi" w:hAnsiTheme="majorHAnsi" w:cs="Calibri"/>
          <w:sz w:val="20"/>
          <w:szCs w:val="20"/>
          <w:highlight w:val="cyan"/>
        </w:rPr>
      </w:pPr>
    </w:p>
    <w:p w:rsidR="00311A32" w:rsidRPr="00385641" w:rsidRDefault="00311A32" w:rsidP="00311A3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rPr>
          <w:rFonts w:asciiTheme="majorHAnsi" w:hAnsiTheme="majorHAnsi"/>
          <w:b/>
          <w:color w:val="auto"/>
          <w:sz w:val="20"/>
          <w:szCs w:val="20"/>
        </w:rPr>
      </w:pPr>
      <w:r w:rsidRPr="00385641">
        <w:rPr>
          <w:rFonts w:asciiTheme="majorHAnsi" w:hAnsiTheme="majorHAnsi"/>
          <w:b/>
          <w:color w:val="auto"/>
          <w:sz w:val="20"/>
          <w:szCs w:val="20"/>
        </w:rPr>
        <w:t>FACTS ALLEGED</w:t>
      </w:r>
    </w:p>
    <w:p w:rsidR="00311A32" w:rsidRPr="00385641" w:rsidRDefault="00311A32" w:rsidP="00311A32">
      <w:pPr>
        <w:ind w:firstLine="720"/>
        <w:rPr>
          <w:rFonts w:asciiTheme="majorHAnsi" w:hAnsiTheme="majorHAnsi" w:cs="Arial"/>
          <w:sz w:val="20"/>
          <w:szCs w:val="20"/>
          <w:highlight w:val="cyan"/>
        </w:rPr>
      </w:pPr>
    </w:p>
    <w:p w:rsidR="00311A32" w:rsidRPr="00385641" w:rsidRDefault="00311A32" w:rsidP="00311A3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 w:val="num" w:pos="720"/>
        </w:tabs>
        <w:ind w:left="0" w:firstLine="720"/>
        <w:jc w:val="both"/>
        <w:rPr>
          <w:rFonts w:asciiTheme="majorHAnsi" w:hAnsiTheme="majorHAnsi" w:cs="Arial"/>
          <w:sz w:val="20"/>
          <w:szCs w:val="20"/>
        </w:rPr>
      </w:pPr>
      <w:r w:rsidRPr="00385641">
        <w:rPr>
          <w:rFonts w:asciiTheme="majorHAnsi" w:hAnsiTheme="majorHAnsi" w:cs="Arial"/>
          <w:sz w:val="20"/>
          <w:szCs w:val="20"/>
        </w:rPr>
        <w:t xml:space="preserve">The petitioners alleged that, in the wake of an additional economic benefit that they believe was unequally distributed, the wives of several </w:t>
      </w:r>
      <w:proofErr w:type="spellStart"/>
      <w:r w:rsidRPr="00385641">
        <w:rPr>
          <w:rFonts w:asciiTheme="majorHAnsi" w:hAnsiTheme="majorHAnsi" w:cs="Arial"/>
          <w:sz w:val="20"/>
          <w:szCs w:val="20"/>
        </w:rPr>
        <w:t>Carabineros</w:t>
      </w:r>
      <w:proofErr w:type="spellEnd"/>
      <w:r w:rsidRPr="00385641">
        <w:rPr>
          <w:rFonts w:asciiTheme="majorHAnsi" w:hAnsiTheme="majorHAnsi" w:cs="Arial"/>
          <w:sz w:val="20"/>
          <w:szCs w:val="20"/>
        </w:rPr>
        <w:t xml:space="preserve"> who had been negatively affected by that unequal distribution held a demonstration in a downtown area of Santiago on April 27, 1998, </w:t>
      </w:r>
      <w:proofErr w:type="spellStart"/>
      <w:r w:rsidRPr="00385641">
        <w:rPr>
          <w:rFonts w:asciiTheme="majorHAnsi" w:hAnsiTheme="majorHAnsi" w:cs="Arial"/>
          <w:sz w:val="20"/>
          <w:szCs w:val="20"/>
        </w:rPr>
        <w:t>Carabineros</w:t>
      </w:r>
      <w:proofErr w:type="spellEnd"/>
      <w:r w:rsidRPr="00385641">
        <w:rPr>
          <w:rFonts w:asciiTheme="majorHAnsi" w:hAnsiTheme="majorHAnsi" w:cs="Arial"/>
          <w:sz w:val="20"/>
          <w:szCs w:val="20"/>
        </w:rPr>
        <w:t xml:space="preserve">’ Day. The petitioners pointed out that the institution </w:t>
      </w:r>
      <w:proofErr w:type="spellStart"/>
      <w:r w:rsidRPr="00385641">
        <w:rPr>
          <w:rFonts w:asciiTheme="majorHAnsi" w:hAnsiTheme="majorHAnsi" w:cs="Arial"/>
          <w:sz w:val="20"/>
          <w:szCs w:val="20"/>
        </w:rPr>
        <w:t>Carabineros</w:t>
      </w:r>
      <w:proofErr w:type="spellEnd"/>
      <w:r w:rsidRPr="00385641">
        <w:rPr>
          <w:rFonts w:asciiTheme="majorHAnsi" w:hAnsiTheme="majorHAnsi" w:cs="Arial"/>
          <w:sz w:val="20"/>
          <w:szCs w:val="20"/>
        </w:rPr>
        <w:t xml:space="preserve"> de Chile obligated all </w:t>
      </w:r>
      <w:proofErr w:type="spellStart"/>
      <w:r w:rsidRPr="00385641">
        <w:rPr>
          <w:rFonts w:asciiTheme="majorHAnsi" w:hAnsiTheme="majorHAnsi" w:cs="Arial"/>
          <w:sz w:val="20"/>
          <w:szCs w:val="20"/>
        </w:rPr>
        <w:t>Carabineros</w:t>
      </w:r>
      <w:proofErr w:type="spellEnd"/>
      <w:r w:rsidRPr="00385641">
        <w:rPr>
          <w:rFonts w:asciiTheme="majorHAnsi" w:hAnsiTheme="majorHAnsi" w:cs="Arial"/>
          <w:sz w:val="20"/>
          <w:szCs w:val="20"/>
        </w:rPr>
        <w:t xml:space="preserve"> to sign a document in which they pledged that neither their spouses nor their family members would participate in a demonstration. They maintained that signing that document was compulsory.</w:t>
      </w: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num" w:pos="4320"/>
        </w:tabs>
        <w:ind w:firstLine="720"/>
        <w:jc w:val="both"/>
        <w:rPr>
          <w:rFonts w:asciiTheme="majorHAnsi" w:hAnsiTheme="majorHAnsi" w:cs="Arial"/>
          <w:sz w:val="20"/>
          <w:szCs w:val="20"/>
          <w:highlight w:val="cyan"/>
        </w:rPr>
      </w:pPr>
    </w:p>
    <w:p w:rsidR="00311A32" w:rsidRPr="00385641" w:rsidRDefault="00311A32" w:rsidP="00311A3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 w:val="num" w:pos="720"/>
        </w:tabs>
        <w:ind w:left="0" w:firstLine="720"/>
        <w:jc w:val="both"/>
        <w:rPr>
          <w:rFonts w:asciiTheme="majorHAnsi" w:hAnsiTheme="majorHAnsi" w:cs="Arial"/>
          <w:sz w:val="20"/>
          <w:szCs w:val="20"/>
        </w:rPr>
      </w:pPr>
      <w:r w:rsidRPr="00385641">
        <w:rPr>
          <w:rFonts w:asciiTheme="majorHAnsi" w:hAnsiTheme="majorHAnsi" w:cs="Arial"/>
          <w:sz w:val="20"/>
          <w:szCs w:val="20"/>
        </w:rPr>
        <w:t xml:space="preserve">The petitioners indicated that </w:t>
      </w:r>
      <w:proofErr w:type="spellStart"/>
      <w:r w:rsidRPr="00385641">
        <w:rPr>
          <w:rFonts w:asciiTheme="majorHAnsi" w:hAnsiTheme="majorHAnsi" w:cs="Arial"/>
          <w:sz w:val="20"/>
          <w:szCs w:val="20"/>
        </w:rPr>
        <w:t>Carabineros</w:t>
      </w:r>
      <w:proofErr w:type="spellEnd"/>
      <w:r w:rsidRPr="00385641">
        <w:rPr>
          <w:rFonts w:asciiTheme="majorHAnsi" w:hAnsiTheme="majorHAnsi" w:cs="Arial"/>
          <w:sz w:val="20"/>
          <w:szCs w:val="20"/>
        </w:rPr>
        <w:t xml:space="preserve"> de Chile had started to harass </w:t>
      </w:r>
      <w:proofErr w:type="spellStart"/>
      <w:r w:rsidRPr="00385641">
        <w:rPr>
          <w:rFonts w:asciiTheme="majorHAnsi" w:hAnsiTheme="majorHAnsi" w:cs="Arial"/>
          <w:sz w:val="20"/>
          <w:szCs w:val="20"/>
        </w:rPr>
        <w:t>Carabineros</w:t>
      </w:r>
      <w:proofErr w:type="spellEnd"/>
      <w:r w:rsidRPr="00385641">
        <w:rPr>
          <w:rFonts w:asciiTheme="majorHAnsi" w:hAnsiTheme="majorHAnsi" w:cs="Arial"/>
          <w:sz w:val="20"/>
          <w:szCs w:val="20"/>
        </w:rPr>
        <w:t xml:space="preserve"> employees by illegally spying on many of their homes, including the homes of the alleged victims. They said that the institution had even tapped telephone lines and photographed many of the spouses while they were engaged in private and social activities. They said that after the demonstration, many </w:t>
      </w:r>
      <w:proofErr w:type="spellStart"/>
      <w:r w:rsidRPr="00385641">
        <w:rPr>
          <w:rFonts w:asciiTheme="majorHAnsi" w:hAnsiTheme="majorHAnsi" w:cs="Arial"/>
          <w:sz w:val="20"/>
          <w:szCs w:val="20"/>
        </w:rPr>
        <w:t>Carabineros</w:t>
      </w:r>
      <w:proofErr w:type="spellEnd"/>
      <w:r w:rsidRPr="00385641">
        <w:rPr>
          <w:rFonts w:asciiTheme="majorHAnsi" w:hAnsiTheme="majorHAnsi" w:cs="Arial"/>
          <w:sz w:val="20"/>
          <w:szCs w:val="20"/>
        </w:rPr>
        <w:t xml:space="preserve"> were placed on List 4, the dismissal list, and were subsequently discharged.</w:t>
      </w: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num" w:pos="4320"/>
        </w:tabs>
        <w:ind w:firstLine="720"/>
        <w:jc w:val="both"/>
        <w:rPr>
          <w:rFonts w:asciiTheme="majorHAnsi" w:hAnsiTheme="majorHAnsi" w:cs="Arial"/>
          <w:sz w:val="20"/>
          <w:szCs w:val="20"/>
          <w:highlight w:val="cyan"/>
        </w:rPr>
      </w:pPr>
    </w:p>
    <w:p w:rsidR="00311A32" w:rsidRPr="00385641" w:rsidRDefault="00311A32" w:rsidP="00311A3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 w:val="num" w:pos="720"/>
        </w:tabs>
        <w:ind w:left="0" w:firstLine="720"/>
        <w:jc w:val="both"/>
        <w:rPr>
          <w:rFonts w:asciiTheme="majorHAnsi" w:hAnsiTheme="majorHAnsi" w:cs="Arial"/>
          <w:sz w:val="20"/>
          <w:szCs w:val="20"/>
        </w:rPr>
      </w:pPr>
      <w:r w:rsidRPr="00385641">
        <w:rPr>
          <w:rFonts w:asciiTheme="majorHAnsi" w:hAnsiTheme="majorHAnsi" w:cs="Arial"/>
          <w:sz w:val="20"/>
          <w:szCs w:val="20"/>
        </w:rPr>
        <w:t xml:space="preserve">According to the petitioners, the ranking that resulted in the </w:t>
      </w:r>
      <w:proofErr w:type="spellStart"/>
      <w:r w:rsidRPr="00385641">
        <w:rPr>
          <w:rFonts w:asciiTheme="majorHAnsi" w:hAnsiTheme="majorHAnsi" w:cs="Arial"/>
          <w:sz w:val="20"/>
          <w:szCs w:val="20"/>
        </w:rPr>
        <w:t>Carabineros</w:t>
      </w:r>
      <w:proofErr w:type="spellEnd"/>
      <w:r w:rsidRPr="00385641">
        <w:rPr>
          <w:rFonts w:asciiTheme="majorHAnsi" w:hAnsiTheme="majorHAnsi" w:cs="Arial"/>
          <w:sz w:val="20"/>
          <w:szCs w:val="20"/>
        </w:rPr>
        <w:t xml:space="preserve">’ dismissal was a direct consequence of the demonstration held on April 27 by a group of wives of </w:t>
      </w:r>
      <w:proofErr w:type="spellStart"/>
      <w:r w:rsidRPr="00385641">
        <w:rPr>
          <w:rFonts w:asciiTheme="majorHAnsi" w:hAnsiTheme="majorHAnsi" w:cs="Arial"/>
          <w:sz w:val="20"/>
          <w:szCs w:val="20"/>
        </w:rPr>
        <w:t>Carabineros</w:t>
      </w:r>
      <w:proofErr w:type="spellEnd"/>
      <w:r w:rsidRPr="00385641">
        <w:rPr>
          <w:rFonts w:asciiTheme="majorHAnsi" w:hAnsiTheme="majorHAnsi" w:cs="Arial"/>
          <w:sz w:val="20"/>
          <w:szCs w:val="20"/>
        </w:rPr>
        <w:t>.</w:t>
      </w: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4320"/>
        </w:tabs>
        <w:ind w:firstLine="720"/>
        <w:jc w:val="both"/>
        <w:rPr>
          <w:rFonts w:asciiTheme="majorHAnsi" w:hAnsiTheme="majorHAnsi" w:cs="Arial"/>
          <w:sz w:val="20"/>
          <w:szCs w:val="20"/>
        </w:rPr>
      </w:pPr>
    </w:p>
    <w:p w:rsidR="00311A32" w:rsidRPr="00385641" w:rsidRDefault="00311A32" w:rsidP="00311A3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 w:val="num" w:pos="720"/>
        </w:tabs>
        <w:ind w:left="0" w:firstLine="720"/>
        <w:jc w:val="both"/>
        <w:rPr>
          <w:rFonts w:asciiTheme="majorHAnsi" w:hAnsiTheme="majorHAnsi" w:cs="Arial"/>
          <w:sz w:val="20"/>
          <w:szCs w:val="20"/>
        </w:rPr>
      </w:pPr>
      <w:r w:rsidRPr="00385641">
        <w:rPr>
          <w:rFonts w:asciiTheme="majorHAnsi" w:hAnsiTheme="majorHAnsi" w:cs="Arial"/>
          <w:sz w:val="20"/>
          <w:szCs w:val="20"/>
        </w:rPr>
        <w:t xml:space="preserve">The petitioners said that on July 18, 1998, they filed an appeal for protection with the Santiago Court of Appeals, challenging their dismissal, and that all the appeals were subsequently joined. According to the petitioners, on January 28, 1999, the Court of Appeals rejected the appeals. The Court found that it was not within its purview to examine the evaluation board’s basis for determining the rank that resulted in the </w:t>
      </w:r>
      <w:proofErr w:type="spellStart"/>
      <w:r w:rsidRPr="00385641">
        <w:rPr>
          <w:rFonts w:asciiTheme="majorHAnsi" w:hAnsiTheme="majorHAnsi" w:cs="Arial"/>
          <w:sz w:val="20"/>
          <w:szCs w:val="20"/>
        </w:rPr>
        <w:t>Carabineros</w:t>
      </w:r>
      <w:proofErr w:type="spellEnd"/>
      <w:r w:rsidRPr="00385641">
        <w:rPr>
          <w:rFonts w:asciiTheme="majorHAnsi" w:hAnsiTheme="majorHAnsi" w:cs="Arial"/>
          <w:sz w:val="20"/>
          <w:szCs w:val="20"/>
        </w:rPr>
        <w:t>’ dismissal, since the boards were sovereign. The Court added that undertaking an examination of the grounds for the ranking would amount to acting as another instance.</w:t>
      </w: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4320"/>
        </w:tabs>
        <w:ind w:firstLine="720"/>
        <w:jc w:val="both"/>
        <w:rPr>
          <w:rFonts w:asciiTheme="majorHAnsi" w:hAnsiTheme="majorHAnsi" w:cs="Arial"/>
          <w:sz w:val="20"/>
          <w:szCs w:val="20"/>
        </w:rPr>
      </w:pPr>
    </w:p>
    <w:p w:rsidR="00311A32" w:rsidRPr="00385641" w:rsidRDefault="00311A32" w:rsidP="00311A3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 w:val="num" w:pos="720"/>
        </w:tabs>
        <w:ind w:left="0" w:firstLine="720"/>
        <w:jc w:val="both"/>
        <w:rPr>
          <w:rFonts w:asciiTheme="majorHAnsi" w:hAnsiTheme="majorHAnsi" w:cs="Arial"/>
          <w:sz w:val="20"/>
          <w:szCs w:val="20"/>
        </w:rPr>
      </w:pPr>
      <w:r w:rsidRPr="00385641">
        <w:rPr>
          <w:rFonts w:asciiTheme="majorHAnsi" w:hAnsiTheme="majorHAnsi" w:cs="Arial"/>
          <w:sz w:val="20"/>
          <w:szCs w:val="20"/>
        </w:rPr>
        <w:t>The petitioners said that this resolution was upheld on April 28, 1999, by the Supreme Court of Chile, which found, with regard to the ranking process, that “it has not been proven or demonstrated in documents that it was the result of arbitrary or abusive behavior or that it was contrary to the constitutional legal order, which is sufficient to bar acceptance of the appeals filed, without it being necessary to examine the guarantees that have allegedly been violated.”</w:t>
      </w: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4320"/>
        </w:tabs>
        <w:ind w:firstLine="720"/>
        <w:jc w:val="both"/>
        <w:rPr>
          <w:rFonts w:asciiTheme="majorHAnsi" w:hAnsiTheme="majorHAnsi" w:cs="Arial"/>
          <w:sz w:val="20"/>
          <w:szCs w:val="20"/>
          <w:highlight w:val="cyan"/>
        </w:rPr>
      </w:pPr>
    </w:p>
    <w:p w:rsidR="00311A32" w:rsidRPr="00385641" w:rsidRDefault="00311A32" w:rsidP="00311A3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 w:val="num" w:pos="720"/>
        </w:tabs>
        <w:ind w:left="0" w:firstLine="720"/>
        <w:jc w:val="both"/>
        <w:rPr>
          <w:rFonts w:asciiTheme="majorHAnsi" w:hAnsiTheme="majorHAnsi" w:cs="Arial"/>
          <w:sz w:val="20"/>
          <w:szCs w:val="20"/>
        </w:rPr>
      </w:pPr>
      <w:r w:rsidRPr="00385641">
        <w:rPr>
          <w:rFonts w:asciiTheme="majorHAnsi" w:hAnsiTheme="majorHAnsi" w:cs="Arial"/>
          <w:sz w:val="20"/>
          <w:szCs w:val="20"/>
        </w:rPr>
        <w:t xml:space="preserve">The petitioners said that </w:t>
      </w:r>
      <w:proofErr w:type="spellStart"/>
      <w:r w:rsidRPr="00385641">
        <w:rPr>
          <w:rFonts w:asciiTheme="majorHAnsi" w:hAnsiTheme="majorHAnsi" w:cs="Arial"/>
          <w:sz w:val="20"/>
          <w:szCs w:val="20"/>
        </w:rPr>
        <w:t>Carabineros</w:t>
      </w:r>
      <w:proofErr w:type="spellEnd"/>
      <w:r w:rsidRPr="00385641">
        <w:rPr>
          <w:rFonts w:asciiTheme="majorHAnsi" w:hAnsiTheme="majorHAnsi" w:cs="Arial"/>
          <w:sz w:val="20"/>
          <w:szCs w:val="20"/>
        </w:rPr>
        <w:t xml:space="preserve"> officials had arbitrarily interfered with the private lives of the alleged victims by means of ongoing monitoring and surveillance of part of the institution’s personnel on active duty. They considered that to be a violation of privacy as protected under Article 11(2) of the Convention.</w:t>
      </w: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4320"/>
        </w:tabs>
        <w:ind w:firstLine="720"/>
        <w:jc w:val="both"/>
        <w:rPr>
          <w:rFonts w:asciiTheme="majorHAnsi" w:hAnsiTheme="majorHAnsi" w:cs="Arial"/>
          <w:sz w:val="20"/>
          <w:szCs w:val="20"/>
        </w:rPr>
      </w:pPr>
    </w:p>
    <w:p w:rsidR="00311A32" w:rsidRPr="00385641" w:rsidRDefault="00311A32" w:rsidP="00311A3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 w:val="num" w:pos="720"/>
        </w:tabs>
        <w:ind w:left="0" w:firstLine="720"/>
        <w:jc w:val="both"/>
        <w:rPr>
          <w:rFonts w:asciiTheme="majorHAnsi" w:hAnsiTheme="majorHAnsi" w:cs="Arial"/>
          <w:sz w:val="20"/>
          <w:szCs w:val="20"/>
        </w:rPr>
      </w:pPr>
      <w:r w:rsidRPr="00385641">
        <w:rPr>
          <w:rFonts w:asciiTheme="majorHAnsi" w:hAnsiTheme="majorHAnsi" w:cs="Arial"/>
          <w:sz w:val="20"/>
          <w:szCs w:val="20"/>
        </w:rPr>
        <w:t xml:space="preserve">Likewise, they indicated that the State had violated the right to the personal property of the </w:t>
      </w:r>
      <w:proofErr w:type="spellStart"/>
      <w:r w:rsidRPr="00385641">
        <w:rPr>
          <w:rFonts w:asciiTheme="majorHAnsi" w:hAnsiTheme="majorHAnsi" w:cs="Arial"/>
          <w:sz w:val="20"/>
          <w:szCs w:val="20"/>
        </w:rPr>
        <w:t>Carabineros</w:t>
      </w:r>
      <w:proofErr w:type="spellEnd"/>
      <w:r w:rsidRPr="00385641">
        <w:rPr>
          <w:rFonts w:asciiTheme="majorHAnsi" w:hAnsiTheme="majorHAnsi" w:cs="Arial"/>
          <w:sz w:val="20"/>
          <w:szCs w:val="20"/>
        </w:rPr>
        <w:t xml:space="preserve"> mentioned in the petition by depriving them of their right to an intangible asset, namely their posts as </w:t>
      </w:r>
      <w:proofErr w:type="spellStart"/>
      <w:r w:rsidRPr="00385641">
        <w:rPr>
          <w:rFonts w:asciiTheme="majorHAnsi" w:hAnsiTheme="majorHAnsi" w:cs="Arial"/>
          <w:sz w:val="20"/>
          <w:szCs w:val="20"/>
        </w:rPr>
        <w:t>Carabineros</w:t>
      </w:r>
      <w:proofErr w:type="spellEnd"/>
      <w:r w:rsidRPr="00385641">
        <w:rPr>
          <w:rFonts w:asciiTheme="majorHAnsi" w:hAnsiTheme="majorHAnsi" w:cs="Arial"/>
          <w:sz w:val="20"/>
          <w:szCs w:val="20"/>
        </w:rPr>
        <w:t>. They further argued that this was the result of an irrational procedure which took into account factors other than their skills as professionals and civil servants.</w:t>
      </w: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4320"/>
        </w:tabs>
        <w:ind w:firstLine="720"/>
        <w:jc w:val="both"/>
        <w:rPr>
          <w:rFonts w:asciiTheme="majorHAnsi" w:hAnsiTheme="majorHAnsi" w:cs="Arial"/>
          <w:sz w:val="20"/>
          <w:szCs w:val="20"/>
          <w:highlight w:val="cyan"/>
        </w:rPr>
      </w:pPr>
    </w:p>
    <w:p w:rsidR="00311A32" w:rsidRPr="00385641" w:rsidRDefault="00311A32" w:rsidP="00311A3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 w:val="num" w:pos="720"/>
        </w:tabs>
        <w:ind w:left="0" w:firstLine="720"/>
        <w:jc w:val="both"/>
        <w:rPr>
          <w:rFonts w:asciiTheme="majorHAnsi" w:hAnsiTheme="majorHAnsi" w:cs="Arial"/>
          <w:sz w:val="20"/>
          <w:szCs w:val="20"/>
        </w:rPr>
      </w:pPr>
      <w:r w:rsidRPr="00385641">
        <w:rPr>
          <w:rFonts w:asciiTheme="majorHAnsi" w:hAnsiTheme="majorHAnsi" w:cs="Arial"/>
          <w:sz w:val="20"/>
          <w:szCs w:val="20"/>
        </w:rPr>
        <w:t>As to the wives of the</w:t>
      </w:r>
      <w:r w:rsidRPr="00385641">
        <w:rPr>
          <w:rFonts w:asciiTheme="majorHAnsi" w:hAnsiTheme="majorHAnsi" w:cs="Arial"/>
          <w:i/>
          <w:iCs/>
          <w:sz w:val="20"/>
          <w:szCs w:val="20"/>
        </w:rPr>
        <w:t xml:space="preserve"> </w:t>
      </w:r>
      <w:proofErr w:type="spellStart"/>
      <w:r w:rsidRPr="00385641">
        <w:rPr>
          <w:rFonts w:asciiTheme="majorHAnsi" w:hAnsiTheme="majorHAnsi" w:cs="Arial"/>
          <w:sz w:val="20"/>
          <w:szCs w:val="20"/>
        </w:rPr>
        <w:t>Carabineros</w:t>
      </w:r>
      <w:proofErr w:type="spellEnd"/>
      <w:r w:rsidRPr="00385641">
        <w:rPr>
          <w:rFonts w:asciiTheme="majorHAnsi" w:hAnsiTheme="majorHAnsi" w:cs="Arial"/>
          <w:sz w:val="20"/>
          <w:szCs w:val="20"/>
        </w:rPr>
        <w:t xml:space="preserve"> who are also alleged victims in this petition, they said that their right to assembly, protected under Article 15 of the American Convention, had been violated since they had been prevented from meeting and from expressing themselves concerning an administrative matter within the </w:t>
      </w:r>
      <w:proofErr w:type="spellStart"/>
      <w:r w:rsidRPr="00385641">
        <w:rPr>
          <w:rFonts w:asciiTheme="majorHAnsi" w:hAnsiTheme="majorHAnsi" w:cs="Arial"/>
          <w:sz w:val="20"/>
          <w:szCs w:val="20"/>
        </w:rPr>
        <w:t>Carabineros</w:t>
      </w:r>
      <w:proofErr w:type="spellEnd"/>
      <w:r w:rsidRPr="00385641">
        <w:rPr>
          <w:rFonts w:asciiTheme="majorHAnsi" w:hAnsiTheme="majorHAnsi" w:cs="Arial"/>
          <w:sz w:val="20"/>
          <w:szCs w:val="20"/>
        </w:rPr>
        <w:t xml:space="preserve"> institution. They also considered that “it constitutes a violation of the law to punish civil servants for their spouses’ legitimate exercise of that right.” Further, the petitioners considered that the right to equal protection under the law without discrimination was violated since the </w:t>
      </w:r>
      <w:proofErr w:type="spellStart"/>
      <w:r w:rsidRPr="00385641">
        <w:rPr>
          <w:rFonts w:asciiTheme="majorHAnsi" w:hAnsiTheme="majorHAnsi" w:cs="Arial"/>
          <w:sz w:val="20"/>
          <w:szCs w:val="20"/>
        </w:rPr>
        <w:t>Carabineros</w:t>
      </w:r>
      <w:proofErr w:type="spellEnd"/>
      <w:r w:rsidRPr="00385641">
        <w:rPr>
          <w:rFonts w:asciiTheme="majorHAnsi" w:hAnsiTheme="majorHAnsi" w:cs="Arial"/>
          <w:sz w:val="20"/>
          <w:szCs w:val="20"/>
        </w:rPr>
        <w:t>’ wives had been “indirectly discriminated against, inasmuch as they are civilian citizens, depriving them of their right to express themselves freely, to assemble, and to have a private life.”</w:t>
      </w: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4320"/>
        </w:tabs>
        <w:ind w:firstLine="720"/>
        <w:jc w:val="both"/>
        <w:rPr>
          <w:rFonts w:asciiTheme="majorHAnsi" w:hAnsiTheme="majorHAnsi" w:cs="Arial"/>
          <w:sz w:val="20"/>
          <w:szCs w:val="20"/>
          <w:highlight w:val="cyan"/>
        </w:rPr>
      </w:pPr>
    </w:p>
    <w:p w:rsidR="00311A32" w:rsidRPr="00385641" w:rsidRDefault="00311A32" w:rsidP="00311A3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 w:val="num" w:pos="720"/>
        </w:tabs>
        <w:ind w:left="0" w:firstLine="720"/>
        <w:jc w:val="both"/>
        <w:rPr>
          <w:rFonts w:asciiTheme="majorHAnsi" w:hAnsiTheme="majorHAnsi" w:cs="Arial"/>
          <w:sz w:val="20"/>
          <w:szCs w:val="20"/>
        </w:rPr>
      </w:pPr>
      <w:r w:rsidRPr="00385641">
        <w:rPr>
          <w:rFonts w:asciiTheme="majorHAnsi" w:hAnsiTheme="majorHAnsi" w:cs="Arial"/>
          <w:sz w:val="20"/>
          <w:szCs w:val="20"/>
        </w:rPr>
        <w:t xml:space="preserve">Lastly, the petitioners pointed out that Article 25 of the American Convention had been violated because, in the only effective appeal, the Santiago Court of Appeals had refrained from determining the merits and simply indicated that the matter was within the jurisdiction of the administrative authority. </w:t>
      </w: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4320"/>
        </w:tabs>
        <w:ind w:firstLine="720"/>
        <w:jc w:val="both"/>
        <w:rPr>
          <w:rFonts w:asciiTheme="majorHAnsi" w:hAnsiTheme="majorHAnsi" w:cs="Arial"/>
          <w:sz w:val="20"/>
          <w:szCs w:val="20"/>
          <w:highlight w:val="cyan"/>
        </w:rPr>
      </w:pPr>
    </w:p>
    <w:p w:rsidR="00311A32" w:rsidRPr="00385641" w:rsidRDefault="00311A32" w:rsidP="00311A3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contextualSpacing/>
        <w:rPr>
          <w:rFonts w:asciiTheme="majorHAnsi" w:hAnsiTheme="majorHAnsi"/>
          <w:b/>
          <w:color w:val="auto"/>
          <w:sz w:val="20"/>
          <w:szCs w:val="20"/>
        </w:rPr>
      </w:pPr>
      <w:r w:rsidRPr="00385641">
        <w:rPr>
          <w:rFonts w:asciiTheme="majorHAnsi" w:hAnsiTheme="majorHAnsi"/>
          <w:b/>
          <w:color w:val="auto"/>
          <w:sz w:val="20"/>
          <w:szCs w:val="20"/>
        </w:rPr>
        <w:t>FRIENDLY SETTLEMENT</w:t>
      </w: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4320"/>
        </w:tabs>
        <w:ind w:firstLine="720"/>
        <w:jc w:val="both"/>
        <w:rPr>
          <w:rFonts w:asciiTheme="majorHAnsi" w:hAnsiTheme="majorHAnsi" w:cs="Arial"/>
          <w:sz w:val="20"/>
          <w:szCs w:val="20"/>
          <w:highlight w:val="cyan"/>
        </w:rPr>
      </w:pPr>
    </w:p>
    <w:p w:rsidR="00311A32" w:rsidRPr="00385641" w:rsidRDefault="00311A32" w:rsidP="00311A3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 w:val="num" w:pos="720"/>
        </w:tabs>
        <w:ind w:left="0" w:firstLine="720"/>
        <w:jc w:val="both"/>
        <w:rPr>
          <w:rFonts w:asciiTheme="majorHAnsi" w:hAnsiTheme="majorHAnsi" w:cs="Arial"/>
          <w:sz w:val="20"/>
          <w:szCs w:val="20"/>
        </w:rPr>
      </w:pPr>
      <w:r w:rsidRPr="00385641">
        <w:rPr>
          <w:rFonts w:asciiTheme="majorHAnsi" w:hAnsiTheme="majorHAnsi" w:cs="Arial"/>
          <w:sz w:val="20"/>
          <w:szCs w:val="20"/>
        </w:rPr>
        <w:t xml:space="preserve"> On January 20, 2010, at offices of the Under-Secretariat of </w:t>
      </w:r>
      <w:proofErr w:type="spellStart"/>
      <w:r w:rsidRPr="00385641">
        <w:rPr>
          <w:rFonts w:asciiTheme="majorHAnsi" w:hAnsiTheme="majorHAnsi" w:cs="Arial"/>
          <w:sz w:val="20"/>
          <w:szCs w:val="20"/>
        </w:rPr>
        <w:t>Carabineros</w:t>
      </w:r>
      <w:proofErr w:type="spellEnd"/>
      <w:r w:rsidRPr="00385641">
        <w:rPr>
          <w:rFonts w:asciiTheme="majorHAnsi" w:hAnsiTheme="majorHAnsi" w:cs="Arial"/>
          <w:sz w:val="20"/>
          <w:szCs w:val="20"/>
        </w:rPr>
        <w:t xml:space="preserve"> de Chile, the State, represented by Javiera Blanco </w:t>
      </w:r>
      <w:r w:rsidRPr="00385641">
        <w:rPr>
          <w:rFonts w:asciiTheme="majorHAnsi" w:hAnsiTheme="majorHAnsi"/>
          <w:sz w:val="20"/>
          <w:szCs w:val="20"/>
        </w:rPr>
        <w:t>Suárez</w:t>
      </w:r>
      <w:r w:rsidRPr="00385641">
        <w:rPr>
          <w:rFonts w:asciiTheme="majorHAnsi" w:hAnsiTheme="majorHAnsi" w:cs="Arial"/>
          <w:sz w:val="20"/>
          <w:szCs w:val="20"/>
        </w:rPr>
        <w:t xml:space="preserve">, Under-Secretary of </w:t>
      </w:r>
      <w:proofErr w:type="spellStart"/>
      <w:r w:rsidRPr="00385641">
        <w:rPr>
          <w:rFonts w:asciiTheme="majorHAnsi" w:hAnsiTheme="majorHAnsi" w:cs="Arial"/>
          <w:sz w:val="20"/>
          <w:szCs w:val="20"/>
        </w:rPr>
        <w:t>Carabineros</w:t>
      </w:r>
      <w:proofErr w:type="spellEnd"/>
      <w:r w:rsidRPr="00385641">
        <w:rPr>
          <w:rFonts w:asciiTheme="majorHAnsi" w:hAnsiTheme="majorHAnsi" w:cs="Arial"/>
          <w:sz w:val="20"/>
          <w:szCs w:val="20"/>
        </w:rPr>
        <w:t xml:space="preserve">; Samuel </w:t>
      </w:r>
      <w:proofErr w:type="spellStart"/>
      <w:r w:rsidRPr="00385641">
        <w:rPr>
          <w:rFonts w:asciiTheme="majorHAnsi" w:hAnsiTheme="majorHAnsi" w:cs="Arial"/>
          <w:sz w:val="20"/>
          <w:szCs w:val="20"/>
        </w:rPr>
        <w:t>Cabezas</w:t>
      </w:r>
      <w:proofErr w:type="spellEnd"/>
      <w:r w:rsidRPr="00385641">
        <w:rPr>
          <w:rFonts w:asciiTheme="majorHAnsi" w:hAnsiTheme="majorHAnsi" w:cs="Arial"/>
          <w:sz w:val="20"/>
          <w:szCs w:val="20"/>
        </w:rPr>
        <w:t xml:space="preserve"> Fonseca, Acting Deputy Director General and Inspector General of </w:t>
      </w:r>
      <w:proofErr w:type="spellStart"/>
      <w:r w:rsidRPr="00385641">
        <w:rPr>
          <w:rFonts w:asciiTheme="majorHAnsi" w:hAnsiTheme="majorHAnsi" w:cs="Arial"/>
          <w:sz w:val="20"/>
          <w:szCs w:val="20"/>
        </w:rPr>
        <w:t>Carabineros</w:t>
      </w:r>
      <w:proofErr w:type="spellEnd"/>
      <w:r w:rsidRPr="00385641">
        <w:rPr>
          <w:rFonts w:asciiTheme="majorHAnsi" w:hAnsiTheme="majorHAnsi" w:cs="Arial"/>
          <w:sz w:val="20"/>
          <w:szCs w:val="20"/>
        </w:rPr>
        <w:t xml:space="preserve">; and Ambassador Carmen Hertz Cádiz, Human Rights Director of the Chilean Foreign Ministry; and for the other side, the petitioners, represented by the </w:t>
      </w:r>
      <w:proofErr w:type="spellStart"/>
      <w:r w:rsidRPr="00385641">
        <w:rPr>
          <w:rFonts w:asciiTheme="majorHAnsi" w:hAnsiTheme="majorHAnsi" w:cs="Arial"/>
          <w:i/>
          <w:iCs/>
          <w:sz w:val="20"/>
          <w:szCs w:val="20"/>
        </w:rPr>
        <w:t>Corporación</w:t>
      </w:r>
      <w:proofErr w:type="spellEnd"/>
      <w:r w:rsidRPr="00385641">
        <w:rPr>
          <w:rFonts w:asciiTheme="majorHAnsi" w:hAnsiTheme="majorHAnsi" w:cs="Arial"/>
          <w:i/>
          <w:iCs/>
          <w:sz w:val="20"/>
          <w:szCs w:val="20"/>
        </w:rPr>
        <w:t xml:space="preserve"> de </w:t>
      </w:r>
      <w:proofErr w:type="spellStart"/>
      <w:r w:rsidRPr="00385641">
        <w:rPr>
          <w:rFonts w:asciiTheme="majorHAnsi" w:hAnsiTheme="majorHAnsi" w:cs="Arial"/>
          <w:i/>
          <w:iCs/>
          <w:sz w:val="20"/>
          <w:szCs w:val="20"/>
        </w:rPr>
        <w:t>Promoción</w:t>
      </w:r>
      <w:proofErr w:type="spellEnd"/>
      <w:r w:rsidRPr="00385641">
        <w:rPr>
          <w:rFonts w:asciiTheme="majorHAnsi" w:hAnsiTheme="majorHAnsi" w:cs="Arial"/>
          <w:i/>
          <w:iCs/>
          <w:sz w:val="20"/>
          <w:szCs w:val="20"/>
        </w:rPr>
        <w:t xml:space="preserve"> y </w:t>
      </w:r>
      <w:proofErr w:type="spellStart"/>
      <w:r w:rsidRPr="00385641">
        <w:rPr>
          <w:rFonts w:asciiTheme="majorHAnsi" w:hAnsiTheme="majorHAnsi" w:cs="Arial"/>
          <w:i/>
          <w:iCs/>
          <w:sz w:val="20"/>
          <w:szCs w:val="20"/>
        </w:rPr>
        <w:t>Defensa</w:t>
      </w:r>
      <w:proofErr w:type="spellEnd"/>
      <w:r w:rsidRPr="00385641">
        <w:rPr>
          <w:rFonts w:asciiTheme="majorHAnsi" w:hAnsiTheme="majorHAnsi" w:cs="Arial"/>
          <w:i/>
          <w:iCs/>
          <w:sz w:val="20"/>
          <w:szCs w:val="20"/>
        </w:rPr>
        <w:t xml:space="preserve"> de </w:t>
      </w:r>
      <w:proofErr w:type="spellStart"/>
      <w:r w:rsidRPr="00385641">
        <w:rPr>
          <w:rFonts w:asciiTheme="majorHAnsi" w:hAnsiTheme="majorHAnsi" w:cs="Arial"/>
          <w:i/>
          <w:iCs/>
          <w:sz w:val="20"/>
          <w:szCs w:val="20"/>
        </w:rPr>
        <w:t>los</w:t>
      </w:r>
      <w:proofErr w:type="spellEnd"/>
      <w:r w:rsidRPr="00385641">
        <w:rPr>
          <w:rFonts w:asciiTheme="majorHAnsi" w:hAnsiTheme="majorHAnsi" w:cs="Arial"/>
          <w:i/>
          <w:iCs/>
          <w:sz w:val="20"/>
          <w:szCs w:val="20"/>
        </w:rPr>
        <w:t xml:space="preserve"> Derechos del Pueblo</w:t>
      </w:r>
      <w:r w:rsidRPr="00385641">
        <w:rPr>
          <w:rFonts w:asciiTheme="majorHAnsi" w:hAnsiTheme="majorHAnsi" w:cs="Arial"/>
          <w:sz w:val="20"/>
          <w:szCs w:val="20"/>
        </w:rPr>
        <w:t xml:space="preserve">, CODEPU, signed a friendly settlement agreement on the following terms: </w:t>
      </w: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right="720"/>
        <w:contextualSpacing/>
        <w:jc w:val="both"/>
        <w:rPr>
          <w:rFonts w:asciiTheme="majorHAnsi" w:eastAsia="Times New Roman" w:hAnsiTheme="majorHAnsi"/>
          <w:sz w:val="20"/>
          <w:szCs w:val="20"/>
          <w:highlight w:val="cyan"/>
          <w:lang w:eastAsia="es-BO"/>
        </w:rPr>
      </w:pP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center"/>
        <w:rPr>
          <w:rFonts w:asciiTheme="majorHAnsi" w:eastAsia="Times New Roman" w:hAnsiTheme="majorHAnsi"/>
          <w:sz w:val="20"/>
          <w:szCs w:val="20"/>
          <w:lang w:eastAsia="es-BO"/>
        </w:rPr>
      </w:pPr>
      <w:r w:rsidRPr="00385641">
        <w:rPr>
          <w:rFonts w:asciiTheme="majorHAnsi" w:hAnsiTheme="majorHAnsi" w:cs="Calibri"/>
          <w:b/>
          <w:sz w:val="20"/>
          <w:szCs w:val="20"/>
        </w:rPr>
        <w:t>FRIENDLY SETTLEMENT AGREEMENT</w:t>
      </w: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center"/>
        <w:rPr>
          <w:rFonts w:asciiTheme="majorHAnsi" w:hAnsiTheme="majorHAnsi" w:cs="Calibri"/>
          <w:b/>
          <w:sz w:val="20"/>
          <w:szCs w:val="20"/>
        </w:rPr>
      </w:pPr>
      <w:r w:rsidRPr="00385641">
        <w:rPr>
          <w:rFonts w:asciiTheme="majorHAnsi" w:hAnsiTheme="majorHAnsi" w:cs="Calibri"/>
          <w:b/>
          <w:sz w:val="20"/>
          <w:szCs w:val="20"/>
        </w:rPr>
        <w:t>CASE 12.233</w:t>
      </w:r>
    </w:p>
    <w:p w:rsidR="00311A32" w:rsidRPr="004B77E5" w:rsidRDefault="00385641" w:rsidP="00311A3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center"/>
        <w:rPr>
          <w:rFonts w:asciiTheme="majorHAnsi" w:hAnsiTheme="majorHAnsi" w:cs="Calibri"/>
          <w:b/>
          <w:sz w:val="20"/>
          <w:szCs w:val="20"/>
        </w:rPr>
      </w:pPr>
      <w:r w:rsidRPr="004B77E5">
        <w:rPr>
          <w:rFonts w:asciiTheme="majorHAnsi" w:hAnsiTheme="majorHAnsi" w:cs="Calibri"/>
          <w:b/>
          <w:sz w:val="20"/>
          <w:szCs w:val="20"/>
        </w:rPr>
        <w:t>VI</w:t>
      </w:r>
      <w:r w:rsidR="00311A32" w:rsidRPr="004B77E5">
        <w:rPr>
          <w:rFonts w:asciiTheme="majorHAnsi" w:hAnsiTheme="majorHAnsi" w:cs="Calibri"/>
          <w:b/>
          <w:sz w:val="20"/>
          <w:szCs w:val="20"/>
        </w:rPr>
        <w:t>CTOR AMÉSTICA MORENO ET AL.</w:t>
      </w:r>
    </w:p>
    <w:p w:rsidR="00311A32" w:rsidRPr="004B77E5"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center"/>
        <w:rPr>
          <w:rFonts w:asciiTheme="majorHAnsi" w:hAnsiTheme="majorHAnsi" w:cs="Calibri"/>
          <w:b/>
          <w:sz w:val="20"/>
          <w:szCs w:val="20"/>
        </w:rPr>
      </w:pPr>
    </w:p>
    <w:p w:rsidR="00311A32" w:rsidRPr="00385641" w:rsidRDefault="00311A32" w:rsidP="00311A32">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firstLine="720"/>
        <w:contextualSpacing/>
        <w:rPr>
          <w:rFonts w:asciiTheme="majorHAnsi" w:hAnsiTheme="majorHAnsi"/>
          <w:b/>
          <w:color w:val="auto"/>
          <w:sz w:val="20"/>
          <w:szCs w:val="20"/>
        </w:rPr>
      </w:pPr>
      <w:r w:rsidRPr="00385641">
        <w:rPr>
          <w:rFonts w:asciiTheme="majorHAnsi" w:hAnsiTheme="majorHAnsi"/>
          <w:b/>
          <w:color w:val="auto"/>
          <w:sz w:val="20"/>
          <w:szCs w:val="20"/>
        </w:rPr>
        <w:t>Case N° 12.233 V</w:t>
      </w:r>
      <w:r w:rsidR="00385641" w:rsidRPr="00385641">
        <w:rPr>
          <w:rFonts w:asciiTheme="majorHAnsi" w:hAnsiTheme="majorHAnsi"/>
          <w:b/>
          <w:color w:val="auto"/>
          <w:sz w:val="20"/>
          <w:szCs w:val="20"/>
        </w:rPr>
        <w:t>i</w:t>
      </w:r>
      <w:r w:rsidRPr="00385641">
        <w:rPr>
          <w:rFonts w:asciiTheme="majorHAnsi" w:hAnsiTheme="majorHAnsi"/>
          <w:b/>
          <w:color w:val="auto"/>
          <w:sz w:val="20"/>
          <w:szCs w:val="20"/>
        </w:rPr>
        <w:t xml:space="preserve">ctor </w:t>
      </w:r>
      <w:proofErr w:type="spellStart"/>
      <w:r w:rsidRPr="00385641">
        <w:rPr>
          <w:rFonts w:asciiTheme="majorHAnsi" w:hAnsiTheme="majorHAnsi"/>
          <w:b/>
          <w:color w:val="auto"/>
          <w:sz w:val="20"/>
          <w:szCs w:val="20"/>
        </w:rPr>
        <w:t>Améstica</w:t>
      </w:r>
      <w:proofErr w:type="spellEnd"/>
      <w:r w:rsidRPr="00385641">
        <w:rPr>
          <w:rFonts w:asciiTheme="majorHAnsi" w:hAnsiTheme="majorHAnsi"/>
          <w:b/>
          <w:color w:val="auto"/>
          <w:sz w:val="20"/>
          <w:szCs w:val="20"/>
        </w:rPr>
        <w:t xml:space="preserve"> Moreno et al.</w:t>
      </w:r>
    </w:p>
    <w:p w:rsidR="00311A32" w:rsidRPr="00385641" w:rsidRDefault="00311A32" w:rsidP="00311A3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right="720"/>
        <w:contextualSpacing/>
        <w:rPr>
          <w:rFonts w:asciiTheme="majorHAnsi" w:hAnsiTheme="majorHAnsi"/>
          <w:b/>
          <w:color w:val="auto"/>
          <w:sz w:val="20"/>
          <w:szCs w:val="20"/>
        </w:rPr>
      </w:pPr>
    </w:p>
    <w:p w:rsidR="00311A32" w:rsidRPr="00385641" w:rsidRDefault="00311A32" w:rsidP="00311A32">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firstLine="720"/>
        <w:contextualSpacing/>
        <w:rPr>
          <w:rFonts w:asciiTheme="majorHAnsi" w:hAnsiTheme="majorHAnsi"/>
          <w:b/>
          <w:color w:val="auto"/>
          <w:sz w:val="20"/>
          <w:szCs w:val="20"/>
        </w:rPr>
      </w:pPr>
      <w:r w:rsidRPr="00385641">
        <w:rPr>
          <w:rFonts w:asciiTheme="majorHAnsi" w:hAnsiTheme="majorHAnsi"/>
          <w:b/>
          <w:color w:val="auto"/>
          <w:sz w:val="20"/>
          <w:szCs w:val="20"/>
        </w:rPr>
        <w:t>DESCRIPTION OF THE PARTIES</w:t>
      </w:r>
    </w:p>
    <w:p w:rsidR="00311A32" w:rsidRPr="00385641" w:rsidRDefault="00311A32" w:rsidP="00311A3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right="720"/>
        <w:contextualSpacing/>
        <w:rPr>
          <w:rFonts w:asciiTheme="majorHAnsi" w:hAnsiTheme="majorHAnsi"/>
          <w:b/>
          <w:color w:val="auto"/>
          <w:sz w:val="20"/>
          <w:szCs w:val="20"/>
        </w:rPr>
      </w:pP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rPr>
      </w:pPr>
      <w:r w:rsidRPr="00385641">
        <w:rPr>
          <w:rFonts w:asciiTheme="majorHAnsi" w:hAnsiTheme="majorHAnsi"/>
          <w:sz w:val="20"/>
          <w:szCs w:val="20"/>
        </w:rPr>
        <w:t>The following are parties to this agreement:</w:t>
      </w: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rPr>
      </w:pP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rPr>
      </w:pPr>
      <w:r w:rsidRPr="00385641">
        <w:rPr>
          <w:rFonts w:asciiTheme="majorHAnsi" w:hAnsiTheme="majorHAnsi"/>
          <w:sz w:val="20"/>
          <w:szCs w:val="20"/>
        </w:rPr>
        <w:t xml:space="preserve">On one side, the State of Chile, represented by the </w:t>
      </w:r>
      <w:r w:rsidRPr="00385641">
        <w:rPr>
          <w:rFonts w:asciiTheme="majorHAnsi" w:hAnsiTheme="majorHAnsi" w:cs="Arial"/>
          <w:sz w:val="20"/>
          <w:szCs w:val="20"/>
        </w:rPr>
        <w:t xml:space="preserve">Under-Secretary of </w:t>
      </w:r>
      <w:proofErr w:type="spellStart"/>
      <w:r w:rsidRPr="00385641">
        <w:rPr>
          <w:rFonts w:asciiTheme="majorHAnsi" w:hAnsiTheme="majorHAnsi" w:cs="Arial"/>
          <w:sz w:val="20"/>
          <w:szCs w:val="20"/>
        </w:rPr>
        <w:t>Carabineros</w:t>
      </w:r>
      <w:proofErr w:type="spellEnd"/>
      <w:r w:rsidRPr="00385641">
        <w:rPr>
          <w:rFonts w:asciiTheme="majorHAnsi" w:hAnsiTheme="majorHAnsi" w:cs="Arial"/>
          <w:sz w:val="20"/>
          <w:szCs w:val="20"/>
        </w:rPr>
        <w:t xml:space="preserve">, </w:t>
      </w:r>
      <w:r w:rsidRPr="00385641">
        <w:rPr>
          <w:rFonts w:asciiTheme="majorHAnsi" w:hAnsiTheme="majorHAnsi"/>
          <w:sz w:val="20"/>
          <w:szCs w:val="20"/>
        </w:rPr>
        <w:t xml:space="preserve">Ms. Javiera Blanco Suárez; the </w:t>
      </w:r>
      <w:r w:rsidRPr="00385641">
        <w:rPr>
          <w:rFonts w:asciiTheme="majorHAnsi" w:hAnsiTheme="majorHAnsi" w:cs="Arial"/>
          <w:sz w:val="20"/>
          <w:szCs w:val="20"/>
        </w:rPr>
        <w:t xml:space="preserve">Acting Deputy Director General, Inspector General of </w:t>
      </w:r>
      <w:proofErr w:type="spellStart"/>
      <w:r w:rsidRPr="00385641">
        <w:rPr>
          <w:rFonts w:asciiTheme="majorHAnsi" w:hAnsiTheme="majorHAnsi" w:cs="Arial"/>
          <w:sz w:val="20"/>
          <w:szCs w:val="20"/>
        </w:rPr>
        <w:t>Carabineros</w:t>
      </w:r>
      <w:proofErr w:type="spellEnd"/>
      <w:r w:rsidR="00385641" w:rsidRPr="00385641">
        <w:rPr>
          <w:rFonts w:asciiTheme="majorHAnsi" w:hAnsiTheme="majorHAnsi"/>
          <w:sz w:val="20"/>
          <w:szCs w:val="20"/>
        </w:rPr>
        <w:t xml:space="preserve">, Mr. </w:t>
      </w:r>
      <w:r w:rsidRPr="00385641">
        <w:rPr>
          <w:rFonts w:asciiTheme="majorHAnsi" w:hAnsiTheme="majorHAnsi"/>
          <w:sz w:val="20"/>
          <w:szCs w:val="20"/>
        </w:rPr>
        <w:t xml:space="preserve">Samuel </w:t>
      </w:r>
      <w:proofErr w:type="spellStart"/>
      <w:r w:rsidRPr="00385641">
        <w:rPr>
          <w:rFonts w:asciiTheme="majorHAnsi" w:hAnsiTheme="majorHAnsi"/>
          <w:sz w:val="20"/>
          <w:szCs w:val="20"/>
        </w:rPr>
        <w:t>Cabezas</w:t>
      </w:r>
      <w:proofErr w:type="spellEnd"/>
      <w:r w:rsidRPr="00385641">
        <w:rPr>
          <w:rFonts w:asciiTheme="majorHAnsi" w:hAnsiTheme="majorHAnsi"/>
          <w:sz w:val="20"/>
          <w:szCs w:val="20"/>
        </w:rPr>
        <w:t xml:space="preserve"> Fonseca; and the Human Rights</w:t>
      </w:r>
      <w:r w:rsidRPr="00385641">
        <w:rPr>
          <w:rFonts w:asciiTheme="majorHAnsi" w:hAnsiTheme="majorHAnsi" w:cs="Arial"/>
          <w:sz w:val="20"/>
          <w:szCs w:val="20"/>
        </w:rPr>
        <w:t xml:space="preserve"> Director of the Chilean Foreign Ministry, Ambassador</w:t>
      </w:r>
      <w:r w:rsidRPr="00385641">
        <w:rPr>
          <w:rFonts w:asciiTheme="majorHAnsi" w:hAnsiTheme="majorHAnsi"/>
          <w:sz w:val="20"/>
          <w:szCs w:val="20"/>
        </w:rPr>
        <w:t xml:space="preserve"> Carmen Hertz Cádiz.</w:t>
      </w: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right="720"/>
        <w:contextualSpacing/>
        <w:jc w:val="both"/>
        <w:rPr>
          <w:rFonts w:asciiTheme="majorHAnsi" w:hAnsiTheme="majorHAnsi"/>
          <w:sz w:val="20"/>
          <w:szCs w:val="20"/>
        </w:rPr>
      </w:pPr>
    </w:p>
    <w:p w:rsidR="00311A32" w:rsidRPr="00090A7D"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lang w:val="es-US"/>
        </w:rPr>
      </w:pPr>
      <w:proofErr w:type="spellStart"/>
      <w:r w:rsidRPr="00090A7D">
        <w:rPr>
          <w:rFonts w:asciiTheme="majorHAnsi" w:hAnsiTheme="majorHAnsi"/>
          <w:sz w:val="20"/>
          <w:szCs w:val="20"/>
          <w:lang w:val="es-US"/>
        </w:rPr>
        <w:t>On</w:t>
      </w:r>
      <w:proofErr w:type="spellEnd"/>
      <w:r w:rsidRPr="00090A7D">
        <w:rPr>
          <w:rFonts w:asciiTheme="majorHAnsi" w:hAnsiTheme="majorHAnsi"/>
          <w:sz w:val="20"/>
          <w:szCs w:val="20"/>
          <w:lang w:val="es-US"/>
        </w:rPr>
        <w:t xml:space="preserve"> </w:t>
      </w:r>
      <w:proofErr w:type="spellStart"/>
      <w:r w:rsidRPr="00090A7D">
        <w:rPr>
          <w:rFonts w:asciiTheme="majorHAnsi" w:hAnsiTheme="majorHAnsi"/>
          <w:sz w:val="20"/>
          <w:szCs w:val="20"/>
          <w:lang w:val="es-US"/>
        </w:rPr>
        <w:t>the</w:t>
      </w:r>
      <w:proofErr w:type="spellEnd"/>
      <w:r w:rsidRPr="00090A7D">
        <w:rPr>
          <w:rFonts w:asciiTheme="majorHAnsi" w:hAnsiTheme="majorHAnsi"/>
          <w:sz w:val="20"/>
          <w:szCs w:val="20"/>
          <w:lang w:val="es-US"/>
        </w:rPr>
        <w:t xml:space="preserve"> </w:t>
      </w:r>
      <w:proofErr w:type="spellStart"/>
      <w:r w:rsidRPr="00090A7D">
        <w:rPr>
          <w:rFonts w:asciiTheme="majorHAnsi" w:hAnsiTheme="majorHAnsi"/>
          <w:sz w:val="20"/>
          <w:szCs w:val="20"/>
          <w:lang w:val="es-US"/>
        </w:rPr>
        <w:t>other</w:t>
      </w:r>
      <w:proofErr w:type="spellEnd"/>
      <w:r w:rsidRPr="00090A7D">
        <w:rPr>
          <w:rFonts w:asciiTheme="majorHAnsi" w:hAnsiTheme="majorHAnsi"/>
          <w:sz w:val="20"/>
          <w:szCs w:val="20"/>
          <w:lang w:val="es-US"/>
        </w:rPr>
        <w:t xml:space="preserve"> </w:t>
      </w:r>
      <w:proofErr w:type="spellStart"/>
      <w:r w:rsidRPr="00090A7D">
        <w:rPr>
          <w:rFonts w:asciiTheme="majorHAnsi" w:hAnsiTheme="majorHAnsi"/>
          <w:sz w:val="20"/>
          <w:szCs w:val="20"/>
          <w:lang w:val="es-US"/>
        </w:rPr>
        <w:t>side</w:t>
      </w:r>
      <w:proofErr w:type="spellEnd"/>
      <w:r w:rsidRPr="00090A7D">
        <w:rPr>
          <w:rFonts w:asciiTheme="majorHAnsi" w:hAnsiTheme="majorHAnsi"/>
          <w:sz w:val="20"/>
          <w:szCs w:val="20"/>
          <w:lang w:val="es-US"/>
        </w:rPr>
        <w:t xml:space="preserve">, </w:t>
      </w:r>
      <w:proofErr w:type="spellStart"/>
      <w:r w:rsidRPr="00090A7D">
        <w:rPr>
          <w:rFonts w:asciiTheme="majorHAnsi" w:hAnsiTheme="majorHAnsi"/>
          <w:sz w:val="20"/>
          <w:szCs w:val="20"/>
          <w:lang w:val="es-US"/>
        </w:rPr>
        <w:t>the</w:t>
      </w:r>
      <w:proofErr w:type="spellEnd"/>
      <w:r w:rsidRPr="00090A7D">
        <w:rPr>
          <w:rFonts w:asciiTheme="majorHAnsi" w:hAnsiTheme="majorHAnsi"/>
          <w:sz w:val="20"/>
          <w:szCs w:val="20"/>
          <w:lang w:val="es-US"/>
        </w:rPr>
        <w:t xml:space="preserve"> </w:t>
      </w:r>
      <w:r w:rsidRPr="00090A7D">
        <w:rPr>
          <w:rFonts w:asciiTheme="majorHAnsi" w:hAnsiTheme="majorHAnsi"/>
          <w:i/>
          <w:iCs/>
          <w:sz w:val="20"/>
          <w:szCs w:val="20"/>
          <w:lang w:val="es-US"/>
        </w:rPr>
        <w:t>Corporación de Promoción y Defensa de los Derechos del Pueblo</w:t>
      </w:r>
      <w:r w:rsidRPr="00090A7D">
        <w:rPr>
          <w:rFonts w:asciiTheme="majorHAnsi" w:hAnsiTheme="majorHAnsi"/>
          <w:sz w:val="20"/>
          <w:szCs w:val="20"/>
          <w:lang w:val="es-US"/>
        </w:rPr>
        <w:t xml:space="preserve">, CODEPU, as </w:t>
      </w:r>
      <w:proofErr w:type="spellStart"/>
      <w:r w:rsidRPr="00090A7D">
        <w:rPr>
          <w:rFonts w:asciiTheme="majorHAnsi" w:hAnsiTheme="majorHAnsi"/>
          <w:sz w:val="20"/>
          <w:szCs w:val="20"/>
          <w:lang w:val="es-US"/>
        </w:rPr>
        <w:t>petitioners</w:t>
      </w:r>
      <w:proofErr w:type="spellEnd"/>
      <w:r w:rsidRPr="00090A7D">
        <w:rPr>
          <w:rFonts w:asciiTheme="majorHAnsi" w:hAnsiTheme="majorHAnsi"/>
          <w:sz w:val="20"/>
          <w:szCs w:val="20"/>
          <w:lang w:val="es-US"/>
        </w:rPr>
        <w:t xml:space="preserve"> in </w:t>
      </w:r>
      <w:proofErr w:type="spellStart"/>
      <w:r w:rsidRPr="00090A7D">
        <w:rPr>
          <w:rFonts w:asciiTheme="majorHAnsi" w:hAnsiTheme="majorHAnsi"/>
          <w:sz w:val="20"/>
          <w:szCs w:val="20"/>
          <w:lang w:val="es-US"/>
        </w:rPr>
        <w:t>the</w:t>
      </w:r>
      <w:proofErr w:type="spellEnd"/>
      <w:r w:rsidRPr="00090A7D">
        <w:rPr>
          <w:rFonts w:asciiTheme="majorHAnsi" w:hAnsiTheme="majorHAnsi"/>
          <w:sz w:val="20"/>
          <w:szCs w:val="20"/>
          <w:lang w:val="es-US"/>
        </w:rPr>
        <w:t xml:space="preserve"> case and </w:t>
      </w:r>
      <w:proofErr w:type="spellStart"/>
      <w:r w:rsidRPr="00090A7D">
        <w:rPr>
          <w:rFonts w:asciiTheme="majorHAnsi" w:hAnsiTheme="majorHAnsi"/>
          <w:sz w:val="20"/>
          <w:szCs w:val="20"/>
          <w:lang w:val="es-US"/>
        </w:rPr>
        <w:t>representatives</w:t>
      </w:r>
      <w:proofErr w:type="spellEnd"/>
      <w:r w:rsidRPr="00090A7D">
        <w:rPr>
          <w:rFonts w:asciiTheme="majorHAnsi" w:hAnsiTheme="majorHAnsi"/>
          <w:sz w:val="20"/>
          <w:szCs w:val="20"/>
          <w:lang w:val="es-US"/>
        </w:rPr>
        <w:t xml:space="preserve"> of </w:t>
      </w:r>
      <w:proofErr w:type="spellStart"/>
      <w:r w:rsidRPr="00090A7D">
        <w:rPr>
          <w:rFonts w:asciiTheme="majorHAnsi" w:hAnsiTheme="majorHAnsi"/>
          <w:sz w:val="20"/>
          <w:szCs w:val="20"/>
          <w:lang w:val="es-US"/>
        </w:rPr>
        <w:t>the</w:t>
      </w:r>
      <w:proofErr w:type="spellEnd"/>
      <w:r w:rsidRPr="00090A7D">
        <w:rPr>
          <w:rFonts w:asciiTheme="majorHAnsi" w:hAnsiTheme="majorHAnsi"/>
          <w:sz w:val="20"/>
          <w:szCs w:val="20"/>
          <w:lang w:val="es-US"/>
        </w:rPr>
        <w:t xml:space="preserve"> </w:t>
      </w:r>
      <w:proofErr w:type="spellStart"/>
      <w:r w:rsidRPr="00090A7D">
        <w:rPr>
          <w:rFonts w:asciiTheme="majorHAnsi" w:hAnsiTheme="majorHAnsi"/>
          <w:sz w:val="20"/>
          <w:szCs w:val="20"/>
          <w:lang w:val="es-US"/>
        </w:rPr>
        <w:t>victims</w:t>
      </w:r>
      <w:proofErr w:type="spellEnd"/>
      <w:r w:rsidRPr="00090A7D">
        <w:rPr>
          <w:rFonts w:asciiTheme="majorHAnsi" w:hAnsiTheme="majorHAnsi"/>
          <w:sz w:val="20"/>
          <w:szCs w:val="20"/>
          <w:lang w:val="es-US"/>
        </w:rPr>
        <w:t xml:space="preserve">, </w:t>
      </w:r>
      <w:proofErr w:type="spellStart"/>
      <w:r w:rsidRPr="00090A7D">
        <w:rPr>
          <w:rFonts w:asciiTheme="majorHAnsi" w:hAnsiTheme="majorHAnsi"/>
          <w:sz w:val="20"/>
          <w:szCs w:val="20"/>
          <w:lang w:val="es-US"/>
        </w:rPr>
        <w:t>represented</w:t>
      </w:r>
      <w:proofErr w:type="spellEnd"/>
      <w:r w:rsidRPr="00090A7D">
        <w:rPr>
          <w:rFonts w:asciiTheme="majorHAnsi" w:hAnsiTheme="majorHAnsi"/>
          <w:sz w:val="20"/>
          <w:szCs w:val="20"/>
          <w:lang w:val="es-US"/>
        </w:rPr>
        <w:t xml:space="preserve"> </w:t>
      </w:r>
      <w:proofErr w:type="spellStart"/>
      <w:r w:rsidRPr="00090A7D">
        <w:rPr>
          <w:rFonts w:asciiTheme="majorHAnsi" w:hAnsiTheme="majorHAnsi"/>
          <w:sz w:val="20"/>
          <w:szCs w:val="20"/>
          <w:lang w:val="es-US"/>
        </w:rPr>
        <w:t>by</w:t>
      </w:r>
      <w:proofErr w:type="spellEnd"/>
      <w:r w:rsidRPr="00090A7D">
        <w:rPr>
          <w:rFonts w:asciiTheme="majorHAnsi" w:hAnsiTheme="majorHAnsi"/>
          <w:sz w:val="20"/>
          <w:szCs w:val="20"/>
          <w:lang w:val="es-US"/>
        </w:rPr>
        <w:t xml:space="preserve"> Federico Aguirre Madrid; and</w:t>
      </w:r>
      <w:r w:rsidR="00385641" w:rsidRPr="00090A7D">
        <w:rPr>
          <w:rFonts w:asciiTheme="majorHAnsi" w:hAnsiTheme="majorHAnsi"/>
          <w:sz w:val="20"/>
          <w:szCs w:val="20"/>
          <w:lang w:val="es-US"/>
        </w:rPr>
        <w:t xml:space="preserve"> Víctor Manuel </w:t>
      </w:r>
      <w:proofErr w:type="spellStart"/>
      <w:r w:rsidR="00385641" w:rsidRPr="00090A7D">
        <w:rPr>
          <w:rFonts w:asciiTheme="majorHAnsi" w:hAnsiTheme="majorHAnsi"/>
          <w:sz w:val="20"/>
          <w:szCs w:val="20"/>
          <w:lang w:val="es-US"/>
        </w:rPr>
        <w:t>Ame</w:t>
      </w:r>
      <w:r w:rsidRPr="00090A7D">
        <w:rPr>
          <w:rFonts w:asciiTheme="majorHAnsi" w:hAnsiTheme="majorHAnsi"/>
          <w:sz w:val="20"/>
          <w:szCs w:val="20"/>
          <w:lang w:val="es-US"/>
        </w:rPr>
        <w:t>stica</w:t>
      </w:r>
      <w:proofErr w:type="spellEnd"/>
      <w:r w:rsidRPr="00090A7D">
        <w:rPr>
          <w:rFonts w:asciiTheme="majorHAnsi" w:hAnsiTheme="majorHAnsi"/>
          <w:sz w:val="20"/>
          <w:szCs w:val="20"/>
          <w:lang w:val="es-US"/>
        </w:rPr>
        <w:t xml:space="preserve"> </w:t>
      </w:r>
      <w:r w:rsidRPr="00090A7D">
        <w:rPr>
          <w:rFonts w:asciiTheme="majorHAnsi" w:hAnsiTheme="majorHAnsi" w:cs="Arial"/>
          <w:sz w:val="20"/>
          <w:szCs w:val="20"/>
          <w:lang w:val="es-US"/>
        </w:rPr>
        <w:t xml:space="preserve">Moreno, Oscar Armando </w:t>
      </w:r>
      <w:proofErr w:type="spellStart"/>
      <w:r w:rsidR="00385641" w:rsidRPr="00090A7D">
        <w:rPr>
          <w:rFonts w:asciiTheme="majorHAnsi" w:hAnsiTheme="majorHAnsi" w:cs="Arial"/>
          <w:sz w:val="20"/>
          <w:szCs w:val="20"/>
          <w:lang w:val="es-US"/>
        </w:rPr>
        <w:t>Sepulveda</w:t>
      </w:r>
      <w:proofErr w:type="spellEnd"/>
      <w:r w:rsidRPr="00090A7D">
        <w:rPr>
          <w:rFonts w:asciiTheme="majorHAnsi" w:hAnsiTheme="majorHAnsi" w:cs="Arial"/>
          <w:sz w:val="20"/>
          <w:szCs w:val="20"/>
          <w:lang w:val="es-US"/>
        </w:rPr>
        <w:t xml:space="preserve"> </w:t>
      </w:r>
      <w:r w:rsidR="00385641" w:rsidRPr="00090A7D">
        <w:rPr>
          <w:rFonts w:asciiTheme="majorHAnsi" w:hAnsiTheme="majorHAnsi" w:cs="Arial"/>
          <w:sz w:val="20"/>
          <w:szCs w:val="20"/>
          <w:lang w:val="es-US"/>
        </w:rPr>
        <w:t>Alarcon, Héctor Santo Marti</w:t>
      </w:r>
      <w:r w:rsidRPr="00090A7D">
        <w:rPr>
          <w:rFonts w:asciiTheme="majorHAnsi" w:hAnsiTheme="majorHAnsi" w:cs="Arial"/>
          <w:sz w:val="20"/>
          <w:szCs w:val="20"/>
          <w:lang w:val="es-US"/>
        </w:rPr>
        <w:t xml:space="preserve">nez </w:t>
      </w:r>
      <w:r w:rsidR="00385641" w:rsidRPr="00090A7D">
        <w:rPr>
          <w:rFonts w:asciiTheme="majorHAnsi" w:hAnsiTheme="majorHAnsi" w:cs="Arial"/>
          <w:sz w:val="20"/>
          <w:szCs w:val="20"/>
          <w:lang w:val="es-US"/>
        </w:rPr>
        <w:t>Vasquez</w:t>
      </w:r>
      <w:r w:rsidRPr="00090A7D">
        <w:rPr>
          <w:rFonts w:asciiTheme="majorHAnsi" w:hAnsiTheme="majorHAnsi" w:cs="Arial"/>
          <w:sz w:val="20"/>
          <w:szCs w:val="20"/>
          <w:lang w:val="es-US"/>
        </w:rPr>
        <w:t xml:space="preserve">, Alejandro César Sánchez Canales, Alberto Celso Araneda Muñoz, Jenny del Carmen Burgos Orrego, Ernestina del Carmen Araya Cordero, Johana Solange Valdebenito Pino, María </w:t>
      </w:r>
      <w:proofErr w:type="spellStart"/>
      <w:r w:rsidR="00385641" w:rsidRPr="00090A7D">
        <w:rPr>
          <w:rFonts w:asciiTheme="majorHAnsi" w:hAnsiTheme="majorHAnsi" w:cs="Arial"/>
          <w:sz w:val="20"/>
          <w:szCs w:val="20"/>
          <w:lang w:val="es-US"/>
        </w:rPr>
        <w:t>Angelica</w:t>
      </w:r>
      <w:proofErr w:type="spellEnd"/>
      <w:r w:rsidR="00385641" w:rsidRPr="00090A7D">
        <w:rPr>
          <w:rFonts w:asciiTheme="majorHAnsi" w:hAnsiTheme="majorHAnsi" w:cs="Arial"/>
          <w:sz w:val="20"/>
          <w:szCs w:val="20"/>
          <w:lang w:val="es-US"/>
        </w:rPr>
        <w:t xml:space="preserve"> </w:t>
      </w:r>
      <w:proofErr w:type="spellStart"/>
      <w:r w:rsidR="00385641" w:rsidRPr="00090A7D">
        <w:rPr>
          <w:rFonts w:asciiTheme="majorHAnsi" w:hAnsiTheme="majorHAnsi" w:cs="Arial"/>
          <w:sz w:val="20"/>
          <w:szCs w:val="20"/>
          <w:lang w:val="es-US"/>
        </w:rPr>
        <w:t>Olgui</w:t>
      </w:r>
      <w:r w:rsidRPr="00090A7D">
        <w:rPr>
          <w:rFonts w:asciiTheme="majorHAnsi" w:hAnsiTheme="majorHAnsi" w:cs="Arial"/>
          <w:sz w:val="20"/>
          <w:szCs w:val="20"/>
          <w:lang w:val="es-US"/>
        </w:rPr>
        <w:t>n</w:t>
      </w:r>
      <w:proofErr w:type="spellEnd"/>
      <w:r w:rsidRPr="00090A7D">
        <w:rPr>
          <w:rFonts w:asciiTheme="majorHAnsi" w:hAnsiTheme="majorHAnsi" w:cs="Arial"/>
          <w:sz w:val="20"/>
          <w:szCs w:val="20"/>
          <w:lang w:val="es-US"/>
        </w:rPr>
        <w:t xml:space="preserve">, and Marisol Valencia Poblete, in </w:t>
      </w:r>
      <w:proofErr w:type="spellStart"/>
      <w:r w:rsidRPr="00090A7D">
        <w:rPr>
          <w:rFonts w:asciiTheme="majorHAnsi" w:hAnsiTheme="majorHAnsi" w:cs="Arial"/>
          <w:sz w:val="20"/>
          <w:szCs w:val="20"/>
          <w:lang w:val="es-US"/>
        </w:rPr>
        <w:t>their</w:t>
      </w:r>
      <w:proofErr w:type="spellEnd"/>
      <w:r w:rsidRPr="00090A7D">
        <w:rPr>
          <w:rFonts w:asciiTheme="majorHAnsi" w:hAnsiTheme="majorHAnsi" w:cs="Arial"/>
          <w:sz w:val="20"/>
          <w:szCs w:val="20"/>
          <w:lang w:val="es-US"/>
        </w:rPr>
        <w:t xml:space="preserve"> </w:t>
      </w:r>
      <w:proofErr w:type="spellStart"/>
      <w:r w:rsidRPr="00090A7D">
        <w:rPr>
          <w:rFonts w:asciiTheme="majorHAnsi" w:hAnsiTheme="majorHAnsi" w:cs="Arial"/>
          <w:sz w:val="20"/>
          <w:szCs w:val="20"/>
          <w:lang w:val="es-US"/>
        </w:rPr>
        <w:t>capacity</w:t>
      </w:r>
      <w:proofErr w:type="spellEnd"/>
      <w:r w:rsidRPr="00090A7D">
        <w:rPr>
          <w:rFonts w:asciiTheme="majorHAnsi" w:hAnsiTheme="majorHAnsi" w:cs="Arial"/>
          <w:sz w:val="20"/>
          <w:szCs w:val="20"/>
          <w:lang w:val="es-US"/>
        </w:rPr>
        <w:t xml:space="preserve"> as </w:t>
      </w:r>
      <w:proofErr w:type="spellStart"/>
      <w:r w:rsidRPr="00090A7D">
        <w:rPr>
          <w:rFonts w:asciiTheme="majorHAnsi" w:hAnsiTheme="majorHAnsi" w:cs="Arial"/>
          <w:sz w:val="20"/>
          <w:szCs w:val="20"/>
          <w:lang w:val="es-US"/>
        </w:rPr>
        <w:t>victims</w:t>
      </w:r>
      <w:proofErr w:type="spellEnd"/>
      <w:r w:rsidRPr="00090A7D">
        <w:rPr>
          <w:rFonts w:asciiTheme="majorHAnsi" w:hAnsiTheme="majorHAnsi" w:cs="Arial"/>
          <w:sz w:val="20"/>
          <w:szCs w:val="20"/>
          <w:lang w:val="es-US"/>
        </w:rPr>
        <w:t>.</w:t>
      </w:r>
    </w:p>
    <w:p w:rsidR="00311A32" w:rsidRPr="00090A7D"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lang w:val="es-US"/>
        </w:rPr>
      </w:pPr>
    </w:p>
    <w:p w:rsidR="00311A32" w:rsidRPr="00385641" w:rsidRDefault="00311A32" w:rsidP="00311A32">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firstLine="720"/>
        <w:contextualSpacing/>
        <w:rPr>
          <w:rFonts w:asciiTheme="majorHAnsi" w:hAnsiTheme="majorHAnsi"/>
          <w:b/>
          <w:color w:val="auto"/>
          <w:sz w:val="20"/>
          <w:szCs w:val="20"/>
        </w:rPr>
      </w:pPr>
      <w:r w:rsidRPr="00385641">
        <w:rPr>
          <w:rFonts w:asciiTheme="majorHAnsi" w:hAnsiTheme="majorHAnsi"/>
          <w:b/>
          <w:color w:val="auto"/>
          <w:sz w:val="20"/>
          <w:szCs w:val="20"/>
        </w:rPr>
        <w:t>FACTS</w:t>
      </w: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rPr>
      </w:pP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rPr>
      </w:pPr>
      <w:r w:rsidRPr="00385641">
        <w:rPr>
          <w:rFonts w:asciiTheme="majorHAnsi" w:hAnsiTheme="majorHAnsi"/>
          <w:sz w:val="20"/>
          <w:szCs w:val="20"/>
        </w:rPr>
        <w:tab/>
      </w:r>
      <w:r w:rsidRPr="00385641">
        <w:rPr>
          <w:rFonts w:asciiTheme="majorHAnsi" w:hAnsiTheme="majorHAnsi"/>
          <w:sz w:val="20"/>
          <w:szCs w:val="20"/>
        </w:rPr>
        <w:tab/>
        <w:t xml:space="preserve">1. </w:t>
      </w:r>
      <w:r w:rsidRPr="00385641">
        <w:rPr>
          <w:rFonts w:asciiTheme="majorHAnsi" w:hAnsiTheme="majorHAnsi" w:cs="Arial"/>
          <w:sz w:val="20"/>
          <w:szCs w:val="20"/>
        </w:rPr>
        <w:t>On November 1, 1999, the Inter-American Commission on Human Rights (hereinafter</w:t>
      </w:r>
      <w:r w:rsidRPr="00385641">
        <w:rPr>
          <w:rFonts w:asciiTheme="majorHAnsi" w:hAnsiTheme="majorHAnsi"/>
          <w:sz w:val="20"/>
          <w:szCs w:val="20"/>
        </w:rPr>
        <w:t xml:space="preserve"> “the Inter-American Commission,” “the Commission,” or the “IACHR”) received a petition against the</w:t>
      </w:r>
      <w:r w:rsidRPr="00385641">
        <w:rPr>
          <w:rFonts w:asciiTheme="majorHAnsi" w:hAnsiTheme="majorHAnsi" w:cs="Arial"/>
          <w:sz w:val="20"/>
          <w:szCs w:val="20"/>
        </w:rPr>
        <w:t xml:space="preserve"> Republic of Chile (hereinafter “the State” or “the Chilean State”) filed by the </w:t>
      </w:r>
      <w:proofErr w:type="spellStart"/>
      <w:r w:rsidRPr="00385641">
        <w:rPr>
          <w:rFonts w:asciiTheme="majorHAnsi" w:hAnsiTheme="majorHAnsi" w:cs="Arial"/>
          <w:i/>
          <w:iCs/>
          <w:sz w:val="20"/>
          <w:szCs w:val="20"/>
        </w:rPr>
        <w:t>Corporación</w:t>
      </w:r>
      <w:proofErr w:type="spellEnd"/>
      <w:r w:rsidRPr="00385641">
        <w:rPr>
          <w:rFonts w:asciiTheme="majorHAnsi" w:hAnsiTheme="majorHAnsi" w:cs="Arial"/>
          <w:i/>
          <w:iCs/>
          <w:sz w:val="20"/>
          <w:szCs w:val="20"/>
        </w:rPr>
        <w:t xml:space="preserve"> de </w:t>
      </w:r>
      <w:proofErr w:type="spellStart"/>
      <w:r w:rsidRPr="00385641">
        <w:rPr>
          <w:rFonts w:asciiTheme="majorHAnsi" w:hAnsiTheme="majorHAnsi" w:cs="Arial"/>
          <w:i/>
          <w:iCs/>
          <w:sz w:val="20"/>
          <w:szCs w:val="20"/>
        </w:rPr>
        <w:t>Promoción</w:t>
      </w:r>
      <w:proofErr w:type="spellEnd"/>
      <w:r w:rsidRPr="00385641">
        <w:rPr>
          <w:rFonts w:asciiTheme="majorHAnsi" w:hAnsiTheme="majorHAnsi" w:cs="Arial"/>
          <w:i/>
          <w:iCs/>
          <w:sz w:val="20"/>
          <w:szCs w:val="20"/>
        </w:rPr>
        <w:t xml:space="preserve"> de la </w:t>
      </w:r>
      <w:proofErr w:type="spellStart"/>
      <w:r w:rsidRPr="00385641">
        <w:rPr>
          <w:rFonts w:asciiTheme="majorHAnsi" w:hAnsiTheme="majorHAnsi" w:cs="Arial"/>
          <w:i/>
          <w:iCs/>
          <w:sz w:val="20"/>
          <w:szCs w:val="20"/>
        </w:rPr>
        <w:t>Defensa</w:t>
      </w:r>
      <w:proofErr w:type="spellEnd"/>
      <w:r w:rsidRPr="00385641">
        <w:rPr>
          <w:rFonts w:asciiTheme="majorHAnsi" w:hAnsiTheme="majorHAnsi" w:cs="Arial"/>
          <w:i/>
          <w:iCs/>
          <w:sz w:val="20"/>
          <w:szCs w:val="20"/>
        </w:rPr>
        <w:t xml:space="preserve"> de </w:t>
      </w:r>
      <w:proofErr w:type="spellStart"/>
      <w:r w:rsidRPr="00385641">
        <w:rPr>
          <w:rFonts w:asciiTheme="majorHAnsi" w:hAnsiTheme="majorHAnsi" w:cs="Arial"/>
          <w:i/>
          <w:iCs/>
          <w:sz w:val="20"/>
          <w:szCs w:val="20"/>
        </w:rPr>
        <w:t>los</w:t>
      </w:r>
      <w:proofErr w:type="spellEnd"/>
      <w:r w:rsidRPr="00385641">
        <w:rPr>
          <w:rFonts w:asciiTheme="majorHAnsi" w:hAnsiTheme="majorHAnsi" w:cs="Arial"/>
          <w:i/>
          <w:iCs/>
          <w:sz w:val="20"/>
          <w:szCs w:val="20"/>
        </w:rPr>
        <w:t xml:space="preserve"> Derechos del Pueblo</w:t>
      </w:r>
      <w:r w:rsidRPr="00385641">
        <w:rPr>
          <w:rFonts w:asciiTheme="majorHAnsi" w:hAnsiTheme="majorHAnsi" w:cs="Arial"/>
          <w:sz w:val="20"/>
          <w:szCs w:val="20"/>
        </w:rPr>
        <w:t xml:space="preserve"> [Corporation for the Promotion and Defense of Human Rights], CODEPU, in which Víctor Manuel </w:t>
      </w:r>
      <w:proofErr w:type="spellStart"/>
      <w:r w:rsidRPr="00385641">
        <w:rPr>
          <w:rFonts w:asciiTheme="majorHAnsi" w:hAnsiTheme="majorHAnsi" w:cs="Arial"/>
          <w:sz w:val="20"/>
          <w:szCs w:val="20"/>
        </w:rPr>
        <w:t>Améstica</w:t>
      </w:r>
      <w:proofErr w:type="spellEnd"/>
      <w:r w:rsidRPr="00385641">
        <w:rPr>
          <w:rFonts w:asciiTheme="majorHAnsi" w:hAnsiTheme="majorHAnsi" w:cs="Arial"/>
          <w:sz w:val="20"/>
          <w:szCs w:val="20"/>
        </w:rPr>
        <w:t xml:space="preserve"> Moreno, Oscar Armando </w:t>
      </w:r>
      <w:r w:rsidR="00385641" w:rsidRPr="00385641">
        <w:rPr>
          <w:rFonts w:asciiTheme="majorHAnsi" w:hAnsiTheme="majorHAnsi" w:cs="Arial"/>
          <w:sz w:val="20"/>
          <w:szCs w:val="20"/>
        </w:rPr>
        <w:t>Sepulveda</w:t>
      </w:r>
      <w:r w:rsidRPr="00385641">
        <w:rPr>
          <w:rFonts w:asciiTheme="majorHAnsi" w:hAnsiTheme="majorHAnsi" w:cs="Arial"/>
          <w:sz w:val="20"/>
          <w:szCs w:val="20"/>
        </w:rPr>
        <w:t xml:space="preserve"> </w:t>
      </w:r>
      <w:r w:rsidR="00385641" w:rsidRPr="00385641">
        <w:rPr>
          <w:rFonts w:asciiTheme="majorHAnsi" w:hAnsiTheme="majorHAnsi" w:cs="Arial"/>
          <w:sz w:val="20"/>
          <w:szCs w:val="20"/>
        </w:rPr>
        <w:t>Alarcon</w:t>
      </w:r>
      <w:r w:rsidRPr="00385641">
        <w:rPr>
          <w:rFonts w:asciiTheme="majorHAnsi" w:hAnsiTheme="majorHAnsi" w:cs="Arial"/>
          <w:sz w:val="20"/>
          <w:szCs w:val="20"/>
        </w:rPr>
        <w:t xml:space="preserve">, </w:t>
      </w:r>
      <w:proofErr w:type="spellStart"/>
      <w:r w:rsidRPr="00385641">
        <w:rPr>
          <w:rFonts w:asciiTheme="majorHAnsi" w:hAnsiTheme="majorHAnsi" w:cs="Arial"/>
          <w:sz w:val="20"/>
          <w:szCs w:val="20"/>
        </w:rPr>
        <w:t>Héctor</w:t>
      </w:r>
      <w:proofErr w:type="spellEnd"/>
      <w:r w:rsidRPr="00385641">
        <w:rPr>
          <w:rFonts w:asciiTheme="majorHAnsi" w:hAnsiTheme="majorHAnsi" w:cs="Arial"/>
          <w:sz w:val="20"/>
          <w:szCs w:val="20"/>
        </w:rPr>
        <w:t xml:space="preserve"> Santo </w:t>
      </w:r>
      <w:proofErr w:type="spellStart"/>
      <w:r w:rsidRPr="00385641">
        <w:rPr>
          <w:rFonts w:asciiTheme="majorHAnsi" w:hAnsiTheme="majorHAnsi" w:cs="Arial"/>
          <w:sz w:val="20"/>
          <w:szCs w:val="20"/>
        </w:rPr>
        <w:t>Martínez</w:t>
      </w:r>
      <w:proofErr w:type="spellEnd"/>
      <w:r w:rsidRPr="00385641">
        <w:rPr>
          <w:rFonts w:asciiTheme="majorHAnsi" w:hAnsiTheme="majorHAnsi" w:cs="Arial"/>
          <w:sz w:val="20"/>
          <w:szCs w:val="20"/>
        </w:rPr>
        <w:t xml:space="preserve"> </w:t>
      </w:r>
      <w:r w:rsidR="00385641" w:rsidRPr="00385641">
        <w:rPr>
          <w:rFonts w:asciiTheme="majorHAnsi" w:hAnsiTheme="majorHAnsi" w:cs="Arial"/>
          <w:sz w:val="20"/>
          <w:szCs w:val="20"/>
        </w:rPr>
        <w:t>Vasquez</w:t>
      </w:r>
      <w:r w:rsidRPr="00385641">
        <w:rPr>
          <w:rFonts w:asciiTheme="majorHAnsi" w:hAnsiTheme="majorHAnsi" w:cs="Arial"/>
          <w:sz w:val="20"/>
          <w:szCs w:val="20"/>
        </w:rPr>
        <w:t xml:space="preserve">, Alejandro César Sánchez Canales, and Alberto Celso Araneda Muñoz—all members of </w:t>
      </w:r>
      <w:proofErr w:type="spellStart"/>
      <w:r w:rsidRPr="00385641">
        <w:rPr>
          <w:rFonts w:asciiTheme="majorHAnsi" w:hAnsiTheme="majorHAnsi" w:cs="Arial"/>
          <w:sz w:val="20"/>
          <w:szCs w:val="20"/>
        </w:rPr>
        <w:t>Carabineros</w:t>
      </w:r>
      <w:proofErr w:type="spellEnd"/>
      <w:r w:rsidRPr="00385641">
        <w:rPr>
          <w:rFonts w:asciiTheme="majorHAnsi" w:hAnsiTheme="majorHAnsi" w:cs="Arial"/>
          <w:sz w:val="20"/>
          <w:szCs w:val="20"/>
        </w:rPr>
        <w:t xml:space="preserve"> de Chile at the time of the events that form the basis of their complaint—allege that they had been victims of an evaluation process carried out by officials of </w:t>
      </w:r>
      <w:proofErr w:type="spellStart"/>
      <w:r w:rsidRPr="00385641">
        <w:rPr>
          <w:rFonts w:asciiTheme="majorHAnsi" w:hAnsiTheme="majorHAnsi" w:cs="Arial"/>
          <w:sz w:val="20"/>
          <w:szCs w:val="20"/>
        </w:rPr>
        <w:t>Carabineros</w:t>
      </w:r>
      <w:proofErr w:type="spellEnd"/>
      <w:r w:rsidRPr="00385641">
        <w:rPr>
          <w:rFonts w:asciiTheme="majorHAnsi" w:hAnsiTheme="majorHAnsi" w:cs="Arial"/>
          <w:sz w:val="20"/>
          <w:szCs w:val="20"/>
        </w:rPr>
        <w:t xml:space="preserve"> de Chile, which resulted in their expulsion from the institution and the violation of their rights. The petitioners further alleged that their respective spouses, Jenny del Carmen Burgos </w:t>
      </w:r>
      <w:proofErr w:type="spellStart"/>
      <w:r w:rsidRPr="00385641">
        <w:rPr>
          <w:rFonts w:asciiTheme="majorHAnsi" w:hAnsiTheme="majorHAnsi" w:cs="Arial"/>
          <w:sz w:val="20"/>
          <w:szCs w:val="20"/>
        </w:rPr>
        <w:t>Orrego</w:t>
      </w:r>
      <w:proofErr w:type="spellEnd"/>
      <w:r w:rsidRPr="00385641">
        <w:rPr>
          <w:rFonts w:asciiTheme="majorHAnsi" w:hAnsiTheme="majorHAnsi" w:cs="Arial"/>
          <w:sz w:val="20"/>
          <w:szCs w:val="20"/>
        </w:rPr>
        <w:t xml:space="preserve">, Ernestina del Carmen Araya Cordero, Johana Solange </w:t>
      </w:r>
      <w:proofErr w:type="spellStart"/>
      <w:r w:rsidRPr="00385641">
        <w:rPr>
          <w:rFonts w:asciiTheme="majorHAnsi" w:hAnsiTheme="majorHAnsi" w:cs="Arial"/>
          <w:sz w:val="20"/>
          <w:szCs w:val="20"/>
        </w:rPr>
        <w:t>Valdebenito</w:t>
      </w:r>
      <w:proofErr w:type="spellEnd"/>
      <w:r w:rsidRPr="00385641">
        <w:rPr>
          <w:rFonts w:asciiTheme="majorHAnsi" w:hAnsiTheme="majorHAnsi" w:cs="Arial"/>
          <w:sz w:val="20"/>
          <w:szCs w:val="20"/>
        </w:rPr>
        <w:t xml:space="preserve"> </w:t>
      </w:r>
      <w:proofErr w:type="spellStart"/>
      <w:r w:rsidRPr="00385641">
        <w:rPr>
          <w:rFonts w:asciiTheme="majorHAnsi" w:hAnsiTheme="majorHAnsi" w:cs="Arial"/>
          <w:sz w:val="20"/>
          <w:szCs w:val="20"/>
        </w:rPr>
        <w:t>Pino</w:t>
      </w:r>
      <w:proofErr w:type="spellEnd"/>
      <w:r w:rsidRPr="00385641">
        <w:rPr>
          <w:rFonts w:asciiTheme="majorHAnsi" w:hAnsiTheme="majorHAnsi" w:cs="Arial"/>
          <w:sz w:val="20"/>
          <w:szCs w:val="20"/>
        </w:rPr>
        <w:t xml:space="preserve">, María </w:t>
      </w:r>
      <w:r w:rsidR="00385641">
        <w:rPr>
          <w:rFonts w:asciiTheme="majorHAnsi" w:hAnsiTheme="majorHAnsi" w:cs="Arial"/>
          <w:sz w:val="20"/>
          <w:szCs w:val="20"/>
        </w:rPr>
        <w:t>Angelic</w:t>
      </w:r>
      <w:r w:rsidR="00385641" w:rsidRPr="00385641">
        <w:rPr>
          <w:rFonts w:asciiTheme="majorHAnsi" w:hAnsiTheme="majorHAnsi" w:cs="Arial"/>
          <w:sz w:val="20"/>
          <w:szCs w:val="20"/>
        </w:rPr>
        <w:t>a</w:t>
      </w:r>
      <w:r w:rsidRPr="00385641">
        <w:rPr>
          <w:rFonts w:asciiTheme="majorHAnsi" w:hAnsiTheme="majorHAnsi" w:cs="Arial"/>
          <w:sz w:val="20"/>
          <w:szCs w:val="20"/>
        </w:rPr>
        <w:t xml:space="preserve"> </w:t>
      </w:r>
      <w:proofErr w:type="spellStart"/>
      <w:r w:rsidR="00385641" w:rsidRPr="00385641">
        <w:rPr>
          <w:rFonts w:asciiTheme="majorHAnsi" w:hAnsiTheme="majorHAnsi" w:cs="Arial"/>
          <w:sz w:val="20"/>
          <w:szCs w:val="20"/>
        </w:rPr>
        <w:t>Olguin</w:t>
      </w:r>
      <w:proofErr w:type="spellEnd"/>
      <w:r w:rsidRPr="00385641">
        <w:rPr>
          <w:rFonts w:asciiTheme="majorHAnsi" w:hAnsiTheme="majorHAnsi" w:cs="Arial"/>
          <w:sz w:val="20"/>
          <w:szCs w:val="20"/>
        </w:rPr>
        <w:t>, and Marisol Valencia Poblete, were discriminated against for being their wives.</w:t>
      </w: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rPr>
      </w:pP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rPr>
      </w:pPr>
      <w:r w:rsidRPr="00385641">
        <w:rPr>
          <w:rFonts w:asciiTheme="majorHAnsi" w:hAnsiTheme="majorHAnsi" w:cs="Arial"/>
          <w:sz w:val="20"/>
          <w:szCs w:val="20"/>
        </w:rPr>
        <w:tab/>
      </w:r>
      <w:r w:rsidRPr="00385641">
        <w:rPr>
          <w:rFonts w:asciiTheme="majorHAnsi" w:hAnsiTheme="majorHAnsi" w:cs="Arial"/>
          <w:sz w:val="20"/>
          <w:szCs w:val="20"/>
        </w:rPr>
        <w:tab/>
        <w:t>2. Specifically, the petitioners alleged that the State was responsible for violating the right to a fair trial, freedom of expression, right to privacy, rights of the family, right of assembly, right to property, right to equal protection, and right to judicial protection, in conjunction with the State’s obligation to respect and ensure human rights and the duty to adopt domestic legislation, established in Articles 1(1), 2, 8, 11, 17, 24, and 25 of the American Convention on Human Rights (hereinafter “the American Convention” or “the Convention”).</w:t>
      </w: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rPr>
      </w:pP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highlight w:val="cyan"/>
        </w:rPr>
      </w:pPr>
      <w:r w:rsidRPr="00385641">
        <w:rPr>
          <w:rFonts w:asciiTheme="majorHAnsi" w:hAnsiTheme="majorHAnsi" w:cs="Arial"/>
          <w:sz w:val="20"/>
          <w:szCs w:val="20"/>
        </w:rPr>
        <w:lastRenderedPageBreak/>
        <w:tab/>
      </w:r>
      <w:r w:rsidRPr="00385641">
        <w:rPr>
          <w:rFonts w:asciiTheme="majorHAnsi" w:hAnsiTheme="majorHAnsi" w:cs="Arial"/>
          <w:sz w:val="20"/>
          <w:szCs w:val="20"/>
        </w:rPr>
        <w:tab/>
        <w:t xml:space="preserve">3. The State, for its part, denied at that time that it had violated any provision of the American Convention and requested that the petition be declared inadmissible, since it did not meet the requirements established in Articles 46(1)(a)(b) and 47(b) and (c). In particular, the State indicated that the evaluation processes were in keeping with legislation in force at the time of the events in question, under which the work performance of the petitioners was rated as deficient by the rating bodies of </w:t>
      </w:r>
      <w:proofErr w:type="spellStart"/>
      <w:r w:rsidRPr="00385641">
        <w:rPr>
          <w:rFonts w:asciiTheme="majorHAnsi" w:hAnsiTheme="majorHAnsi" w:cs="Arial"/>
          <w:sz w:val="20"/>
          <w:szCs w:val="20"/>
        </w:rPr>
        <w:t>Carabineros</w:t>
      </w:r>
      <w:proofErr w:type="spellEnd"/>
      <w:r w:rsidRPr="00385641">
        <w:rPr>
          <w:rFonts w:asciiTheme="majorHAnsi" w:hAnsiTheme="majorHAnsi" w:cs="Arial"/>
          <w:sz w:val="20"/>
          <w:szCs w:val="20"/>
        </w:rPr>
        <w:t xml:space="preserve"> de Chile. It further noted that the petitioners had availed themselves of both administrative and judicial complaint mechanisms, which had failed to revoke the institution’s decision. </w:t>
      </w: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rPr>
      </w:pP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rPr>
      </w:pPr>
      <w:r w:rsidRPr="00385641">
        <w:rPr>
          <w:rFonts w:asciiTheme="majorHAnsi" w:hAnsiTheme="majorHAnsi" w:cs="Arial"/>
          <w:sz w:val="20"/>
          <w:szCs w:val="20"/>
        </w:rPr>
        <w:tab/>
      </w:r>
      <w:r w:rsidRPr="00385641">
        <w:rPr>
          <w:rFonts w:asciiTheme="majorHAnsi" w:hAnsiTheme="majorHAnsi" w:cs="Arial"/>
          <w:sz w:val="20"/>
          <w:szCs w:val="20"/>
        </w:rPr>
        <w:tab/>
        <w:t xml:space="preserve">4. The State also argued that there had been no violation of the rights recognized in the American Convention, since the demonstration in a public thoroughfare had exceeded the limits authorized by the laws in force, thereby disrupting public order and causing some demonstrators to be arrested. </w:t>
      </w: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rPr>
      </w:pP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rPr>
      </w:pPr>
      <w:r w:rsidRPr="00385641">
        <w:rPr>
          <w:rFonts w:asciiTheme="majorHAnsi" w:hAnsiTheme="majorHAnsi" w:cs="Arial"/>
          <w:sz w:val="20"/>
          <w:szCs w:val="20"/>
        </w:rPr>
        <w:tab/>
      </w:r>
      <w:r w:rsidRPr="00385641">
        <w:rPr>
          <w:rFonts w:asciiTheme="majorHAnsi" w:hAnsiTheme="majorHAnsi" w:cs="Arial"/>
          <w:sz w:val="20"/>
          <w:szCs w:val="20"/>
        </w:rPr>
        <w:tab/>
        <w:t xml:space="preserve">5. On October 10, 2003, after examining the positions of the parties, the Inter-American Commission on Human Rights concluded that it was competent to hear the petition presented by the petitioners and that the petition was admissible, in light of Articles 46 and 47 of the American Convention. </w:t>
      </w: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rPr>
      </w:pP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rPr>
      </w:pPr>
      <w:r w:rsidRPr="00385641">
        <w:rPr>
          <w:rFonts w:asciiTheme="majorHAnsi" w:hAnsiTheme="majorHAnsi" w:cs="Arial"/>
          <w:sz w:val="20"/>
          <w:szCs w:val="20"/>
        </w:rPr>
        <w:tab/>
      </w:r>
      <w:r w:rsidRPr="00385641">
        <w:rPr>
          <w:rFonts w:asciiTheme="majorHAnsi" w:hAnsiTheme="majorHAnsi" w:cs="Arial"/>
          <w:sz w:val="20"/>
          <w:szCs w:val="20"/>
        </w:rPr>
        <w:tab/>
        <w:t>6. During the processing of the complaint, the petitioners and the State expressed their desire, willingness, and interest in pursuing the friendly settlement procedure set forth in Article 48(1)(f) of the Convention and Article 4</w:t>
      </w:r>
      <w:r w:rsidR="00385641">
        <w:rPr>
          <w:rFonts w:asciiTheme="majorHAnsi" w:hAnsiTheme="majorHAnsi" w:cs="Arial"/>
          <w:sz w:val="20"/>
          <w:szCs w:val="20"/>
        </w:rPr>
        <w:t>1</w:t>
      </w:r>
      <w:r w:rsidRPr="00385641">
        <w:rPr>
          <w:rFonts w:asciiTheme="majorHAnsi" w:hAnsiTheme="majorHAnsi" w:cs="Arial"/>
          <w:sz w:val="20"/>
          <w:szCs w:val="20"/>
        </w:rPr>
        <w:t xml:space="preserve"> of the IACHR Rules of Procedures (hereinafter “the Rules of Procedure”), thereby initiating a process of dialogue and understanding designed to develop the foundations and elements of such an agreement, based on respect for the human rights established in the Convention and other inter-American instruments. </w:t>
      </w: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rPr>
      </w:pP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rPr>
      </w:pPr>
      <w:r w:rsidRPr="00385641">
        <w:rPr>
          <w:rFonts w:asciiTheme="majorHAnsi" w:hAnsiTheme="majorHAnsi" w:cs="Arial"/>
          <w:sz w:val="20"/>
          <w:szCs w:val="20"/>
        </w:rPr>
        <w:tab/>
      </w:r>
      <w:r w:rsidRPr="00385641">
        <w:rPr>
          <w:rFonts w:asciiTheme="majorHAnsi" w:hAnsiTheme="majorHAnsi" w:cs="Arial"/>
          <w:sz w:val="20"/>
          <w:szCs w:val="20"/>
        </w:rPr>
        <w:tab/>
        <w:t>7. On the basis of the foregoing, the signatory parties have agreed to the following friendly settlement proposal, according to the following terms:</w:t>
      </w: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rPr>
      </w:pP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b/>
          <w:sz w:val="20"/>
          <w:szCs w:val="20"/>
        </w:rPr>
      </w:pPr>
      <w:r w:rsidRPr="00385641">
        <w:rPr>
          <w:rFonts w:asciiTheme="majorHAnsi" w:hAnsiTheme="majorHAnsi" w:cs="Arial"/>
          <w:sz w:val="20"/>
          <w:szCs w:val="20"/>
        </w:rPr>
        <w:tab/>
      </w:r>
      <w:r w:rsidRPr="00385641">
        <w:rPr>
          <w:rFonts w:asciiTheme="majorHAnsi" w:hAnsiTheme="majorHAnsi" w:cs="Arial"/>
          <w:sz w:val="20"/>
          <w:szCs w:val="20"/>
        </w:rPr>
        <w:tab/>
      </w:r>
      <w:r w:rsidRPr="00385641">
        <w:rPr>
          <w:rFonts w:asciiTheme="majorHAnsi" w:hAnsiTheme="majorHAnsi" w:cs="Arial"/>
          <w:b/>
          <w:sz w:val="20"/>
          <w:szCs w:val="20"/>
        </w:rPr>
        <w:t>III. PUBLIC ACKNOWLEDGEMENT OF RESPONSIBILITY</w:t>
      </w: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rPr>
      </w:pP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rPr>
      </w:pPr>
      <w:r w:rsidRPr="00385641">
        <w:rPr>
          <w:rFonts w:asciiTheme="majorHAnsi" w:hAnsiTheme="majorHAnsi" w:cs="Arial"/>
          <w:sz w:val="20"/>
          <w:szCs w:val="20"/>
        </w:rPr>
        <w:tab/>
      </w:r>
      <w:r w:rsidRPr="00385641">
        <w:rPr>
          <w:rFonts w:asciiTheme="majorHAnsi" w:hAnsiTheme="majorHAnsi" w:cs="Arial"/>
          <w:sz w:val="20"/>
          <w:szCs w:val="20"/>
        </w:rPr>
        <w:tab/>
        <w:t>8. Through this friendly settlement agreement, the Chilean State acknowledges that according to international standards, there was a violation of the petitioners’ rights.</w:t>
      </w: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rPr>
      </w:pP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b/>
          <w:sz w:val="20"/>
          <w:szCs w:val="20"/>
        </w:rPr>
      </w:pPr>
      <w:r w:rsidRPr="00385641">
        <w:rPr>
          <w:rFonts w:asciiTheme="majorHAnsi" w:hAnsiTheme="majorHAnsi" w:cs="Arial"/>
          <w:sz w:val="20"/>
          <w:szCs w:val="20"/>
        </w:rPr>
        <w:tab/>
      </w:r>
      <w:r w:rsidRPr="00385641">
        <w:rPr>
          <w:rFonts w:asciiTheme="majorHAnsi" w:hAnsiTheme="majorHAnsi" w:cs="Arial"/>
          <w:sz w:val="20"/>
          <w:szCs w:val="20"/>
        </w:rPr>
        <w:tab/>
      </w:r>
      <w:r w:rsidRPr="00385641">
        <w:rPr>
          <w:rFonts w:asciiTheme="majorHAnsi" w:hAnsiTheme="majorHAnsi" w:cs="Arial"/>
          <w:b/>
          <w:sz w:val="20"/>
          <w:szCs w:val="20"/>
        </w:rPr>
        <w:t>IV. MEASURES OF NON-REPETITION</w:t>
      </w: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rPr>
      </w:pP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rPr>
      </w:pPr>
      <w:r w:rsidRPr="00385641">
        <w:rPr>
          <w:rFonts w:asciiTheme="majorHAnsi" w:hAnsiTheme="majorHAnsi" w:cs="Arial"/>
          <w:sz w:val="20"/>
          <w:szCs w:val="20"/>
        </w:rPr>
        <w:tab/>
      </w:r>
      <w:r w:rsidRPr="00385641">
        <w:rPr>
          <w:rFonts w:asciiTheme="majorHAnsi" w:hAnsiTheme="majorHAnsi" w:cs="Arial"/>
          <w:sz w:val="20"/>
          <w:szCs w:val="20"/>
        </w:rPr>
        <w:tab/>
        <w:t xml:space="preserve">9. The Chilean State undertakes to conduct a review of the legal and regulatory provisions applicable to performance evaluations of the </w:t>
      </w:r>
      <w:proofErr w:type="spellStart"/>
      <w:r w:rsidRPr="00385641">
        <w:rPr>
          <w:rFonts w:asciiTheme="majorHAnsi" w:hAnsiTheme="majorHAnsi" w:cs="Arial"/>
          <w:sz w:val="20"/>
          <w:szCs w:val="20"/>
        </w:rPr>
        <w:t>Carabineros</w:t>
      </w:r>
      <w:proofErr w:type="spellEnd"/>
      <w:r w:rsidRPr="00385641">
        <w:rPr>
          <w:rFonts w:asciiTheme="majorHAnsi" w:hAnsiTheme="majorHAnsi" w:cs="Arial"/>
          <w:sz w:val="20"/>
          <w:szCs w:val="20"/>
        </w:rPr>
        <w:t xml:space="preserve">. The purpose is to verify whether rules governing staff performance evaluations respect the principle of objectivity, allow both sides to be heard, allow for rebuttal, and generally afford proper protections of the rights of </w:t>
      </w:r>
      <w:proofErr w:type="spellStart"/>
      <w:r w:rsidRPr="00385641">
        <w:rPr>
          <w:rFonts w:asciiTheme="majorHAnsi" w:hAnsiTheme="majorHAnsi" w:cs="Arial"/>
          <w:sz w:val="20"/>
          <w:szCs w:val="20"/>
        </w:rPr>
        <w:t>Carabinero</w:t>
      </w:r>
      <w:proofErr w:type="spellEnd"/>
      <w:r w:rsidRPr="00385641">
        <w:rPr>
          <w:rFonts w:asciiTheme="majorHAnsi" w:hAnsiTheme="majorHAnsi" w:cs="Arial"/>
          <w:sz w:val="20"/>
          <w:szCs w:val="20"/>
        </w:rPr>
        <w:t xml:space="preserve"> employees, in accordance with international human rights standards. </w:t>
      </w: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rPr>
      </w:pP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rPr>
      </w:pPr>
      <w:r w:rsidRPr="00385641">
        <w:rPr>
          <w:rFonts w:asciiTheme="majorHAnsi" w:hAnsiTheme="majorHAnsi" w:cs="Arial"/>
          <w:sz w:val="20"/>
          <w:szCs w:val="20"/>
        </w:rPr>
        <w:tab/>
      </w:r>
      <w:r w:rsidRPr="00385641">
        <w:rPr>
          <w:rFonts w:asciiTheme="majorHAnsi" w:hAnsiTheme="majorHAnsi" w:cs="Arial"/>
          <w:sz w:val="20"/>
          <w:szCs w:val="20"/>
        </w:rPr>
        <w:tab/>
        <w:t>The Chilean State also undertakes to inform the IACHR, within one year’s time, of the result of that analysis, and to report on progress made regarding any measures it may have adopted as a result of that review.</w:t>
      </w: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right="720"/>
        <w:contextualSpacing/>
        <w:jc w:val="both"/>
        <w:rPr>
          <w:rFonts w:asciiTheme="majorHAnsi" w:hAnsiTheme="majorHAnsi" w:cs="Arial"/>
          <w:sz w:val="20"/>
          <w:szCs w:val="20"/>
        </w:rPr>
      </w:pP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b/>
          <w:sz w:val="20"/>
          <w:szCs w:val="20"/>
        </w:rPr>
      </w:pPr>
      <w:r w:rsidRPr="00385641">
        <w:rPr>
          <w:rFonts w:asciiTheme="majorHAnsi" w:hAnsiTheme="majorHAnsi" w:cs="Arial"/>
          <w:sz w:val="20"/>
          <w:szCs w:val="20"/>
        </w:rPr>
        <w:tab/>
      </w:r>
      <w:r w:rsidRPr="00385641">
        <w:rPr>
          <w:rFonts w:asciiTheme="majorHAnsi" w:hAnsiTheme="majorHAnsi" w:cs="Arial"/>
          <w:sz w:val="20"/>
          <w:szCs w:val="20"/>
        </w:rPr>
        <w:tab/>
      </w:r>
      <w:r w:rsidRPr="00385641">
        <w:rPr>
          <w:rFonts w:asciiTheme="majorHAnsi" w:hAnsiTheme="majorHAnsi" w:cs="Arial"/>
          <w:b/>
          <w:sz w:val="20"/>
          <w:szCs w:val="20"/>
        </w:rPr>
        <w:t>V. SPECIFIC REPARATIONS</w:t>
      </w: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b/>
          <w:sz w:val="20"/>
          <w:szCs w:val="20"/>
        </w:rPr>
      </w:pP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rPr>
      </w:pPr>
      <w:r w:rsidRPr="00385641">
        <w:rPr>
          <w:rFonts w:asciiTheme="majorHAnsi" w:hAnsiTheme="majorHAnsi" w:cs="Arial"/>
          <w:sz w:val="20"/>
          <w:szCs w:val="20"/>
        </w:rPr>
        <w:tab/>
      </w:r>
      <w:r w:rsidRPr="00385641">
        <w:rPr>
          <w:rFonts w:asciiTheme="majorHAnsi" w:hAnsiTheme="majorHAnsi" w:cs="Arial"/>
          <w:sz w:val="20"/>
          <w:szCs w:val="20"/>
        </w:rPr>
        <w:tab/>
        <w:t xml:space="preserve">10. Within three months of the signing of this agreement, the Chilean State undertakes to remove or clean up the administrative files of the victims in this case, eliminating all records of the events that gave rise to these complaints. </w:t>
      </w: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rPr>
      </w:pP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rPr>
      </w:pPr>
      <w:r w:rsidRPr="00385641">
        <w:rPr>
          <w:rFonts w:asciiTheme="majorHAnsi" w:hAnsiTheme="majorHAnsi" w:cs="Arial"/>
          <w:sz w:val="20"/>
          <w:szCs w:val="20"/>
        </w:rPr>
        <w:tab/>
      </w:r>
      <w:r w:rsidRPr="00385641">
        <w:rPr>
          <w:rFonts w:asciiTheme="majorHAnsi" w:hAnsiTheme="majorHAnsi" w:cs="Arial"/>
          <w:sz w:val="20"/>
          <w:szCs w:val="20"/>
        </w:rPr>
        <w:tab/>
        <w:t xml:space="preserve">11. The Chilean State undertakes to publish a summary of this friendly settlement agreement, one time only, in the Official Gazette of the Republic of Chile, and to post it for six </w:t>
      </w:r>
      <w:r w:rsidRPr="00385641">
        <w:rPr>
          <w:rFonts w:asciiTheme="majorHAnsi" w:hAnsiTheme="majorHAnsi" w:cs="Arial"/>
          <w:sz w:val="20"/>
          <w:szCs w:val="20"/>
        </w:rPr>
        <w:lastRenderedPageBreak/>
        <w:t xml:space="preserve">months on the websites of the Foreign Ministry, the Ministry of Defense, and the </w:t>
      </w:r>
      <w:proofErr w:type="spellStart"/>
      <w:r w:rsidRPr="00385641">
        <w:rPr>
          <w:rFonts w:asciiTheme="majorHAnsi" w:hAnsiTheme="majorHAnsi" w:cs="Arial"/>
          <w:sz w:val="20"/>
          <w:szCs w:val="20"/>
        </w:rPr>
        <w:t>Carabineros</w:t>
      </w:r>
      <w:proofErr w:type="spellEnd"/>
      <w:r w:rsidRPr="00385641">
        <w:rPr>
          <w:rFonts w:asciiTheme="majorHAnsi" w:hAnsiTheme="majorHAnsi" w:cs="Arial"/>
          <w:sz w:val="20"/>
          <w:szCs w:val="20"/>
        </w:rPr>
        <w:t xml:space="preserve"> de Chile.</w:t>
      </w: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rPr>
      </w:pP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rPr>
      </w:pPr>
      <w:r w:rsidRPr="00385641">
        <w:rPr>
          <w:rFonts w:asciiTheme="majorHAnsi" w:hAnsiTheme="majorHAnsi" w:cs="Arial"/>
          <w:sz w:val="20"/>
          <w:szCs w:val="20"/>
        </w:rPr>
        <w:tab/>
      </w:r>
      <w:r w:rsidRPr="00385641">
        <w:rPr>
          <w:rFonts w:asciiTheme="majorHAnsi" w:hAnsiTheme="majorHAnsi" w:cs="Arial"/>
          <w:sz w:val="20"/>
          <w:szCs w:val="20"/>
        </w:rPr>
        <w:tab/>
        <w:t xml:space="preserve">12. Through a letter sent by the Under-Secretary of </w:t>
      </w:r>
      <w:proofErr w:type="spellStart"/>
      <w:r w:rsidRPr="00385641">
        <w:rPr>
          <w:rFonts w:asciiTheme="majorHAnsi" w:hAnsiTheme="majorHAnsi" w:cs="Arial"/>
          <w:sz w:val="20"/>
          <w:szCs w:val="20"/>
        </w:rPr>
        <w:t>Carabineros</w:t>
      </w:r>
      <w:proofErr w:type="spellEnd"/>
      <w:r w:rsidRPr="00385641">
        <w:rPr>
          <w:rFonts w:asciiTheme="majorHAnsi" w:hAnsiTheme="majorHAnsi" w:cs="Arial"/>
          <w:sz w:val="20"/>
          <w:szCs w:val="20"/>
        </w:rPr>
        <w:t xml:space="preserve"> de Chile, Ms. Javiera Blanco Suárez, to each of the victims in both cases, the Chilean State shall give a formal apology for the reported violations and the repercussions these had on their lives and personal and family relationships. The letter will also indicate the measures proposed to remediate the consequences and inconveniences the victims suffered. </w:t>
      </w: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rPr>
      </w:pP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rPr>
      </w:pPr>
      <w:r w:rsidRPr="00385641">
        <w:rPr>
          <w:rFonts w:asciiTheme="majorHAnsi" w:hAnsiTheme="majorHAnsi" w:cs="Arial"/>
          <w:sz w:val="20"/>
          <w:szCs w:val="20"/>
        </w:rPr>
        <w:tab/>
      </w:r>
      <w:r w:rsidRPr="00385641">
        <w:rPr>
          <w:rFonts w:asciiTheme="majorHAnsi" w:hAnsiTheme="majorHAnsi" w:cs="Arial"/>
          <w:sz w:val="20"/>
          <w:szCs w:val="20"/>
        </w:rPr>
        <w:tab/>
        <w:t xml:space="preserve">13. The petitioners may have direct access to the health services offered by both the </w:t>
      </w:r>
      <w:proofErr w:type="spellStart"/>
      <w:r w:rsidRPr="00385641">
        <w:rPr>
          <w:rFonts w:asciiTheme="majorHAnsi" w:hAnsiTheme="majorHAnsi" w:cs="Arial"/>
          <w:sz w:val="20"/>
          <w:szCs w:val="20"/>
        </w:rPr>
        <w:t>Carabineros</w:t>
      </w:r>
      <w:proofErr w:type="spellEnd"/>
      <w:r w:rsidRPr="00385641">
        <w:rPr>
          <w:rFonts w:asciiTheme="majorHAnsi" w:hAnsiTheme="majorHAnsi" w:cs="Arial"/>
          <w:sz w:val="20"/>
          <w:szCs w:val="20"/>
        </w:rPr>
        <w:t xml:space="preserve">’ Hospital, “HOSPITAL DEL GENERAL HUMBERTO ARRIAGADA VALDIVESO,” and the Hospital of the </w:t>
      </w:r>
      <w:proofErr w:type="spellStart"/>
      <w:r w:rsidRPr="00385641">
        <w:rPr>
          <w:rFonts w:asciiTheme="majorHAnsi" w:hAnsiTheme="majorHAnsi" w:cs="Arial"/>
          <w:sz w:val="20"/>
          <w:szCs w:val="20"/>
        </w:rPr>
        <w:t>Carabineros</w:t>
      </w:r>
      <w:proofErr w:type="spellEnd"/>
      <w:r w:rsidRPr="00385641">
        <w:rPr>
          <w:rFonts w:asciiTheme="majorHAnsi" w:hAnsiTheme="majorHAnsi" w:cs="Arial"/>
          <w:sz w:val="20"/>
          <w:szCs w:val="20"/>
        </w:rPr>
        <w:t xml:space="preserve"> Social Security Department [</w:t>
      </w:r>
      <w:proofErr w:type="spellStart"/>
      <w:r w:rsidRPr="00385641">
        <w:rPr>
          <w:rFonts w:asciiTheme="majorHAnsi" w:hAnsiTheme="majorHAnsi" w:cs="Arial"/>
          <w:i/>
          <w:iCs/>
          <w:sz w:val="20"/>
          <w:szCs w:val="20"/>
        </w:rPr>
        <w:t>Dirección</w:t>
      </w:r>
      <w:proofErr w:type="spellEnd"/>
      <w:r w:rsidRPr="00385641">
        <w:rPr>
          <w:rFonts w:asciiTheme="majorHAnsi" w:hAnsiTheme="majorHAnsi" w:cs="Arial"/>
          <w:i/>
          <w:iCs/>
          <w:sz w:val="20"/>
          <w:szCs w:val="20"/>
        </w:rPr>
        <w:t xml:space="preserve"> de </w:t>
      </w:r>
      <w:proofErr w:type="spellStart"/>
      <w:r w:rsidRPr="00385641">
        <w:rPr>
          <w:rFonts w:asciiTheme="majorHAnsi" w:hAnsiTheme="majorHAnsi" w:cs="Arial"/>
          <w:i/>
          <w:iCs/>
          <w:sz w:val="20"/>
          <w:szCs w:val="20"/>
        </w:rPr>
        <w:t>Previsión</w:t>
      </w:r>
      <w:proofErr w:type="spellEnd"/>
      <w:r w:rsidRPr="00385641">
        <w:rPr>
          <w:rFonts w:asciiTheme="majorHAnsi" w:hAnsiTheme="majorHAnsi" w:cs="Arial"/>
          <w:i/>
          <w:iCs/>
          <w:sz w:val="20"/>
          <w:szCs w:val="20"/>
        </w:rPr>
        <w:t xml:space="preserve"> de </w:t>
      </w:r>
      <w:proofErr w:type="spellStart"/>
      <w:r w:rsidRPr="00385641">
        <w:rPr>
          <w:rFonts w:asciiTheme="majorHAnsi" w:hAnsiTheme="majorHAnsi" w:cs="Arial"/>
          <w:i/>
          <w:iCs/>
          <w:sz w:val="20"/>
          <w:szCs w:val="20"/>
        </w:rPr>
        <w:t>Carabineros</w:t>
      </w:r>
      <w:proofErr w:type="spellEnd"/>
      <w:r w:rsidRPr="00385641">
        <w:rPr>
          <w:rFonts w:asciiTheme="majorHAnsi" w:hAnsiTheme="majorHAnsi" w:cs="Arial"/>
          <w:i/>
          <w:iCs/>
          <w:sz w:val="20"/>
          <w:szCs w:val="20"/>
        </w:rPr>
        <w:t xml:space="preserve">], </w:t>
      </w:r>
      <w:r w:rsidRPr="00385641">
        <w:rPr>
          <w:rFonts w:asciiTheme="majorHAnsi" w:hAnsiTheme="majorHAnsi" w:cs="Arial"/>
          <w:sz w:val="20"/>
          <w:szCs w:val="20"/>
        </w:rPr>
        <w:t xml:space="preserve">“HOSPITAL TENIENTE HERNÁN MERINO CORREO,” interchangeably, in accordance with the rates set by each hospital and the rates in effect for the Social Security Department health system at the time health services are provided, and in accordance with whether the beneficiaries are enrolled in the FONASA or ISAPRE health insurance systems. To this end, the petitioners are understood to be authorized by the authorities of these two hospitals to receive services without the sponsorship of an active or passive contributor into the </w:t>
      </w:r>
      <w:proofErr w:type="spellStart"/>
      <w:r w:rsidRPr="00385641">
        <w:rPr>
          <w:rFonts w:asciiTheme="majorHAnsi" w:hAnsiTheme="majorHAnsi" w:cs="Arial"/>
          <w:sz w:val="20"/>
          <w:szCs w:val="20"/>
        </w:rPr>
        <w:t>Carabineros</w:t>
      </w:r>
      <w:proofErr w:type="spellEnd"/>
      <w:r w:rsidRPr="00385641">
        <w:rPr>
          <w:rFonts w:asciiTheme="majorHAnsi" w:hAnsiTheme="majorHAnsi" w:cs="Arial"/>
          <w:sz w:val="20"/>
          <w:szCs w:val="20"/>
        </w:rPr>
        <w:t xml:space="preserve"> Social Security system, which is taking financial responsibility for the medical benefits provided.</w:t>
      </w: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rPr>
      </w:pP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rPr>
      </w:pPr>
      <w:r w:rsidRPr="00385641">
        <w:rPr>
          <w:rFonts w:asciiTheme="majorHAnsi" w:hAnsiTheme="majorHAnsi" w:cs="Arial"/>
          <w:sz w:val="20"/>
          <w:szCs w:val="20"/>
        </w:rPr>
        <w:tab/>
      </w:r>
      <w:r w:rsidRPr="00385641">
        <w:rPr>
          <w:rFonts w:asciiTheme="majorHAnsi" w:hAnsiTheme="majorHAnsi" w:cs="Arial"/>
          <w:sz w:val="20"/>
          <w:szCs w:val="20"/>
        </w:rPr>
        <w:tab/>
        <w:t xml:space="preserve">To accomplish this, the corresponding offices within the hospitals mentioned above will incorporate the petitioners into their databases, allowing them to use the hospitals by simply showing a current identity card. This will be implemented within one month of the date of this agreement.  </w:t>
      </w: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b/>
          <w:sz w:val="20"/>
          <w:szCs w:val="20"/>
        </w:rPr>
      </w:pP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b/>
          <w:sz w:val="20"/>
          <w:szCs w:val="20"/>
        </w:rPr>
      </w:pPr>
      <w:r w:rsidRPr="00385641">
        <w:rPr>
          <w:rFonts w:asciiTheme="majorHAnsi" w:hAnsiTheme="majorHAnsi" w:cs="Arial"/>
          <w:b/>
          <w:sz w:val="20"/>
          <w:szCs w:val="20"/>
        </w:rPr>
        <w:tab/>
      </w:r>
      <w:r w:rsidRPr="00385641">
        <w:rPr>
          <w:rFonts w:asciiTheme="majorHAnsi" w:hAnsiTheme="majorHAnsi" w:cs="Arial"/>
          <w:b/>
          <w:sz w:val="20"/>
          <w:szCs w:val="20"/>
        </w:rPr>
        <w:tab/>
        <w:t>VI. REPARATIONS</w:t>
      </w: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b/>
          <w:sz w:val="20"/>
          <w:szCs w:val="20"/>
        </w:rPr>
      </w:pP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rPr>
      </w:pPr>
      <w:r w:rsidRPr="00385641">
        <w:rPr>
          <w:rFonts w:asciiTheme="majorHAnsi" w:hAnsiTheme="majorHAnsi" w:cs="Arial"/>
          <w:sz w:val="20"/>
          <w:szCs w:val="20"/>
        </w:rPr>
        <w:tab/>
      </w:r>
      <w:r w:rsidRPr="00385641">
        <w:rPr>
          <w:rFonts w:asciiTheme="majorHAnsi" w:hAnsiTheme="majorHAnsi" w:cs="Arial"/>
          <w:sz w:val="20"/>
          <w:szCs w:val="20"/>
        </w:rPr>
        <w:tab/>
        <w:t xml:space="preserve">14. The following sums shall be paid to compensate for material and non-material damages: US$17,000 each to the former employees of the </w:t>
      </w:r>
      <w:proofErr w:type="spellStart"/>
      <w:r w:rsidRPr="00385641">
        <w:rPr>
          <w:rFonts w:asciiTheme="majorHAnsi" w:hAnsiTheme="majorHAnsi" w:cs="Arial"/>
          <w:sz w:val="20"/>
          <w:szCs w:val="20"/>
        </w:rPr>
        <w:t>Carabineros</w:t>
      </w:r>
      <w:proofErr w:type="spellEnd"/>
      <w:r w:rsidRPr="00385641">
        <w:rPr>
          <w:rFonts w:asciiTheme="majorHAnsi" w:hAnsiTheme="majorHAnsi" w:cs="Arial"/>
          <w:sz w:val="20"/>
          <w:szCs w:val="20"/>
        </w:rPr>
        <w:t xml:space="preserve"> individually named in this document and US$3,000 for each of the petitioners individually mentioned herein who were not employees of the </w:t>
      </w:r>
      <w:proofErr w:type="spellStart"/>
      <w:r w:rsidRPr="00385641">
        <w:rPr>
          <w:rFonts w:asciiTheme="majorHAnsi" w:hAnsiTheme="majorHAnsi" w:cs="Arial"/>
          <w:sz w:val="20"/>
          <w:szCs w:val="20"/>
        </w:rPr>
        <w:t>Carabineros</w:t>
      </w:r>
      <w:proofErr w:type="spellEnd"/>
      <w:r w:rsidRPr="00385641">
        <w:rPr>
          <w:rFonts w:asciiTheme="majorHAnsi" w:hAnsiTheme="majorHAnsi" w:cs="Arial"/>
          <w:sz w:val="20"/>
          <w:szCs w:val="20"/>
        </w:rPr>
        <w:t>. These payments will be made in their equivalent in Chilean pesos at the time of payment.</w:t>
      </w: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rPr>
      </w:pP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rPr>
      </w:pPr>
      <w:r w:rsidRPr="00385641">
        <w:rPr>
          <w:rFonts w:asciiTheme="majorHAnsi" w:hAnsiTheme="majorHAnsi" w:cs="Arial"/>
          <w:sz w:val="20"/>
          <w:szCs w:val="20"/>
        </w:rPr>
        <w:tab/>
      </w:r>
      <w:r w:rsidRPr="00385641">
        <w:rPr>
          <w:rFonts w:asciiTheme="majorHAnsi" w:hAnsiTheme="majorHAnsi" w:cs="Arial"/>
          <w:sz w:val="20"/>
          <w:szCs w:val="20"/>
        </w:rPr>
        <w:tab/>
        <w:t xml:space="preserve">Payment will be made in the form of a check payable to the order of each of the victims, within three months of the date of this agreement. These checks shall be picked up by the petitioners at the Human Rights Department of the Foreign Ministry of Chile, upon presentation of their national identity card. </w:t>
      </w: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rPr>
      </w:pP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b/>
          <w:sz w:val="20"/>
          <w:szCs w:val="20"/>
        </w:rPr>
      </w:pPr>
      <w:r w:rsidRPr="00385641">
        <w:rPr>
          <w:rFonts w:asciiTheme="majorHAnsi" w:hAnsiTheme="majorHAnsi" w:cs="Arial"/>
          <w:sz w:val="20"/>
          <w:szCs w:val="20"/>
        </w:rPr>
        <w:tab/>
      </w:r>
      <w:r w:rsidRPr="00385641">
        <w:rPr>
          <w:rFonts w:asciiTheme="majorHAnsi" w:hAnsiTheme="majorHAnsi" w:cs="Arial"/>
          <w:sz w:val="20"/>
          <w:szCs w:val="20"/>
        </w:rPr>
        <w:tab/>
      </w:r>
      <w:r w:rsidRPr="00385641">
        <w:rPr>
          <w:rFonts w:asciiTheme="majorHAnsi" w:hAnsiTheme="majorHAnsi" w:cs="Arial"/>
          <w:b/>
          <w:sz w:val="20"/>
          <w:szCs w:val="20"/>
        </w:rPr>
        <w:t>VII. FOLLOW-UP COMMITTEE</w:t>
      </w: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b/>
          <w:sz w:val="20"/>
          <w:szCs w:val="20"/>
        </w:rPr>
      </w:pP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rPr>
      </w:pPr>
      <w:r w:rsidRPr="00385641">
        <w:rPr>
          <w:rFonts w:asciiTheme="majorHAnsi" w:hAnsiTheme="majorHAnsi" w:cs="Arial"/>
          <w:sz w:val="20"/>
          <w:szCs w:val="20"/>
        </w:rPr>
        <w:tab/>
      </w:r>
      <w:r w:rsidRPr="00385641">
        <w:rPr>
          <w:rFonts w:asciiTheme="majorHAnsi" w:hAnsiTheme="majorHAnsi" w:cs="Arial"/>
          <w:sz w:val="20"/>
          <w:szCs w:val="20"/>
        </w:rPr>
        <w:tab/>
        <w:t xml:space="preserve">15. In order to monitor compliance with the commitments made in this agreement, the parties agree to form a Follow-Up Committee coordinated by the Human Rights Department of the Ministry of Foreign Affairs of Chile. This Committee will be comprised of one representative of the Human Rights Department of the Chilean Foreign Ministry, one representative of </w:t>
      </w:r>
      <w:proofErr w:type="spellStart"/>
      <w:r w:rsidRPr="00385641">
        <w:rPr>
          <w:rFonts w:asciiTheme="majorHAnsi" w:hAnsiTheme="majorHAnsi" w:cs="Arial"/>
          <w:sz w:val="20"/>
          <w:szCs w:val="20"/>
        </w:rPr>
        <w:t>Carabineros</w:t>
      </w:r>
      <w:proofErr w:type="spellEnd"/>
      <w:r w:rsidRPr="00385641">
        <w:rPr>
          <w:rFonts w:asciiTheme="majorHAnsi" w:hAnsiTheme="majorHAnsi" w:cs="Arial"/>
          <w:sz w:val="20"/>
          <w:szCs w:val="20"/>
        </w:rPr>
        <w:t xml:space="preserve"> de Chile, one representative of the Ministry of Defense, and one representative of the petitioners. The methodology and frequency of the Committee’s meetings will be decided by its members. The Committee will periodically report to the Executive Secretariat of the IACHR on progress being made to fulfill the commitments undertaken in this agreement. </w:t>
      </w: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highlight w:val="cyan"/>
        </w:rPr>
      </w:pP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b/>
          <w:sz w:val="20"/>
          <w:szCs w:val="20"/>
        </w:rPr>
      </w:pPr>
      <w:r w:rsidRPr="00385641">
        <w:rPr>
          <w:rFonts w:asciiTheme="majorHAnsi" w:hAnsiTheme="majorHAnsi" w:cs="Arial"/>
          <w:sz w:val="20"/>
          <w:szCs w:val="20"/>
        </w:rPr>
        <w:tab/>
      </w:r>
      <w:r w:rsidRPr="00385641">
        <w:rPr>
          <w:rFonts w:asciiTheme="majorHAnsi" w:hAnsiTheme="majorHAnsi" w:cs="Arial"/>
          <w:sz w:val="20"/>
          <w:szCs w:val="20"/>
        </w:rPr>
        <w:tab/>
      </w:r>
      <w:r w:rsidRPr="00385641">
        <w:rPr>
          <w:rFonts w:asciiTheme="majorHAnsi" w:hAnsiTheme="majorHAnsi" w:cs="Arial"/>
          <w:b/>
          <w:sz w:val="20"/>
          <w:szCs w:val="20"/>
        </w:rPr>
        <w:t>VIII. FAILURE TO COMPLY WITH THESE COMMITMENTS</w:t>
      </w: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b/>
          <w:sz w:val="20"/>
          <w:szCs w:val="20"/>
        </w:rPr>
      </w:pP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rPr>
      </w:pPr>
      <w:r w:rsidRPr="00385641">
        <w:rPr>
          <w:rFonts w:asciiTheme="majorHAnsi" w:hAnsiTheme="majorHAnsi" w:cs="Arial"/>
          <w:sz w:val="20"/>
          <w:szCs w:val="20"/>
        </w:rPr>
        <w:tab/>
      </w:r>
      <w:r w:rsidRPr="00385641">
        <w:rPr>
          <w:rFonts w:asciiTheme="majorHAnsi" w:hAnsiTheme="majorHAnsi" w:cs="Arial"/>
          <w:sz w:val="20"/>
          <w:szCs w:val="20"/>
        </w:rPr>
        <w:tab/>
        <w:t xml:space="preserve">16. The commitments made in this friendly settlement agreement must be fulfilled. Failure to comply with one or more points shall terminate the friendly settlement procedure </w:t>
      </w:r>
      <w:r w:rsidRPr="00385641">
        <w:rPr>
          <w:rFonts w:asciiTheme="majorHAnsi" w:hAnsiTheme="majorHAnsi" w:cs="Arial"/>
          <w:sz w:val="20"/>
          <w:szCs w:val="20"/>
        </w:rPr>
        <w:lastRenderedPageBreak/>
        <w:t xml:space="preserve">before the Inter-American Commission on Human Rights, and both the State and the petitioners shall immediately inform the Commission that they rescind the friendly settlement, thus empowering the Commission to continue processing the cases according to procedure. </w:t>
      </w: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b/>
          <w:sz w:val="20"/>
          <w:szCs w:val="20"/>
        </w:rPr>
      </w:pP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b/>
          <w:sz w:val="20"/>
          <w:szCs w:val="20"/>
        </w:rPr>
      </w:pPr>
      <w:r w:rsidRPr="00385641">
        <w:rPr>
          <w:rFonts w:asciiTheme="majorHAnsi" w:hAnsiTheme="majorHAnsi" w:cs="Arial"/>
          <w:b/>
          <w:sz w:val="20"/>
          <w:szCs w:val="20"/>
        </w:rPr>
        <w:tab/>
      </w:r>
      <w:r w:rsidRPr="00385641">
        <w:rPr>
          <w:rFonts w:asciiTheme="majorHAnsi" w:hAnsiTheme="majorHAnsi" w:cs="Arial"/>
          <w:b/>
          <w:sz w:val="20"/>
          <w:szCs w:val="20"/>
        </w:rPr>
        <w:tab/>
        <w:t xml:space="preserve">IX. WAIVER OF REIMBURSEMENT FOR COSTS AND EXPENSES </w:t>
      </w: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b/>
          <w:sz w:val="20"/>
          <w:szCs w:val="20"/>
        </w:rPr>
      </w:pP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rPr>
      </w:pPr>
      <w:r w:rsidRPr="00385641">
        <w:rPr>
          <w:rFonts w:asciiTheme="majorHAnsi" w:hAnsiTheme="majorHAnsi" w:cs="Arial"/>
          <w:b/>
          <w:sz w:val="20"/>
          <w:szCs w:val="20"/>
        </w:rPr>
        <w:tab/>
      </w:r>
      <w:r w:rsidRPr="00385641">
        <w:rPr>
          <w:rFonts w:asciiTheme="majorHAnsi" w:hAnsiTheme="majorHAnsi" w:cs="Arial"/>
          <w:b/>
          <w:sz w:val="20"/>
          <w:szCs w:val="20"/>
        </w:rPr>
        <w:tab/>
      </w:r>
      <w:r w:rsidRPr="00385641">
        <w:rPr>
          <w:rFonts w:asciiTheme="majorHAnsi" w:hAnsiTheme="majorHAnsi" w:cs="Arial"/>
          <w:sz w:val="20"/>
          <w:szCs w:val="20"/>
        </w:rPr>
        <w:t xml:space="preserve">17. It is clearly established that in order to facilitate a friendly settlement in both cases and help bring Chilean domestic law in line with international standards for the protection of human rights, the petitioners relinquish their right to claim reimbursement from the State for costs and expenses. </w:t>
      </w: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rPr>
      </w:pP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b/>
          <w:sz w:val="20"/>
          <w:szCs w:val="20"/>
        </w:rPr>
      </w:pPr>
      <w:r w:rsidRPr="00385641">
        <w:rPr>
          <w:rFonts w:asciiTheme="majorHAnsi" w:hAnsiTheme="majorHAnsi" w:cs="Arial"/>
          <w:sz w:val="20"/>
          <w:szCs w:val="20"/>
        </w:rPr>
        <w:tab/>
      </w:r>
      <w:r w:rsidRPr="00385641">
        <w:rPr>
          <w:rFonts w:asciiTheme="majorHAnsi" w:hAnsiTheme="majorHAnsi" w:cs="Arial"/>
          <w:sz w:val="20"/>
          <w:szCs w:val="20"/>
        </w:rPr>
        <w:tab/>
      </w:r>
      <w:r w:rsidRPr="00385641">
        <w:rPr>
          <w:rFonts w:asciiTheme="majorHAnsi" w:hAnsiTheme="majorHAnsi" w:cs="Arial"/>
          <w:b/>
          <w:sz w:val="20"/>
          <w:szCs w:val="20"/>
        </w:rPr>
        <w:t>X. INTERPRETATION</w:t>
      </w: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rPr>
      </w:pP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rPr>
      </w:pPr>
      <w:r w:rsidRPr="00385641">
        <w:rPr>
          <w:rFonts w:asciiTheme="majorHAnsi" w:hAnsiTheme="majorHAnsi" w:cs="Arial"/>
          <w:sz w:val="20"/>
          <w:szCs w:val="20"/>
        </w:rPr>
        <w:tab/>
      </w:r>
      <w:r w:rsidRPr="00385641">
        <w:rPr>
          <w:rFonts w:asciiTheme="majorHAnsi" w:hAnsiTheme="majorHAnsi" w:cs="Arial"/>
          <w:sz w:val="20"/>
          <w:szCs w:val="20"/>
        </w:rPr>
        <w:tab/>
        <w:t>18. The parties agree that the meaning and scope of this agreement should be interpreted in accordance with Articles 29 and 30 of the American Convention on Human Rights, as relevant and under the principle of good faith. In the event of any concerns or disagreement among the parties regarding the content of this agreement, the Inter-American Commission on Human Rights shall decide on matters of interpretation. The Commission will also verify compliance.</w:t>
      </w: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rPr>
      </w:pP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b/>
          <w:sz w:val="20"/>
          <w:szCs w:val="20"/>
        </w:rPr>
      </w:pPr>
      <w:r w:rsidRPr="00385641">
        <w:rPr>
          <w:rFonts w:asciiTheme="majorHAnsi" w:hAnsiTheme="majorHAnsi" w:cs="Arial"/>
          <w:sz w:val="20"/>
          <w:szCs w:val="20"/>
        </w:rPr>
        <w:tab/>
      </w:r>
      <w:r w:rsidRPr="00385641">
        <w:rPr>
          <w:rFonts w:asciiTheme="majorHAnsi" w:hAnsiTheme="majorHAnsi" w:cs="Arial"/>
          <w:sz w:val="20"/>
          <w:szCs w:val="20"/>
        </w:rPr>
        <w:tab/>
      </w:r>
      <w:r w:rsidRPr="00385641">
        <w:rPr>
          <w:rFonts w:asciiTheme="majorHAnsi" w:hAnsiTheme="majorHAnsi" w:cs="Arial"/>
          <w:b/>
          <w:sz w:val="20"/>
          <w:szCs w:val="20"/>
        </w:rPr>
        <w:t>XI. APPROVAL</w:t>
      </w: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b/>
          <w:sz w:val="20"/>
          <w:szCs w:val="20"/>
        </w:rPr>
      </w:pP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rPr>
      </w:pPr>
      <w:r w:rsidRPr="00385641">
        <w:rPr>
          <w:rFonts w:asciiTheme="majorHAnsi" w:hAnsiTheme="majorHAnsi" w:cs="Arial"/>
          <w:sz w:val="20"/>
          <w:szCs w:val="20"/>
        </w:rPr>
        <w:t>19. Once the commitments undertaken in this agreement are fully implemented, the Chilean State and the petitioners shall present this friendly settlement agreement to the Inter-American Commission on Human Rights for approval and publication, pursuant to the provisions of Article 49 of the American Convention on Human Rights and Article 40(5) of the Rules of Procedure of the Inter-American Commission on Human Rights.</w:t>
      </w: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rPr>
      </w:pPr>
    </w:p>
    <w:p w:rsidR="00311A32" w:rsidRPr="00385641" w:rsidRDefault="00311A32" w:rsidP="00311A32">
      <w:pPr>
        <w:tabs>
          <w:tab w:val="left" w:pos="360"/>
        </w:tabs>
        <w:jc w:val="both"/>
        <w:rPr>
          <w:rFonts w:asciiTheme="majorHAnsi" w:hAnsiTheme="majorHAnsi" w:cs="Calibri"/>
          <w:sz w:val="20"/>
          <w:szCs w:val="20"/>
          <w:highlight w:val="green"/>
        </w:rPr>
      </w:pPr>
    </w:p>
    <w:p w:rsidR="00311A32" w:rsidRPr="00385641" w:rsidRDefault="00311A32" w:rsidP="00311A3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rPr>
          <w:rFonts w:asciiTheme="majorHAnsi" w:hAnsiTheme="majorHAnsi"/>
          <w:b/>
          <w:color w:val="auto"/>
          <w:sz w:val="20"/>
          <w:szCs w:val="20"/>
        </w:rPr>
      </w:pPr>
      <w:r w:rsidRPr="00385641">
        <w:rPr>
          <w:rFonts w:asciiTheme="majorHAnsi" w:hAnsiTheme="majorHAnsi"/>
          <w:b/>
          <w:color w:val="auto"/>
          <w:sz w:val="20"/>
          <w:szCs w:val="20"/>
        </w:rPr>
        <w:t>DETERMINATION OF COMPATIBILITY AND COMPLIANCE</w:t>
      </w:r>
    </w:p>
    <w:p w:rsidR="00311A32" w:rsidRPr="00385641" w:rsidRDefault="00311A32" w:rsidP="00311A32">
      <w:pPr>
        <w:pStyle w:val="ListParagraph"/>
        <w:ind w:left="0" w:firstLine="720"/>
        <w:rPr>
          <w:rFonts w:asciiTheme="majorHAnsi" w:hAnsiTheme="majorHAnsi"/>
          <w:b/>
          <w:color w:val="auto"/>
          <w:sz w:val="20"/>
          <w:szCs w:val="20"/>
          <w:highlight w:val="green"/>
        </w:rPr>
      </w:pPr>
    </w:p>
    <w:p w:rsidR="00311A32" w:rsidRPr="00385641" w:rsidRDefault="00311A32" w:rsidP="00311A32">
      <w:pPr>
        <w:pStyle w:val="ListParagraph"/>
        <w:numPr>
          <w:ilvl w:val="0"/>
          <w:numId w:val="55"/>
        </w:numPr>
        <w:tabs>
          <w:tab w:val="clear" w:pos="4320"/>
          <w:tab w:val="left" w:pos="0"/>
          <w:tab w:val="num" w:pos="180"/>
          <w:tab w:val="left" w:pos="810"/>
        </w:tabs>
        <w:ind w:left="0" w:firstLine="720"/>
        <w:jc w:val="both"/>
        <w:rPr>
          <w:rFonts w:asciiTheme="majorHAnsi" w:hAnsiTheme="majorHAnsi" w:cs="Calibri"/>
          <w:color w:val="auto"/>
          <w:sz w:val="20"/>
          <w:szCs w:val="20"/>
        </w:rPr>
      </w:pPr>
      <w:r w:rsidRPr="00385641">
        <w:rPr>
          <w:rFonts w:asciiTheme="majorHAnsi" w:hAnsiTheme="majorHAnsi" w:cs="Calibri"/>
          <w:color w:val="auto"/>
          <w:sz w:val="20"/>
          <w:szCs w:val="20"/>
        </w:rPr>
        <w:t xml:space="preserve">The IACHR reiterates that, pursuant to Articles 48(1)(f) and 49 of the American Convention, this procedure has the aim of “reaching a friendly settlement of the matter on the basis of respect for the human rights recognized in this Convention.” The State’s willingness to participate in this process indicates a good faith effort to carry out the purposes and objectives of the Convention by virtue of the principle of </w:t>
      </w:r>
      <w:proofErr w:type="spellStart"/>
      <w:r w:rsidRPr="00385641">
        <w:rPr>
          <w:rFonts w:asciiTheme="majorHAnsi" w:hAnsiTheme="majorHAnsi" w:cs="Calibri"/>
          <w:i/>
          <w:color w:val="auto"/>
          <w:sz w:val="20"/>
          <w:szCs w:val="20"/>
        </w:rPr>
        <w:t>pacta</w:t>
      </w:r>
      <w:proofErr w:type="spellEnd"/>
      <w:r w:rsidRPr="00385641">
        <w:rPr>
          <w:rFonts w:asciiTheme="majorHAnsi" w:hAnsiTheme="majorHAnsi" w:cs="Calibri"/>
          <w:i/>
          <w:color w:val="auto"/>
          <w:sz w:val="20"/>
          <w:szCs w:val="20"/>
        </w:rPr>
        <w:t xml:space="preserve"> </w:t>
      </w:r>
      <w:proofErr w:type="spellStart"/>
      <w:r w:rsidRPr="00385641">
        <w:rPr>
          <w:rFonts w:asciiTheme="majorHAnsi" w:hAnsiTheme="majorHAnsi" w:cs="Calibri"/>
          <w:i/>
          <w:color w:val="auto"/>
          <w:sz w:val="20"/>
          <w:szCs w:val="20"/>
        </w:rPr>
        <w:t>sunt</w:t>
      </w:r>
      <w:proofErr w:type="spellEnd"/>
      <w:r w:rsidRPr="00385641">
        <w:rPr>
          <w:rFonts w:asciiTheme="majorHAnsi" w:hAnsiTheme="majorHAnsi" w:cs="Calibri"/>
          <w:i/>
          <w:color w:val="auto"/>
          <w:sz w:val="20"/>
          <w:szCs w:val="20"/>
        </w:rPr>
        <w:t xml:space="preserve"> </w:t>
      </w:r>
      <w:proofErr w:type="spellStart"/>
      <w:r w:rsidRPr="00385641">
        <w:rPr>
          <w:rFonts w:asciiTheme="majorHAnsi" w:hAnsiTheme="majorHAnsi" w:cs="Calibri"/>
          <w:i/>
          <w:color w:val="auto"/>
          <w:sz w:val="20"/>
          <w:szCs w:val="20"/>
        </w:rPr>
        <w:t>servanda</w:t>
      </w:r>
      <w:proofErr w:type="spellEnd"/>
      <w:r w:rsidRPr="00385641">
        <w:rPr>
          <w:rFonts w:asciiTheme="majorHAnsi" w:hAnsiTheme="majorHAnsi" w:cs="Calibri"/>
          <w:color w:val="auto"/>
          <w:sz w:val="20"/>
          <w:szCs w:val="20"/>
        </w:rPr>
        <w:t>, under which States must</w:t>
      </w:r>
      <w:r w:rsidR="004D60F4">
        <w:rPr>
          <w:rFonts w:asciiTheme="majorHAnsi" w:hAnsiTheme="majorHAnsi" w:cs="Calibri"/>
          <w:color w:val="auto"/>
          <w:sz w:val="20"/>
          <w:szCs w:val="20"/>
        </w:rPr>
        <w:t>,</w:t>
      </w:r>
      <w:r w:rsidRPr="00385641">
        <w:rPr>
          <w:rFonts w:asciiTheme="majorHAnsi" w:hAnsiTheme="majorHAnsi" w:cs="Calibri"/>
          <w:color w:val="auto"/>
          <w:sz w:val="20"/>
          <w:szCs w:val="20"/>
        </w:rPr>
        <w:t xml:space="preserve"> in good faith</w:t>
      </w:r>
      <w:r w:rsidR="004D60F4">
        <w:rPr>
          <w:rFonts w:asciiTheme="majorHAnsi" w:hAnsiTheme="majorHAnsi" w:cs="Calibri"/>
          <w:color w:val="auto"/>
          <w:sz w:val="20"/>
          <w:szCs w:val="20"/>
        </w:rPr>
        <w:t>,</w:t>
      </w:r>
      <w:r w:rsidRPr="00385641">
        <w:rPr>
          <w:rFonts w:asciiTheme="majorHAnsi" w:hAnsiTheme="majorHAnsi" w:cs="Calibri"/>
          <w:color w:val="auto"/>
          <w:sz w:val="20"/>
          <w:szCs w:val="20"/>
        </w:rPr>
        <w:t xml:space="preserve"> meet the obligations they assume under treaties.</w:t>
      </w:r>
      <w:r w:rsidRPr="00385641">
        <w:rPr>
          <w:rStyle w:val="FootnoteReference"/>
          <w:rFonts w:asciiTheme="majorHAnsi" w:hAnsiTheme="majorHAnsi" w:cs="Calibri"/>
          <w:color w:val="auto"/>
          <w:sz w:val="20"/>
          <w:szCs w:val="20"/>
        </w:rPr>
        <w:footnoteReference w:id="4"/>
      </w:r>
      <w:r w:rsidRPr="00385641">
        <w:rPr>
          <w:rFonts w:asciiTheme="majorHAnsi" w:hAnsiTheme="majorHAnsi" w:cs="Calibri"/>
          <w:color w:val="auto"/>
          <w:sz w:val="20"/>
          <w:szCs w:val="20"/>
        </w:rPr>
        <w:t xml:space="preserve"> The Commission also wishes to reiterate that the friendly settlement procedure established in the Convention allows individual cases to be settled in a non-contentious manner, and in cases involving several countries it has proved to be an important and effective solution which can be used by either party. </w:t>
      </w:r>
    </w:p>
    <w:p w:rsidR="00311A32" w:rsidRPr="00385641" w:rsidRDefault="00311A32" w:rsidP="00311A32">
      <w:pPr>
        <w:pStyle w:val="ListParagraph"/>
        <w:tabs>
          <w:tab w:val="left" w:pos="0"/>
          <w:tab w:val="left" w:pos="180"/>
          <w:tab w:val="left" w:pos="810"/>
        </w:tabs>
        <w:ind w:left="0" w:firstLine="720"/>
        <w:jc w:val="both"/>
        <w:rPr>
          <w:rFonts w:asciiTheme="majorHAnsi" w:hAnsiTheme="majorHAnsi" w:cs="Calibri"/>
          <w:color w:val="auto"/>
          <w:sz w:val="20"/>
          <w:szCs w:val="20"/>
        </w:rPr>
      </w:pPr>
    </w:p>
    <w:p w:rsidR="00311A32" w:rsidRPr="00385641" w:rsidRDefault="00311A32" w:rsidP="00311A32">
      <w:pPr>
        <w:pStyle w:val="ListParagraph"/>
        <w:numPr>
          <w:ilvl w:val="0"/>
          <w:numId w:val="55"/>
        </w:numPr>
        <w:tabs>
          <w:tab w:val="clear" w:pos="4320"/>
          <w:tab w:val="left" w:pos="0"/>
          <w:tab w:val="num" w:pos="180"/>
          <w:tab w:val="left" w:pos="810"/>
        </w:tabs>
        <w:ind w:left="0" w:firstLine="720"/>
        <w:jc w:val="both"/>
        <w:rPr>
          <w:rFonts w:asciiTheme="majorHAnsi" w:hAnsiTheme="majorHAnsi" w:cs="Calibri"/>
          <w:color w:val="auto"/>
          <w:sz w:val="20"/>
          <w:szCs w:val="20"/>
        </w:rPr>
      </w:pPr>
      <w:r w:rsidRPr="00385641">
        <w:rPr>
          <w:rFonts w:asciiTheme="majorHAnsi" w:hAnsiTheme="majorHAnsi" w:cs="Calibri"/>
          <w:color w:val="auto"/>
          <w:sz w:val="20"/>
          <w:szCs w:val="20"/>
        </w:rPr>
        <w:t>The Inter-American Commission has been closely following the friendly settlement reached in this case and greatly appreciates the efforts made by both parties during the negotiation of the agreement to arrive at this friendly settlement, which is compatible with the object and purpose of the Convention.</w:t>
      </w:r>
    </w:p>
    <w:p w:rsidR="00311A32" w:rsidRPr="00385641" w:rsidRDefault="00311A32" w:rsidP="00311A32">
      <w:pPr>
        <w:tabs>
          <w:tab w:val="left" w:pos="0"/>
          <w:tab w:val="left" w:pos="180"/>
          <w:tab w:val="left" w:pos="810"/>
        </w:tabs>
        <w:jc w:val="both"/>
        <w:rPr>
          <w:rFonts w:asciiTheme="majorHAnsi" w:hAnsiTheme="majorHAnsi" w:cs="Calibri"/>
          <w:sz w:val="20"/>
          <w:szCs w:val="20"/>
        </w:rPr>
      </w:pPr>
    </w:p>
    <w:p w:rsidR="00311A32" w:rsidRPr="00385641" w:rsidRDefault="00311A32" w:rsidP="00311A32">
      <w:pPr>
        <w:pStyle w:val="ListParagraph"/>
        <w:numPr>
          <w:ilvl w:val="0"/>
          <w:numId w:val="55"/>
        </w:numPr>
        <w:tabs>
          <w:tab w:val="clear" w:pos="4320"/>
          <w:tab w:val="left" w:pos="0"/>
          <w:tab w:val="num" w:pos="180"/>
          <w:tab w:val="left" w:pos="810"/>
        </w:tabs>
        <w:ind w:left="0" w:firstLine="720"/>
        <w:jc w:val="both"/>
        <w:rPr>
          <w:rFonts w:asciiTheme="majorHAnsi" w:hAnsiTheme="majorHAnsi" w:cs="Calibri"/>
          <w:color w:val="auto"/>
          <w:sz w:val="20"/>
          <w:szCs w:val="20"/>
        </w:rPr>
      </w:pPr>
      <w:r w:rsidRPr="00385641">
        <w:rPr>
          <w:rFonts w:asciiTheme="majorHAnsi" w:hAnsiTheme="majorHAnsi" w:cs="Calibri"/>
          <w:color w:val="auto"/>
          <w:sz w:val="20"/>
          <w:szCs w:val="20"/>
        </w:rPr>
        <w:t xml:space="preserve">The IACHR notes that, given the information submitted thus far by the parties and the request for approval of the FSA that the Chilean State submitted to the Commission, it is incumbent on the Commission to evaluate whether the commitments established in the friendly settlement agreement have been fulfilled. </w:t>
      </w:r>
    </w:p>
    <w:p w:rsidR="00311A32" w:rsidRPr="00385641" w:rsidRDefault="00311A32" w:rsidP="00311A32">
      <w:pPr>
        <w:pStyle w:val="ListParagraph"/>
        <w:ind w:left="0" w:firstLine="720"/>
        <w:rPr>
          <w:rFonts w:asciiTheme="majorHAnsi" w:hAnsiTheme="majorHAnsi" w:cs="Calibri"/>
          <w:color w:val="auto"/>
          <w:sz w:val="20"/>
          <w:szCs w:val="20"/>
        </w:rPr>
      </w:pPr>
    </w:p>
    <w:p w:rsidR="00311A32" w:rsidRPr="00385641" w:rsidRDefault="00311A32" w:rsidP="00311A32">
      <w:pPr>
        <w:pStyle w:val="ListParagraph"/>
        <w:numPr>
          <w:ilvl w:val="0"/>
          <w:numId w:val="55"/>
        </w:numPr>
        <w:tabs>
          <w:tab w:val="clear" w:pos="4320"/>
          <w:tab w:val="left" w:pos="0"/>
          <w:tab w:val="num" w:pos="180"/>
          <w:tab w:val="left" w:pos="810"/>
        </w:tabs>
        <w:ind w:left="0" w:firstLine="720"/>
        <w:jc w:val="both"/>
        <w:rPr>
          <w:rFonts w:asciiTheme="majorHAnsi" w:hAnsiTheme="majorHAnsi" w:cs="Calibri"/>
          <w:color w:val="auto"/>
          <w:sz w:val="20"/>
          <w:szCs w:val="20"/>
        </w:rPr>
      </w:pPr>
      <w:r w:rsidRPr="00385641">
        <w:rPr>
          <w:rFonts w:asciiTheme="majorHAnsi" w:hAnsiTheme="majorHAnsi" w:cs="Calibri"/>
          <w:color w:val="auto"/>
          <w:sz w:val="20"/>
          <w:szCs w:val="20"/>
        </w:rPr>
        <w:t>The Inter-American Commission appreciates Declarative Clause III, in which the Chilean State acknowledges its responsibility, under international standards, for violating the rights of the petitioners.</w:t>
      </w:r>
    </w:p>
    <w:p w:rsidR="00311A32" w:rsidRPr="00385641" w:rsidRDefault="00311A32" w:rsidP="00311A32">
      <w:pPr>
        <w:tabs>
          <w:tab w:val="left" w:pos="0"/>
          <w:tab w:val="left" w:pos="810"/>
        </w:tabs>
        <w:ind w:firstLine="720"/>
        <w:jc w:val="both"/>
        <w:rPr>
          <w:rFonts w:asciiTheme="majorHAnsi" w:hAnsiTheme="majorHAnsi" w:cs="Calibri"/>
          <w:sz w:val="20"/>
          <w:szCs w:val="20"/>
        </w:rPr>
      </w:pPr>
    </w:p>
    <w:p w:rsidR="00311A32" w:rsidRPr="004D60F4" w:rsidRDefault="00311A32" w:rsidP="00311A32">
      <w:pPr>
        <w:pStyle w:val="ListParagraph"/>
        <w:numPr>
          <w:ilvl w:val="0"/>
          <w:numId w:val="55"/>
        </w:numPr>
        <w:tabs>
          <w:tab w:val="clear" w:pos="4320"/>
          <w:tab w:val="left" w:pos="0"/>
          <w:tab w:val="num" w:pos="180"/>
          <w:tab w:val="left" w:pos="810"/>
        </w:tabs>
        <w:ind w:left="0" w:firstLine="720"/>
        <w:jc w:val="both"/>
        <w:rPr>
          <w:rFonts w:asciiTheme="majorHAnsi" w:hAnsiTheme="majorHAnsi" w:cs="Calibri"/>
          <w:color w:val="auto"/>
          <w:sz w:val="20"/>
          <w:szCs w:val="20"/>
        </w:rPr>
      </w:pPr>
      <w:r w:rsidRPr="004D60F4">
        <w:rPr>
          <w:rFonts w:asciiTheme="majorHAnsi" w:hAnsiTheme="majorHAnsi" w:cs="Calibri"/>
          <w:color w:val="auto"/>
          <w:sz w:val="20"/>
          <w:szCs w:val="20"/>
        </w:rPr>
        <w:lastRenderedPageBreak/>
        <w:t>With respect to Clause IV, regarding measures of non-repetition, the State inf</w:t>
      </w:r>
      <w:r w:rsidR="004D60F4">
        <w:rPr>
          <w:rFonts w:asciiTheme="majorHAnsi" w:hAnsiTheme="majorHAnsi" w:cs="Calibri"/>
          <w:color w:val="auto"/>
          <w:sz w:val="20"/>
          <w:szCs w:val="20"/>
        </w:rPr>
        <w:t>ormed the Commission that it had</w:t>
      </w:r>
      <w:r w:rsidRPr="004D60F4">
        <w:rPr>
          <w:rFonts w:asciiTheme="majorHAnsi" w:hAnsiTheme="majorHAnsi" w:cs="Calibri"/>
          <w:color w:val="auto"/>
          <w:sz w:val="20"/>
          <w:szCs w:val="20"/>
        </w:rPr>
        <w:t xml:space="preserve"> enacted Law No. </w:t>
      </w:r>
      <w:r w:rsidRPr="004D60F4">
        <w:rPr>
          <w:rFonts w:asciiTheme="majorHAnsi" w:hAnsiTheme="majorHAnsi"/>
          <w:color w:val="auto"/>
          <w:sz w:val="20"/>
          <w:szCs w:val="20"/>
        </w:rPr>
        <w:t xml:space="preserve">20.784, amending the employment statutes of </w:t>
      </w:r>
      <w:proofErr w:type="spellStart"/>
      <w:r w:rsidRPr="004D60F4">
        <w:rPr>
          <w:rFonts w:asciiTheme="majorHAnsi" w:hAnsiTheme="majorHAnsi"/>
          <w:color w:val="auto"/>
          <w:sz w:val="20"/>
          <w:szCs w:val="20"/>
        </w:rPr>
        <w:t>Carabineros</w:t>
      </w:r>
      <w:proofErr w:type="spellEnd"/>
      <w:r w:rsidRPr="004D60F4">
        <w:rPr>
          <w:rFonts w:asciiTheme="majorHAnsi" w:hAnsiTheme="majorHAnsi"/>
          <w:color w:val="auto"/>
          <w:sz w:val="20"/>
          <w:szCs w:val="20"/>
        </w:rPr>
        <w:t xml:space="preserve"> de Chile to create a new entity for evaluating and ranking enlisted personnel. The State also provided a compilation of legislative materials summarizing the background of Law No. 20.784. At the same time, the petitioners confirmed that there has been full compliance with the FSA. Therefore, taking into account the elements of information provided by the parties, the Commission considers, and so declares, that this part of the agreement has been fulfilled. </w:t>
      </w:r>
    </w:p>
    <w:p w:rsidR="00311A32" w:rsidRPr="00385641" w:rsidRDefault="00311A32" w:rsidP="00311A32">
      <w:pPr>
        <w:pStyle w:val="ListParagraph"/>
        <w:tabs>
          <w:tab w:val="left" w:pos="0"/>
          <w:tab w:val="left" w:pos="810"/>
        </w:tabs>
        <w:ind w:left="0" w:firstLine="720"/>
        <w:jc w:val="both"/>
        <w:rPr>
          <w:rFonts w:asciiTheme="majorHAnsi" w:hAnsiTheme="majorHAnsi" w:cs="Calibri"/>
          <w:color w:val="auto"/>
          <w:sz w:val="20"/>
          <w:szCs w:val="20"/>
        </w:rPr>
      </w:pPr>
    </w:p>
    <w:p w:rsidR="00311A32" w:rsidRPr="00385641" w:rsidRDefault="00311A32" w:rsidP="00311A32">
      <w:pPr>
        <w:pStyle w:val="ListParagraph"/>
        <w:numPr>
          <w:ilvl w:val="0"/>
          <w:numId w:val="55"/>
        </w:numPr>
        <w:tabs>
          <w:tab w:val="clear" w:pos="4320"/>
          <w:tab w:val="left" w:pos="0"/>
          <w:tab w:val="num" w:pos="180"/>
          <w:tab w:val="left" w:pos="810"/>
        </w:tabs>
        <w:ind w:left="0" w:firstLine="720"/>
        <w:jc w:val="both"/>
        <w:rPr>
          <w:rFonts w:asciiTheme="majorHAnsi" w:hAnsiTheme="majorHAnsi" w:cs="Calibri"/>
          <w:color w:val="auto"/>
          <w:sz w:val="20"/>
          <w:szCs w:val="20"/>
        </w:rPr>
      </w:pPr>
      <w:r w:rsidRPr="00385641">
        <w:rPr>
          <w:rFonts w:asciiTheme="majorHAnsi" w:hAnsiTheme="majorHAnsi" w:cs="Calibri"/>
          <w:color w:val="auto"/>
          <w:sz w:val="20"/>
          <w:szCs w:val="20"/>
        </w:rPr>
        <w:t xml:space="preserve">With respect to the commitment established in Clause V, Paragraph 10, regarding the removal of the victims’ administrative records, the State indicated, without providing supporting documents, that this </w:t>
      </w:r>
      <w:r w:rsidRPr="00385641">
        <w:rPr>
          <w:rFonts w:asciiTheme="majorHAnsi" w:hAnsiTheme="majorHAnsi"/>
          <w:color w:val="auto"/>
          <w:sz w:val="20"/>
          <w:szCs w:val="20"/>
        </w:rPr>
        <w:t xml:space="preserve">part </w:t>
      </w:r>
      <w:r w:rsidRPr="00385641">
        <w:rPr>
          <w:rFonts w:asciiTheme="majorHAnsi" w:hAnsiTheme="majorHAnsi" w:cs="Calibri"/>
          <w:color w:val="auto"/>
          <w:sz w:val="20"/>
          <w:szCs w:val="20"/>
        </w:rPr>
        <w:t xml:space="preserve">of the agreement was fulfilled in due course. In this regard, the petitioners confirmed </w:t>
      </w:r>
      <w:r w:rsidRPr="00385641">
        <w:rPr>
          <w:rFonts w:asciiTheme="majorHAnsi" w:hAnsiTheme="majorHAnsi"/>
          <w:color w:val="auto"/>
          <w:sz w:val="20"/>
          <w:szCs w:val="20"/>
        </w:rPr>
        <w:t>that there has been full compliance with the FSA</w:t>
      </w:r>
      <w:r w:rsidRPr="00385641">
        <w:rPr>
          <w:rFonts w:asciiTheme="majorHAnsi" w:hAnsiTheme="majorHAnsi" w:cs="Calibri"/>
          <w:color w:val="auto"/>
          <w:sz w:val="20"/>
          <w:szCs w:val="20"/>
        </w:rPr>
        <w:t xml:space="preserve">. </w:t>
      </w:r>
      <w:r w:rsidRPr="00385641">
        <w:rPr>
          <w:rFonts w:asciiTheme="majorHAnsi" w:hAnsiTheme="majorHAnsi"/>
          <w:color w:val="auto"/>
          <w:sz w:val="20"/>
          <w:szCs w:val="20"/>
        </w:rPr>
        <w:t>Taking into account the elements of information provided by the parties, the Commission considers, and so declares, that this part of the agreement has been fulfilled.</w:t>
      </w:r>
    </w:p>
    <w:p w:rsidR="00311A32" w:rsidRPr="00385641" w:rsidRDefault="00311A32" w:rsidP="00311A32">
      <w:pPr>
        <w:pStyle w:val="ListParagraph"/>
        <w:tabs>
          <w:tab w:val="left" w:pos="0"/>
          <w:tab w:val="left" w:pos="810"/>
        </w:tabs>
        <w:jc w:val="both"/>
        <w:rPr>
          <w:rFonts w:asciiTheme="majorHAnsi" w:hAnsiTheme="majorHAnsi" w:cs="Calibri"/>
          <w:color w:val="auto"/>
          <w:sz w:val="20"/>
          <w:szCs w:val="20"/>
        </w:rPr>
      </w:pPr>
    </w:p>
    <w:p w:rsidR="00311A32" w:rsidRPr="00385641" w:rsidRDefault="00311A32" w:rsidP="00311A32">
      <w:pPr>
        <w:pStyle w:val="ListParagraph"/>
        <w:numPr>
          <w:ilvl w:val="0"/>
          <w:numId w:val="55"/>
        </w:numPr>
        <w:tabs>
          <w:tab w:val="clear" w:pos="4320"/>
          <w:tab w:val="left" w:pos="0"/>
          <w:tab w:val="num" w:pos="180"/>
          <w:tab w:val="left" w:pos="810"/>
        </w:tabs>
        <w:ind w:left="0" w:firstLine="720"/>
        <w:jc w:val="both"/>
        <w:rPr>
          <w:rFonts w:asciiTheme="majorHAnsi" w:hAnsiTheme="majorHAnsi" w:cs="Calibri"/>
          <w:color w:val="auto"/>
          <w:sz w:val="20"/>
          <w:szCs w:val="20"/>
        </w:rPr>
      </w:pPr>
      <w:r w:rsidRPr="00385641">
        <w:rPr>
          <w:rFonts w:asciiTheme="majorHAnsi" w:hAnsiTheme="majorHAnsi" w:cs="Calibri"/>
          <w:color w:val="auto"/>
          <w:sz w:val="20"/>
          <w:szCs w:val="20"/>
        </w:rPr>
        <w:t xml:space="preserve">With respect to the commitment established in Clause V, Paragraph 11, regarding the publication of the FSA in the Official Gazette of the Republic of Chile, the Commission notes that although the State indicated that the agreement had been published in due course for a six-month period, as committed to in the friendly settlement agreement, given the time that has elapsed the information </w:t>
      </w:r>
      <w:r w:rsidR="004D60F4">
        <w:rPr>
          <w:rFonts w:asciiTheme="majorHAnsi" w:hAnsiTheme="majorHAnsi" w:cs="Calibri"/>
          <w:color w:val="auto"/>
          <w:sz w:val="20"/>
          <w:szCs w:val="20"/>
        </w:rPr>
        <w:t>is no longer available online</w:t>
      </w:r>
      <w:r w:rsidRPr="00385641">
        <w:rPr>
          <w:rFonts w:asciiTheme="majorHAnsi" w:hAnsiTheme="majorHAnsi" w:cs="Calibri"/>
          <w:color w:val="auto"/>
          <w:sz w:val="20"/>
          <w:szCs w:val="20"/>
        </w:rPr>
        <w:t xml:space="preserve"> for the Commission’s verification.  In this regard, the petitioners confirmed </w:t>
      </w:r>
      <w:r w:rsidRPr="00385641">
        <w:rPr>
          <w:rFonts w:asciiTheme="majorHAnsi" w:hAnsiTheme="majorHAnsi"/>
          <w:color w:val="auto"/>
          <w:sz w:val="20"/>
          <w:szCs w:val="20"/>
        </w:rPr>
        <w:t>that there has been full compliance with the friendly settlement agreement</w:t>
      </w:r>
      <w:r w:rsidRPr="00385641">
        <w:rPr>
          <w:rFonts w:asciiTheme="majorHAnsi" w:hAnsiTheme="majorHAnsi" w:cs="Calibri"/>
          <w:color w:val="auto"/>
          <w:sz w:val="20"/>
          <w:szCs w:val="20"/>
        </w:rPr>
        <w:t xml:space="preserve">. </w:t>
      </w:r>
      <w:r w:rsidRPr="00385641">
        <w:rPr>
          <w:rFonts w:asciiTheme="majorHAnsi" w:hAnsiTheme="majorHAnsi"/>
          <w:color w:val="auto"/>
          <w:sz w:val="20"/>
          <w:szCs w:val="20"/>
        </w:rPr>
        <w:t>Therefore, the Commission considers, and so declares, that this part of the agreement has been fulfilled.</w:t>
      </w:r>
      <w:r w:rsidRPr="00385641">
        <w:rPr>
          <w:rFonts w:asciiTheme="majorHAnsi" w:hAnsiTheme="majorHAnsi" w:cs="Calibri"/>
          <w:color w:val="auto"/>
          <w:sz w:val="20"/>
          <w:szCs w:val="20"/>
        </w:rPr>
        <w:t xml:space="preserve"> </w:t>
      </w:r>
    </w:p>
    <w:p w:rsidR="00311A32" w:rsidRPr="00385641" w:rsidRDefault="00311A32" w:rsidP="00311A32">
      <w:pPr>
        <w:tabs>
          <w:tab w:val="left" w:pos="0"/>
          <w:tab w:val="left" w:pos="810"/>
        </w:tabs>
        <w:jc w:val="both"/>
        <w:rPr>
          <w:rFonts w:asciiTheme="majorHAnsi" w:hAnsiTheme="majorHAnsi" w:cs="Calibri"/>
          <w:sz w:val="20"/>
          <w:szCs w:val="20"/>
        </w:rPr>
      </w:pPr>
    </w:p>
    <w:p w:rsidR="00311A32" w:rsidRPr="00385641" w:rsidRDefault="00311A32" w:rsidP="00311A32">
      <w:pPr>
        <w:pStyle w:val="ListParagraph"/>
        <w:numPr>
          <w:ilvl w:val="0"/>
          <w:numId w:val="55"/>
        </w:numPr>
        <w:tabs>
          <w:tab w:val="clear" w:pos="4320"/>
          <w:tab w:val="left" w:pos="0"/>
          <w:tab w:val="num" w:pos="180"/>
          <w:tab w:val="left" w:pos="810"/>
        </w:tabs>
        <w:ind w:left="0" w:firstLine="720"/>
        <w:jc w:val="both"/>
        <w:rPr>
          <w:rFonts w:asciiTheme="majorHAnsi" w:hAnsiTheme="majorHAnsi" w:cs="Calibri"/>
          <w:color w:val="auto"/>
          <w:sz w:val="20"/>
          <w:szCs w:val="20"/>
        </w:rPr>
      </w:pPr>
      <w:r w:rsidRPr="00385641">
        <w:rPr>
          <w:rFonts w:asciiTheme="majorHAnsi" w:hAnsiTheme="majorHAnsi" w:cs="Calibri"/>
          <w:color w:val="auto"/>
          <w:sz w:val="20"/>
          <w:szCs w:val="20"/>
        </w:rPr>
        <w:t xml:space="preserve">With respect to the commitment established in Clause V, Paragraph 12, regarding the letter of redress to be provided to the victims, the State indicated that it had designated the Under-Secretary of </w:t>
      </w:r>
      <w:proofErr w:type="spellStart"/>
      <w:r w:rsidRPr="00385641">
        <w:rPr>
          <w:rFonts w:asciiTheme="majorHAnsi" w:hAnsiTheme="majorHAnsi" w:cs="Calibri"/>
          <w:color w:val="auto"/>
          <w:sz w:val="20"/>
          <w:szCs w:val="20"/>
        </w:rPr>
        <w:t>Carabineros</w:t>
      </w:r>
      <w:proofErr w:type="spellEnd"/>
      <w:r w:rsidRPr="00385641">
        <w:rPr>
          <w:rFonts w:asciiTheme="majorHAnsi" w:hAnsiTheme="majorHAnsi" w:cs="Calibri"/>
          <w:color w:val="auto"/>
          <w:sz w:val="20"/>
          <w:szCs w:val="20"/>
        </w:rPr>
        <w:t xml:space="preserve">, Ms. Javiera Blanco </w:t>
      </w:r>
      <w:r w:rsidRPr="00385641">
        <w:rPr>
          <w:rFonts w:asciiTheme="majorHAnsi" w:hAnsiTheme="majorHAnsi"/>
          <w:sz w:val="20"/>
          <w:szCs w:val="20"/>
        </w:rPr>
        <w:t>Suárez</w:t>
      </w:r>
      <w:r w:rsidRPr="00385641">
        <w:rPr>
          <w:rFonts w:asciiTheme="majorHAnsi" w:hAnsiTheme="majorHAnsi" w:cs="Calibri"/>
          <w:color w:val="auto"/>
          <w:sz w:val="20"/>
          <w:szCs w:val="20"/>
        </w:rPr>
        <w:t xml:space="preserve">, to sign a letter apologizing to the beneficiaries of the FSA, by means of Confidential Official Letter No. 1 of January 6, 2010, of the Minister of National Defense. At the same time, the petitioners confirmed </w:t>
      </w:r>
      <w:r w:rsidRPr="00385641">
        <w:rPr>
          <w:rFonts w:asciiTheme="majorHAnsi" w:hAnsiTheme="majorHAnsi"/>
          <w:color w:val="auto"/>
          <w:sz w:val="20"/>
          <w:szCs w:val="20"/>
        </w:rPr>
        <w:t>that there has been full compliance with the friendly settlement agreement</w:t>
      </w:r>
      <w:r w:rsidRPr="00385641">
        <w:rPr>
          <w:rFonts w:asciiTheme="majorHAnsi" w:hAnsiTheme="majorHAnsi" w:cs="Calibri"/>
          <w:color w:val="auto"/>
          <w:sz w:val="20"/>
          <w:szCs w:val="20"/>
        </w:rPr>
        <w:t xml:space="preserve">. </w:t>
      </w:r>
      <w:r w:rsidRPr="00385641">
        <w:rPr>
          <w:rFonts w:asciiTheme="majorHAnsi" w:hAnsiTheme="majorHAnsi"/>
          <w:color w:val="auto"/>
          <w:sz w:val="20"/>
          <w:szCs w:val="20"/>
        </w:rPr>
        <w:t xml:space="preserve">Taking into account the elements of information provided by the parties, the Commission considers, and so declares, that this part of the agreement has been fulfilled. </w:t>
      </w:r>
    </w:p>
    <w:p w:rsidR="00311A32" w:rsidRPr="00385641" w:rsidRDefault="00311A32" w:rsidP="00311A32">
      <w:pPr>
        <w:pStyle w:val="ListParagraph"/>
        <w:tabs>
          <w:tab w:val="left" w:pos="0"/>
          <w:tab w:val="left" w:pos="810"/>
        </w:tabs>
        <w:jc w:val="both"/>
        <w:rPr>
          <w:rFonts w:asciiTheme="majorHAnsi" w:hAnsiTheme="majorHAnsi" w:cs="Calibri"/>
          <w:color w:val="auto"/>
          <w:sz w:val="20"/>
          <w:szCs w:val="20"/>
        </w:rPr>
      </w:pPr>
    </w:p>
    <w:p w:rsidR="00311A32" w:rsidRPr="00385641" w:rsidRDefault="00311A32" w:rsidP="00311A32">
      <w:pPr>
        <w:pStyle w:val="ListParagraph"/>
        <w:numPr>
          <w:ilvl w:val="0"/>
          <w:numId w:val="55"/>
        </w:numPr>
        <w:tabs>
          <w:tab w:val="clear" w:pos="4320"/>
          <w:tab w:val="left" w:pos="0"/>
          <w:tab w:val="num" w:pos="180"/>
          <w:tab w:val="left" w:pos="810"/>
        </w:tabs>
        <w:ind w:left="0" w:firstLine="720"/>
        <w:jc w:val="both"/>
        <w:rPr>
          <w:rFonts w:asciiTheme="majorHAnsi" w:hAnsiTheme="majorHAnsi" w:cs="Calibri"/>
          <w:color w:val="auto"/>
          <w:sz w:val="20"/>
          <w:szCs w:val="20"/>
        </w:rPr>
      </w:pPr>
      <w:r w:rsidRPr="00385641">
        <w:rPr>
          <w:rFonts w:asciiTheme="majorHAnsi" w:hAnsiTheme="majorHAnsi" w:cs="Calibri"/>
          <w:color w:val="auto"/>
          <w:sz w:val="20"/>
          <w:szCs w:val="20"/>
        </w:rPr>
        <w:t xml:space="preserve">With respect to the commitment in Clause V, Paragraph 13, regarding the victims’ access to health care benefits, the State provided a copy of Official Letter No. 49 of the </w:t>
      </w:r>
      <w:proofErr w:type="spellStart"/>
      <w:r w:rsidRPr="00385641">
        <w:rPr>
          <w:rFonts w:asciiTheme="majorHAnsi" w:hAnsiTheme="majorHAnsi" w:cs="Arial"/>
          <w:sz w:val="20"/>
          <w:szCs w:val="20"/>
        </w:rPr>
        <w:t>Carabineros</w:t>
      </w:r>
      <w:proofErr w:type="spellEnd"/>
      <w:r w:rsidRPr="00385641">
        <w:rPr>
          <w:rFonts w:asciiTheme="majorHAnsi" w:hAnsiTheme="majorHAnsi" w:cs="Arial"/>
          <w:sz w:val="20"/>
          <w:szCs w:val="20"/>
        </w:rPr>
        <w:t>’ Social Security Department</w:t>
      </w:r>
      <w:r w:rsidRPr="00385641">
        <w:rPr>
          <w:rFonts w:asciiTheme="majorHAnsi" w:hAnsiTheme="majorHAnsi" w:cs="Calibri"/>
          <w:color w:val="auto"/>
          <w:sz w:val="20"/>
          <w:szCs w:val="20"/>
        </w:rPr>
        <w:t>, dated January 22, 2010, which informed that the petitioners and their spouses had direct access to health care benefits. In that regard, the petitioners confirmed compliance with the measure.</w:t>
      </w:r>
      <w:r w:rsidRPr="00385641">
        <w:rPr>
          <w:rFonts w:asciiTheme="majorHAnsi" w:hAnsiTheme="majorHAnsi"/>
          <w:color w:val="auto"/>
          <w:sz w:val="20"/>
          <w:szCs w:val="20"/>
        </w:rPr>
        <w:t xml:space="preserve"> Taking into account the elements of information provided by the parties, the Commission considers, and so declares, that this part of the agreement has been fulfilled.</w:t>
      </w:r>
    </w:p>
    <w:p w:rsidR="00311A32" w:rsidRPr="00385641" w:rsidRDefault="00311A32" w:rsidP="00311A32">
      <w:pPr>
        <w:pStyle w:val="ListParagraph"/>
        <w:tabs>
          <w:tab w:val="left" w:pos="0"/>
          <w:tab w:val="left" w:pos="810"/>
        </w:tabs>
        <w:jc w:val="both"/>
        <w:rPr>
          <w:rFonts w:asciiTheme="majorHAnsi" w:hAnsiTheme="majorHAnsi" w:cs="Calibri"/>
          <w:color w:val="auto"/>
          <w:sz w:val="20"/>
          <w:szCs w:val="20"/>
        </w:rPr>
      </w:pPr>
    </w:p>
    <w:p w:rsidR="004D60F4" w:rsidRPr="004D60F4" w:rsidRDefault="00311A32" w:rsidP="004D60F4">
      <w:pPr>
        <w:pStyle w:val="ListParagraph"/>
        <w:numPr>
          <w:ilvl w:val="0"/>
          <w:numId w:val="55"/>
        </w:numPr>
        <w:tabs>
          <w:tab w:val="clear" w:pos="4320"/>
          <w:tab w:val="left" w:pos="0"/>
          <w:tab w:val="num" w:pos="180"/>
          <w:tab w:val="left" w:pos="810"/>
        </w:tabs>
        <w:ind w:left="0" w:firstLine="720"/>
        <w:jc w:val="both"/>
        <w:rPr>
          <w:rFonts w:asciiTheme="majorHAnsi" w:hAnsiTheme="majorHAnsi" w:cs="Calibri"/>
          <w:color w:val="auto"/>
          <w:sz w:val="20"/>
          <w:szCs w:val="20"/>
        </w:rPr>
      </w:pPr>
      <w:r w:rsidRPr="00385641">
        <w:rPr>
          <w:rFonts w:asciiTheme="majorHAnsi" w:hAnsiTheme="majorHAnsi" w:cs="Calibri"/>
          <w:color w:val="auto"/>
          <w:sz w:val="20"/>
          <w:szCs w:val="20"/>
        </w:rPr>
        <w:t xml:space="preserve">As pertains to Clause VI, on financial compensation, the State forwarded a copy of the records of payment verifying the amounts paid to the victims, as established, in compensation for material and non-material damages. </w:t>
      </w:r>
      <w:r w:rsidRPr="00385641">
        <w:rPr>
          <w:rFonts w:asciiTheme="majorHAnsi" w:hAnsiTheme="majorHAnsi"/>
          <w:color w:val="auto"/>
          <w:sz w:val="20"/>
          <w:szCs w:val="20"/>
        </w:rPr>
        <w:t xml:space="preserve">Therefore, taking into account the elements of information described above, the Commission considers, and so declares, that this part of the agreement has been fulfilled. </w:t>
      </w:r>
    </w:p>
    <w:p w:rsidR="004D60F4" w:rsidRPr="004D60F4" w:rsidRDefault="004D60F4" w:rsidP="004D60F4">
      <w:pPr>
        <w:pStyle w:val="ListParagraph"/>
        <w:rPr>
          <w:rFonts w:asciiTheme="majorHAnsi" w:hAnsiTheme="majorHAnsi" w:cs="Calibri"/>
          <w:color w:val="auto"/>
          <w:sz w:val="20"/>
          <w:szCs w:val="20"/>
        </w:rPr>
      </w:pPr>
    </w:p>
    <w:p w:rsidR="00311A32" w:rsidRPr="004D60F4" w:rsidRDefault="00311A32" w:rsidP="004D60F4">
      <w:pPr>
        <w:pStyle w:val="ListParagraph"/>
        <w:numPr>
          <w:ilvl w:val="0"/>
          <w:numId w:val="55"/>
        </w:numPr>
        <w:tabs>
          <w:tab w:val="clear" w:pos="4320"/>
          <w:tab w:val="left" w:pos="0"/>
          <w:tab w:val="num" w:pos="180"/>
          <w:tab w:val="left" w:pos="810"/>
        </w:tabs>
        <w:ind w:left="0" w:firstLine="720"/>
        <w:jc w:val="both"/>
        <w:rPr>
          <w:rFonts w:asciiTheme="majorHAnsi" w:hAnsiTheme="majorHAnsi" w:cs="Calibri"/>
          <w:color w:val="auto"/>
          <w:sz w:val="20"/>
          <w:szCs w:val="20"/>
        </w:rPr>
      </w:pPr>
      <w:r w:rsidRPr="004D60F4">
        <w:rPr>
          <w:rFonts w:asciiTheme="majorHAnsi" w:hAnsiTheme="majorHAnsi" w:cs="Calibri"/>
          <w:color w:val="auto"/>
          <w:sz w:val="20"/>
          <w:szCs w:val="20"/>
        </w:rPr>
        <w:t xml:space="preserve">With respect to the creation of the “Follow-Up Committee” established in Point VII of the agreement, the Commission did not receive any information about its operation. However, given that there has been compliance with the commitments undertaken in the friendly settlement agreement, the Commission considers, and so declares, that this part of the agreement has been fulfilled. </w:t>
      </w:r>
    </w:p>
    <w:p w:rsidR="00311A32" w:rsidRPr="00385641" w:rsidRDefault="00311A32" w:rsidP="00311A32">
      <w:pPr>
        <w:pStyle w:val="ListParagraph"/>
        <w:tabs>
          <w:tab w:val="left" w:pos="0"/>
          <w:tab w:val="left" w:pos="810"/>
        </w:tabs>
        <w:ind w:left="0" w:firstLine="720"/>
        <w:jc w:val="both"/>
        <w:rPr>
          <w:rFonts w:asciiTheme="majorHAnsi" w:hAnsiTheme="majorHAnsi" w:cs="Calibri"/>
          <w:color w:val="auto"/>
          <w:sz w:val="20"/>
          <w:szCs w:val="20"/>
        </w:rPr>
      </w:pPr>
    </w:p>
    <w:p w:rsidR="00311A32" w:rsidRPr="00385641" w:rsidRDefault="00311A32" w:rsidP="00311A32">
      <w:pPr>
        <w:pStyle w:val="ListParagraph"/>
        <w:numPr>
          <w:ilvl w:val="0"/>
          <w:numId w:val="55"/>
        </w:numPr>
        <w:tabs>
          <w:tab w:val="clear" w:pos="4320"/>
          <w:tab w:val="left" w:pos="0"/>
          <w:tab w:val="num" w:pos="180"/>
          <w:tab w:val="left" w:pos="810"/>
        </w:tabs>
        <w:ind w:left="0" w:firstLine="720"/>
        <w:jc w:val="both"/>
        <w:rPr>
          <w:rFonts w:asciiTheme="majorHAnsi" w:hAnsiTheme="majorHAnsi" w:cs="Calibri"/>
          <w:color w:val="auto"/>
          <w:sz w:val="20"/>
          <w:szCs w:val="20"/>
        </w:rPr>
      </w:pPr>
      <w:r w:rsidRPr="00385641">
        <w:rPr>
          <w:rFonts w:asciiTheme="majorHAnsi" w:hAnsiTheme="majorHAnsi" w:cs="Calibri"/>
          <w:color w:val="auto"/>
          <w:sz w:val="20"/>
          <w:szCs w:val="20"/>
        </w:rPr>
        <w:t>In other respects, the Commission considers, and so declares, that the remaining content of the agreement is declarative in nature.</w:t>
      </w:r>
    </w:p>
    <w:p w:rsidR="00311A32" w:rsidRPr="00385641" w:rsidRDefault="00311A32" w:rsidP="00311A32">
      <w:pPr>
        <w:pStyle w:val="ListParagraph"/>
        <w:tabs>
          <w:tab w:val="left" w:pos="0"/>
          <w:tab w:val="left" w:pos="810"/>
        </w:tabs>
        <w:jc w:val="both"/>
        <w:rPr>
          <w:rFonts w:asciiTheme="majorHAnsi" w:hAnsiTheme="majorHAnsi" w:cs="Calibri"/>
          <w:color w:val="auto"/>
          <w:sz w:val="20"/>
          <w:szCs w:val="20"/>
        </w:rPr>
      </w:pPr>
    </w:p>
    <w:p w:rsidR="00311A32" w:rsidRPr="00385641" w:rsidRDefault="00311A32" w:rsidP="00311A32">
      <w:pPr>
        <w:pStyle w:val="ListParagraph"/>
        <w:numPr>
          <w:ilvl w:val="0"/>
          <w:numId w:val="55"/>
        </w:numPr>
        <w:tabs>
          <w:tab w:val="clear" w:pos="4320"/>
          <w:tab w:val="left" w:pos="0"/>
          <w:tab w:val="num" w:pos="180"/>
          <w:tab w:val="left" w:pos="810"/>
        </w:tabs>
        <w:ind w:left="0" w:firstLine="720"/>
        <w:jc w:val="both"/>
        <w:rPr>
          <w:rFonts w:asciiTheme="majorHAnsi" w:hAnsiTheme="majorHAnsi" w:cs="Calibri"/>
          <w:color w:val="auto"/>
          <w:sz w:val="20"/>
          <w:szCs w:val="20"/>
        </w:rPr>
      </w:pPr>
      <w:r w:rsidRPr="00385641">
        <w:rPr>
          <w:rFonts w:cs="Calibri"/>
          <w:sz w:val="20"/>
          <w:szCs w:val="20"/>
        </w:rPr>
        <w:t xml:space="preserve">For the reasons stated above, the IACHR considers, and so declares, that Points IV, V, VI, and VII of the friendly settlement agreement have been met in their entirety. The Commission further considers that the remaining content of the agreement is declarative in nature and has to do with the methodology agreed to by the parties, and thus it is not incumbent on the Commission to express an opinion. The IACHR therefore declares that the friendly settlement agreement has been implemented in its entirety. </w:t>
      </w:r>
    </w:p>
    <w:p w:rsidR="00311A32" w:rsidRPr="00385641" w:rsidRDefault="00311A32" w:rsidP="00311A32">
      <w:pPr>
        <w:tabs>
          <w:tab w:val="left" w:pos="0"/>
          <w:tab w:val="left" w:pos="810"/>
        </w:tabs>
        <w:ind w:firstLine="720"/>
        <w:jc w:val="both"/>
        <w:rPr>
          <w:rFonts w:asciiTheme="majorHAnsi" w:hAnsiTheme="majorHAnsi" w:cs="Calibri"/>
          <w:sz w:val="20"/>
          <w:szCs w:val="20"/>
          <w:highlight w:val="green"/>
        </w:rPr>
      </w:pPr>
    </w:p>
    <w:p w:rsidR="00311A32" w:rsidRPr="00385641" w:rsidRDefault="00311A32" w:rsidP="00311A32">
      <w:pPr>
        <w:tabs>
          <w:tab w:val="left" w:pos="360"/>
        </w:tabs>
        <w:ind w:firstLine="360"/>
        <w:jc w:val="both"/>
        <w:rPr>
          <w:rFonts w:asciiTheme="majorHAnsi" w:hAnsiTheme="majorHAnsi" w:cs="Calibri"/>
          <w:b/>
          <w:sz w:val="20"/>
          <w:szCs w:val="20"/>
          <w:highlight w:val="green"/>
        </w:rPr>
      </w:pPr>
      <w:r w:rsidRPr="00385641">
        <w:rPr>
          <w:rFonts w:asciiTheme="majorHAnsi" w:hAnsiTheme="majorHAnsi" w:cs="Calibri"/>
          <w:b/>
          <w:sz w:val="20"/>
          <w:szCs w:val="20"/>
        </w:rPr>
        <w:tab/>
      </w:r>
      <w:r w:rsidRPr="00385641">
        <w:rPr>
          <w:rFonts w:asciiTheme="majorHAnsi" w:hAnsiTheme="majorHAnsi" w:cs="Calibri"/>
          <w:b/>
          <w:sz w:val="20"/>
          <w:szCs w:val="20"/>
        </w:rPr>
        <w:tab/>
        <w:t>IV.</w:t>
      </w:r>
      <w:r w:rsidRPr="00385641">
        <w:rPr>
          <w:rFonts w:asciiTheme="majorHAnsi" w:hAnsiTheme="majorHAnsi" w:cs="Calibri"/>
          <w:b/>
          <w:sz w:val="20"/>
          <w:szCs w:val="20"/>
        </w:rPr>
        <w:tab/>
        <w:t xml:space="preserve">CONCLUSIONS </w:t>
      </w:r>
    </w:p>
    <w:p w:rsidR="00311A32" w:rsidRPr="00385641" w:rsidRDefault="00311A32" w:rsidP="00311A32">
      <w:pPr>
        <w:tabs>
          <w:tab w:val="left" w:pos="360"/>
        </w:tabs>
        <w:ind w:firstLine="360"/>
        <w:jc w:val="both"/>
        <w:rPr>
          <w:rFonts w:asciiTheme="majorHAnsi" w:hAnsiTheme="majorHAnsi" w:cs="Calibri"/>
          <w:b/>
          <w:sz w:val="20"/>
          <w:szCs w:val="20"/>
          <w:highlight w:val="green"/>
        </w:rPr>
      </w:pPr>
    </w:p>
    <w:p w:rsidR="00311A32" w:rsidRPr="00385641" w:rsidRDefault="00311A32" w:rsidP="00311A32">
      <w:pPr>
        <w:pStyle w:val="ListParagraph"/>
        <w:numPr>
          <w:ilvl w:val="0"/>
          <w:numId w:val="58"/>
        </w:numPr>
        <w:tabs>
          <w:tab w:val="left" w:pos="360"/>
        </w:tabs>
        <w:ind w:left="0" w:firstLine="360"/>
        <w:contextualSpacing/>
        <w:jc w:val="both"/>
        <w:rPr>
          <w:rFonts w:asciiTheme="majorHAnsi" w:hAnsiTheme="majorHAnsi" w:cs="Calibri"/>
          <w:color w:val="auto"/>
          <w:sz w:val="20"/>
          <w:szCs w:val="20"/>
        </w:rPr>
      </w:pPr>
      <w:r w:rsidRPr="00385641">
        <w:rPr>
          <w:rFonts w:asciiTheme="majorHAnsi" w:hAnsiTheme="majorHAnsi"/>
          <w:color w:val="auto"/>
          <w:sz w:val="20"/>
          <w:szCs w:val="20"/>
        </w:rPr>
        <w:t xml:space="preserve"> Based on the foregoing considerations and in accordance with the procedure set forth in Articles 48(1)(f) and 49 of the American Convention, the Commission would like to reiterate its profound gratitude for the efforts made by the parties and its satisfaction that this case produced a friendly settlement agreement grounded in respect for human rights and compatible with the object and purpose of the American Convention. </w:t>
      </w:r>
    </w:p>
    <w:p w:rsidR="00311A32" w:rsidRPr="00385641" w:rsidRDefault="00311A32" w:rsidP="00311A32">
      <w:pPr>
        <w:pStyle w:val="ListParagraph"/>
        <w:tabs>
          <w:tab w:val="left" w:pos="360"/>
        </w:tabs>
        <w:ind w:left="0" w:firstLine="360"/>
        <w:contextualSpacing/>
        <w:jc w:val="both"/>
        <w:rPr>
          <w:rFonts w:asciiTheme="majorHAnsi" w:hAnsiTheme="majorHAnsi" w:cs="Calibri"/>
          <w:color w:val="auto"/>
          <w:sz w:val="20"/>
          <w:szCs w:val="20"/>
        </w:rPr>
      </w:pPr>
    </w:p>
    <w:p w:rsidR="00311A32" w:rsidRPr="00385641" w:rsidRDefault="00311A32" w:rsidP="00311A32">
      <w:pPr>
        <w:pStyle w:val="ListParagraph"/>
        <w:numPr>
          <w:ilvl w:val="0"/>
          <w:numId w:val="58"/>
        </w:numPr>
        <w:tabs>
          <w:tab w:val="left" w:pos="360"/>
        </w:tabs>
        <w:ind w:left="0" w:firstLine="360"/>
        <w:contextualSpacing/>
        <w:jc w:val="both"/>
        <w:rPr>
          <w:rFonts w:asciiTheme="majorHAnsi" w:hAnsiTheme="majorHAnsi" w:cs="Calibri"/>
          <w:color w:val="auto"/>
          <w:sz w:val="20"/>
          <w:szCs w:val="20"/>
        </w:rPr>
      </w:pPr>
      <w:r w:rsidRPr="00385641">
        <w:rPr>
          <w:rFonts w:asciiTheme="majorHAnsi" w:hAnsiTheme="majorHAnsi"/>
          <w:color w:val="auto"/>
          <w:sz w:val="20"/>
          <w:szCs w:val="20"/>
        </w:rPr>
        <w:t xml:space="preserve">Based on the considerations and conclusions set forth in this report, </w:t>
      </w:r>
    </w:p>
    <w:p w:rsidR="00311A32" w:rsidRPr="00385641" w:rsidRDefault="00311A32" w:rsidP="00311A32">
      <w:pPr>
        <w:tabs>
          <w:tab w:val="left" w:pos="360"/>
        </w:tabs>
        <w:ind w:firstLine="360"/>
        <w:jc w:val="both"/>
        <w:rPr>
          <w:rFonts w:asciiTheme="majorHAnsi" w:hAnsiTheme="majorHAnsi" w:cs="Calibri"/>
          <w:b/>
          <w:sz w:val="20"/>
          <w:szCs w:val="20"/>
          <w:highlight w:val="green"/>
        </w:rPr>
      </w:pPr>
    </w:p>
    <w:p w:rsidR="00311A32" w:rsidRPr="00385641" w:rsidRDefault="00311A32" w:rsidP="00311A32">
      <w:pPr>
        <w:tabs>
          <w:tab w:val="left" w:pos="720"/>
          <w:tab w:val="left" w:pos="1440"/>
        </w:tabs>
        <w:ind w:firstLine="360"/>
        <w:jc w:val="center"/>
        <w:rPr>
          <w:rFonts w:asciiTheme="majorHAnsi" w:hAnsiTheme="majorHAnsi"/>
          <w:b/>
          <w:bCs/>
          <w:sz w:val="20"/>
          <w:szCs w:val="20"/>
        </w:rPr>
      </w:pPr>
      <w:r w:rsidRPr="00385641">
        <w:rPr>
          <w:rFonts w:asciiTheme="majorHAnsi" w:hAnsiTheme="majorHAnsi"/>
          <w:b/>
          <w:bCs/>
          <w:sz w:val="20"/>
          <w:szCs w:val="20"/>
        </w:rPr>
        <w:t xml:space="preserve">THE INTER-AMERICAN COMMISSION ON HUMAN RIGHTS </w:t>
      </w:r>
    </w:p>
    <w:p w:rsidR="00311A32" w:rsidRPr="00385641" w:rsidRDefault="00311A32" w:rsidP="00311A32">
      <w:pPr>
        <w:tabs>
          <w:tab w:val="left" w:pos="720"/>
          <w:tab w:val="left" w:pos="1440"/>
        </w:tabs>
        <w:ind w:firstLine="360"/>
        <w:jc w:val="center"/>
        <w:rPr>
          <w:rFonts w:asciiTheme="majorHAnsi" w:hAnsiTheme="majorHAnsi"/>
          <w:b/>
          <w:bCs/>
          <w:sz w:val="20"/>
          <w:szCs w:val="20"/>
        </w:rPr>
      </w:pPr>
    </w:p>
    <w:p w:rsidR="00311A32" w:rsidRPr="00385641" w:rsidRDefault="00311A32" w:rsidP="00311A32">
      <w:pPr>
        <w:ind w:firstLine="360"/>
        <w:jc w:val="both"/>
        <w:rPr>
          <w:rFonts w:asciiTheme="majorHAnsi" w:hAnsiTheme="majorHAnsi"/>
          <w:b/>
          <w:bCs/>
          <w:sz w:val="20"/>
          <w:szCs w:val="20"/>
        </w:rPr>
      </w:pPr>
      <w:r w:rsidRPr="00385641">
        <w:rPr>
          <w:rFonts w:asciiTheme="majorHAnsi" w:hAnsiTheme="majorHAnsi"/>
          <w:b/>
          <w:bCs/>
          <w:sz w:val="20"/>
          <w:szCs w:val="20"/>
        </w:rPr>
        <w:t>DECIDES:</w:t>
      </w:r>
    </w:p>
    <w:p w:rsidR="00311A32" w:rsidRPr="00385641" w:rsidRDefault="00311A32" w:rsidP="00311A32">
      <w:pPr>
        <w:ind w:firstLine="360"/>
        <w:jc w:val="both"/>
        <w:rPr>
          <w:rFonts w:asciiTheme="majorHAnsi" w:hAnsiTheme="majorHAnsi"/>
          <w:b/>
          <w:bCs/>
          <w:sz w:val="20"/>
          <w:szCs w:val="20"/>
          <w:highlight w:val="green"/>
        </w:rPr>
      </w:pPr>
    </w:p>
    <w:p w:rsidR="00311A32" w:rsidRPr="00385641" w:rsidRDefault="00311A32" w:rsidP="00311A3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firstLine="360"/>
        <w:jc w:val="both"/>
        <w:rPr>
          <w:rFonts w:asciiTheme="majorHAnsi" w:hAnsiTheme="majorHAnsi"/>
          <w:sz w:val="20"/>
          <w:szCs w:val="20"/>
        </w:rPr>
      </w:pPr>
      <w:r w:rsidRPr="00385641">
        <w:rPr>
          <w:rFonts w:asciiTheme="majorHAnsi" w:hAnsiTheme="majorHAnsi"/>
          <w:sz w:val="20"/>
          <w:szCs w:val="20"/>
        </w:rPr>
        <w:t xml:space="preserve">To approve the terms of the agreement signed by the parties on January 20, 2010. </w:t>
      </w: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ind w:firstLine="360"/>
        <w:jc w:val="both"/>
        <w:rPr>
          <w:rFonts w:asciiTheme="majorHAnsi" w:hAnsiTheme="majorHAnsi"/>
          <w:sz w:val="20"/>
          <w:szCs w:val="20"/>
        </w:rPr>
      </w:pPr>
    </w:p>
    <w:p w:rsidR="00311A32" w:rsidRPr="00385641" w:rsidRDefault="00311A32" w:rsidP="00311A3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firstLine="360"/>
        <w:jc w:val="both"/>
        <w:rPr>
          <w:rFonts w:asciiTheme="majorHAnsi" w:hAnsiTheme="majorHAnsi"/>
          <w:sz w:val="20"/>
          <w:szCs w:val="20"/>
        </w:rPr>
      </w:pPr>
      <w:r w:rsidRPr="00385641">
        <w:rPr>
          <w:rFonts w:asciiTheme="majorHAnsi" w:hAnsiTheme="majorHAnsi"/>
          <w:sz w:val="20"/>
          <w:szCs w:val="20"/>
        </w:rPr>
        <w:t xml:space="preserve">To find that there has been full compliance with Clauses IV, V, VI, and VII of the friendly settlement agreement, related to measures of non-repetition, individual reparation measures, compensation, and follow-up to the FSA, pursuant to the analysis contained in this report. </w:t>
      </w:r>
    </w:p>
    <w:p w:rsidR="00311A32" w:rsidRPr="00385641" w:rsidRDefault="00311A32" w:rsidP="00311A3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3240"/>
        </w:tabs>
        <w:jc w:val="both"/>
        <w:rPr>
          <w:rFonts w:asciiTheme="majorHAnsi" w:hAnsiTheme="majorHAnsi"/>
          <w:sz w:val="20"/>
          <w:szCs w:val="20"/>
        </w:rPr>
      </w:pPr>
    </w:p>
    <w:p w:rsidR="00311A32" w:rsidRDefault="00311A32" w:rsidP="00311A3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3240"/>
        </w:tabs>
        <w:ind w:firstLine="360"/>
        <w:jc w:val="both"/>
        <w:rPr>
          <w:rFonts w:asciiTheme="majorHAnsi" w:hAnsiTheme="majorHAnsi"/>
          <w:sz w:val="20"/>
          <w:szCs w:val="20"/>
        </w:rPr>
      </w:pPr>
      <w:r w:rsidRPr="00385641">
        <w:rPr>
          <w:rFonts w:asciiTheme="majorHAnsi" w:hAnsiTheme="majorHAnsi"/>
          <w:sz w:val="20"/>
          <w:szCs w:val="20"/>
        </w:rPr>
        <w:t xml:space="preserve">To publish this report and include it in its Annual Report to the General Assembly of the OAS. </w:t>
      </w:r>
    </w:p>
    <w:p w:rsidR="00090A7D" w:rsidRDefault="00090A7D" w:rsidP="00090A7D">
      <w:pPr>
        <w:pStyle w:val="ListParagraph"/>
        <w:rPr>
          <w:rFonts w:asciiTheme="majorHAnsi" w:hAnsiTheme="majorHAnsi"/>
          <w:sz w:val="20"/>
          <w:szCs w:val="20"/>
        </w:rPr>
      </w:pPr>
    </w:p>
    <w:p w:rsidR="00090A7D" w:rsidRDefault="00090A7D" w:rsidP="00090A7D">
      <w:pPr>
        <w:ind w:firstLine="720"/>
        <w:jc w:val="both"/>
        <w:rPr>
          <w:rFonts w:asciiTheme="majorHAnsi" w:hAnsiTheme="majorHAnsi" w:cs="Arial"/>
          <w:sz w:val="20"/>
          <w:szCs w:val="20"/>
          <w:lang w:eastAsia="ja-JP"/>
        </w:rPr>
      </w:pPr>
      <w:r w:rsidRPr="00921F4E">
        <w:rPr>
          <w:rFonts w:asciiTheme="majorHAnsi" w:hAnsiTheme="majorHAnsi" w:cs="Arial"/>
          <w:sz w:val="20"/>
          <w:szCs w:val="20"/>
          <w:lang w:eastAsia="ja-JP"/>
        </w:rPr>
        <w:t xml:space="preserve">Approved by the Inter-American Commission on Human Rights on the </w:t>
      </w:r>
      <w:r>
        <w:rPr>
          <w:rFonts w:asciiTheme="majorHAnsi" w:hAnsiTheme="majorHAnsi" w:cs="Arial"/>
          <w:sz w:val="20"/>
          <w:szCs w:val="20"/>
          <w:lang w:eastAsia="ja-JP"/>
        </w:rPr>
        <w:t>6th</w:t>
      </w:r>
      <w:r w:rsidRPr="00921F4E">
        <w:rPr>
          <w:rFonts w:asciiTheme="majorHAnsi" w:hAnsiTheme="majorHAnsi" w:cs="Arial"/>
          <w:sz w:val="20"/>
          <w:szCs w:val="20"/>
          <w:lang w:eastAsia="ja-JP"/>
        </w:rPr>
        <w:t xml:space="preserve"> day of </w:t>
      </w:r>
      <w:r>
        <w:rPr>
          <w:rFonts w:asciiTheme="majorHAnsi" w:hAnsiTheme="majorHAnsi" w:cs="Arial"/>
          <w:sz w:val="20"/>
          <w:szCs w:val="20"/>
          <w:lang w:eastAsia="ja-JP"/>
        </w:rPr>
        <w:t>September</w:t>
      </w:r>
      <w:r w:rsidRPr="00921F4E">
        <w:rPr>
          <w:rFonts w:asciiTheme="majorHAnsi" w:hAnsiTheme="majorHAnsi" w:cs="Arial"/>
          <w:sz w:val="20"/>
          <w:szCs w:val="20"/>
          <w:lang w:eastAsia="ja-JP"/>
        </w:rPr>
        <w:t>2019. (Signed):</w:t>
      </w:r>
      <w:r>
        <w:rPr>
          <w:rFonts w:asciiTheme="majorHAnsi" w:hAnsiTheme="majorHAnsi" w:cs="Arial"/>
          <w:sz w:val="20"/>
          <w:szCs w:val="20"/>
          <w:lang w:eastAsia="ja-JP"/>
        </w:rPr>
        <w:t xml:space="preserve"> Esmeralda E. </w:t>
      </w:r>
      <w:proofErr w:type="spellStart"/>
      <w:r>
        <w:rPr>
          <w:rFonts w:asciiTheme="majorHAnsi" w:hAnsiTheme="majorHAnsi" w:cs="Arial"/>
          <w:sz w:val="20"/>
          <w:szCs w:val="20"/>
          <w:lang w:eastAsia="ja-JP"/>
        </w:rPr>
        <w:t>Arosemena</w:t>
      </w:r>
      <w:proofErr w:type="spellEnd"/>
      <w:r>
        <w:rPr>
          <w:rFonts w:asciiTheme="majorHAnsi" w:hAnsiTheme="majorHAnsi" w:cs="Arial"/>
          <w:sz w:val="20"/>
          <w:szCs w:val="20"/>
          <w:lang w:eastAsia="ja-JP"/>
        </w:rPr>
        <w:t xml:space="preserve"> Bernal de </w:t>
      </w:r>
      <w:proofErr w:type="spellStart"/>
      <w:r>
        <w:rPr>
          <w:rFonts w:asciiTheme="majorHAnsi" w:hAnsiTheme="majorHAnsi" w:cs="Arial"/>
          <w:sz w:val="20"/>
          <w:szCs w:val="20"/>
          <w:lang w:eastAsia="ja-JP"/>
        </w:rPr>
        <w:t>Troitiño</w:t>
      </w:r>
      <w:proofErr w:type="spellEnd"/>
      <w:r>
        <w:rPr>
          <w:rFonts w:asciiTheme="majorHAnsi" w:hAnsiTheme="majorHAnsi" w:cs="Arial"/>
          <w:sz w:val="20"/>
          <w:szCs w:val="20"/>
          <w:lang w:eastAsia="ja-JP"/>
        </w:rPr>
        <w:t xml:space="preserve">, President; Joel Hernández, First Vice-President; Margarette May </w:t>
      </w:r>
      <w:proofErr w:type="spellStart"/>
      <w:r>
        <w:rPr>
          <w:rFonts w:asciiTheme="majorHAnsi" w:hAnsiTheme="majorHAnsi" w:cs="Arial"/>
          <w:sz w:val="20"/>
          <w:szCs w:val="20"/>
          <w:lang w:eastAsia="ja-JP"/>
        </w:rPr>
        <w:t>Maculay</w:t>
      </w:r>
      <w:proofErr w:type="spellEnd"/>
      <w:r>
        <w:rPr>
          <w:rFonts w:asciiTheme="majorHAnsi" w:hAnsiTheme="majorHAnsi" w:cs="Arial"/>
          <w:sz w:val="20"/>
          <w:szCs w:val="20"/>
          <w:lang w:eastAsia="ja-JP"/>
        </w:rPr>
        <w:t xml:space="preserve">, Francisco José Eguiguren, Luis Ernesto Vargas Silva and Flavia </w:t>
      </w:r>
      <w:proofErr w:type="spellStart"/>
      <w:r>
        <w:rPr>
          <w:rFonts w:asciiTheme="majorHAnsi" w:hAnsiTheme="majorHAnsi" w:cs="Arial"/>
          <w:sz w:val="20"/>
          <w:szCs w:val="20"/>
          <w:lang w:eastAsia="ja-JP"/>
        </w:rPr>
        <w:t>Piovesan</w:t>
      </w:r>
      <w:proofErr w:type="spellEnd"/>
      <w:r>
        <w:rPr>
          <w:rFonts w:asciiTheme="majorHAnsi" w:hAnsiTheme="majorHAnsi" w:cs="Arial"/>
          <w:sz w:val="20"/>
          <w:szCs w:val="20"/>
          <w:lang w:eastAsia="ja-JP"/>
        </w:rPr>
        <w:t>, Members of the Commission.</w:t>
      </w:r>
    </w:p>
    <w:p w:rsidR="00090A7D" w:rsidRDefault="00090A7D" w:rsidP="00090A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3240"/>
        </w:tabs>
        <w:ind w:left="360"/>
        <w:jc w:val="both"/>
        <w:rPr>
          <w:rFonts w:asciiTheme="majorHAnsi" w:hAnsiTheme="majorHAnsi"/>
          <w:sz w:val="20"/>
          <w:szCs w:val="20"/>
        </w:rPr>
      </w:pPr>
    </w:p>
    <w:sectPr w:rsidR="00090A7D" w:rsidSect="00311A32">
      <w:headerReference w:type="even" r:id="rId18"/>
      <w:headerReference w:type="default" r:id="rId19"/>
      <w:footerReference w:type="default" r:id="rId20"/>
      <w:footerReference w:type="first" r:id="rId21"/>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D9B" w:rsidRDefault="001B6D9B" w:rsidP="00036A8A">
      <w:r>
        <w:separator/>
      </w:r>
    </w:p>
  </w:endnote>
  <w:endnote w:type="continuationSeparator" w:id="0">
    <w:p w:rsidR="001B6D9B" w:rsidRDefault="001B6D9B"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DC4" w:rsidRDefault="00980D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311A32">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4112"/>
      <w:docPartObj>
        <w:docPartGallery w:val="Page Numbers (Bottom of Page)"/>
        <w:docPartUnique/>
      </w:docPartObj>
    </w:sdtPr>
    <w:sdtEndPr>
      <w:rPr>
        <w:noProof/>
        <w:sz w:val="16"/>
        <w:szCs w:val="22"/>
      </w:rPr>
    </w:sdtEndPr>
    <w:sdtContent>
      <w:p w:rsidR="00BE0C8C" w:rsidRPr="00934A2C" w:rsidRDefault="004D60F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B1CDE">
          <w:rPr>
            <w:noProof/>
            <w:sz w:val="16"/>
            <w:szCs w:val="22"/>
          </w:rPr>
          <w:t>8</w:t>
        </w:r>
        <w:r w:rsidRPr="00934A2C">
          <w:rPr>
            <w:noProof/>
            <w:sz w:val="16"/>
            <w:szCs w:val="22"/>
          </w:rPr>
          <w:fldChar w:fldCharType="end"/>
        </w:r>
      </w:p>
    </w:sdtContent>
  </w:sdt>
  <w:p w:rsidR="00BE0C8C" w:rsidRDefault="001B6D9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C8C" w:rsidRPr="00934A2C" w:rsidRDefault="001B6D9B">
    <w:pPr>
      <w:pStyle w:val="Footer"/>
      <w:jc w:val="center"/>
      <w:rPr>
        <w:sz w:val="16"/>
        <w:szCs w:val="22"/>
      </w:rPr>
    </w:pPr>
  </w:p>
  <w:p w:rsidR="00BE0C8C" w:rsidRDefault="001B6D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D9B" w:rsidRPr="00036A8A" w:rsidRDefault="001B6D9B"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1B6D9B" w:rsidRPr="00036A8A" w:rsidRDefault="001B6D9B" w:rsidP="00036A8A">
      <w:pPr>
        <w:rPr>
          <w:rFonts w:asciiTheme="majorHAnsi" w:hAnsiTheme="majorHAnsi"/>
          <w:sz w:val="16"/>
          <w:szCs w:val="16"/>
        </w:rPr>
      </w:pPr>
      <w:r w:rsidRPr="00036A8A">
        <w:rPr>
          <w:rFonts w:asciiTheme="majorHAnsi" w:hAnsiTheme="majorHAnsi"/>
          <w:sz w:val="16"/>
          <w:szCs w:val="16"/>
        </w:rPr>
        <w:separator/>
      </w:r>
    </w:p>
    <w:p w:rsidR="001B6D9B" w:rsidRPr="00036A8A" w:rsidRDefault="001B6D9B"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1B6D9B" w:rsidRPr="0093441A" w:rsidRDefault="001B6D9B"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311A32" w:rsidRPr="00804352" w:rsidRDefault="00311A32" w:rsidP="00311A32">
      <w:pPr>
        <w:pStyle w:val="FootnoteText"/>
        <w:jc w:val="both"/>
        <w:rPr>
          <w:rFonts w:asciiTheme="majorHAnsi" w:hAnsiTheme="majorHAnsi"/>
          <w:sz w:val="16"/>
          <w:szCs w:val="16"/>
        </w:rPr>
      </w:pPr>
      <w:r w:rsidRPr="00B40E00">
        <w:rPr>
          <w:rStyle w:val="FootnoteReference"/>
          <w:rFonts w:asciiTheme="majorHAnsi" w:hAnsiTheme="majorHAnsi"/>
          <w:sz w:val="16"/>
          <w:szCs w:val="16"/>
        </w:rPr>
        <w:footnoteRef/>
      </w:r>
      <w:r w:rsidRPr="00804352">
        <w:rPr>
          <w:rFonts w:asciiTheme="majorHAnsi" w:hAnsiTheme="majorHAnsi"/>
          <w:sz w:val="16"/>
          <w:szCs w:val="16"/>
        </w:rPr>
        <w:t xml:space="preserve"> Commissioner Antonia Urrejola, </w:t>
      </w:r>
      <w:r>
        <w:rPr>
          <w:rFonts w:asciiTheme="majorHAnsi" w:hAnsiTheme="majorHAnsi"/>
          <w:sz w:val="16"/>
          <w:szCs w:val="16"/>
        </w:rPr>
        <w:t>a</w:t>
      </w:r>
      <w:r w:rsidRPr="00804352">
        <w:rPr>
          <w:rFonts w:asciiTheme="majorHAnsi" w:hAnsiTheme="majorHAnsi"/>
          <w:sz w:val="16"/>
          <w:szCs w:val="16"/>
        </w:rPr>
        <w:t xml:space="preserve"> Chilean national, did not participate in the </w:t>
      </w:r>
      <w:r>
        <w:rPr>
          <w:rFonts w:asciiTheme="majorHAnsi" w:hAnsiTheme="majorHAnsi"/>
          <w:sz w:val="16"/>
          <w:szCs w:val="16"/>
        </w:rPr>
        <w:t>consideration of</w:t>
      </w:r>
      <w:r w:rsidRPr="00804352">
        <w:rPr>
          <w:rFonts w:asciiTheme="majorHAnsi" w:hAnsiTheme="majorHAnsi"/>
          <w:sz w:val="16"/>
          <w:szCs w:val="16"/>
        </w:rPr>
        <w:t xml:space="preserve"> or voting on this case, pursuant to Article 17(2</w:t>
      </w:r>
      <w:proofErr w:type="gramStart"/>
      <w:r w:rsidRPr="00804352">
        <w:rPr>
          <w:rFonts w:asciiTheme="majorHAnsi" w:hAnsiTheme="majorHAnsi"/>
          <w:sz w:val="16"/>
          <w:szCs w:val="16"/>
        </w:rPr>
        <w:t>)(</w:t>
      </w:r>
      <w:proofErr w:type="gramEnd"/>
      <w:r w:rsidRPr="00804352">
        <w:rPr>
          <w:rFonts w:asciiTheme="majorHAnsi" w:hAnsiTheme="majorHAnsi"/>
          <w:sz w:val="16"/>
          <w:szCs w:val="16"/>
        </w:rPr>
        <w:t xml:space="preserve">a) </w:t>
      </w:r>
      <w:r>
        <w:rPr>
          <w:rFonts w:asciiTheme="majorHAnsi" w:hAnsiTheme="majorHAnsi"/>
          <w:sz w:val="16"/>
          <w:szCs w:val="16"/>
        </w:rPr>
        <w:t>of the IACHR Rules of Procedure</w:t>
      </w:r>
      <w:r w:rsidRPr="00804352">
        <w:rPr>
          <w:rFonts w:asciiTheme="majorHAnsi" w:hAnsiTheme="majorHAnsi"/>
          <w:sz w:val="16"/>
          <w:szCs w:val="16"/>
        </w:rPr>
        <w:t>.</w:t>
      </w:r>
    </w:p>
  </w:footnote>
  <w:footnote w:id="3">
    <w:p w:rsidR="00311A32" w:rsidRPr="000407FF" w:rsidRDefault="00311A32" w:rsidP="00311A32">
      <w:pPr>
        <w:pStyle w:val="FootnoteText"/>
        <w:jc w:val="both"/>
        <w:rPr>
          <w:rFonts w:asciiTheme="majorHAnsi" w:hAnsiTheme="majorHAnsi"/>
          <w:sz w:val="16"/>
          <w:szCs w:val="16"/>
        </w:rPr>
      </w:pPr>
      <w:r w:rsidRPr="00B40E00">
        <w:rPr>
          <w:rStyle w:val="FootnoteReference"/>
          <w:rFonts w:asciiTheme="majorHAnsi" w:hAnsiTheme="majorHAnsi"/>
          <w:sz w:val="16"/>
          <w:szCs w:val="16"/>
        </w:rPr>
        <w:footnoteRef/>
      </w:r>
      <w:r w:rsidRPr="000407FF">
        <w:rPr>
          <w:rFonts w:asciiTheme="majorHAnsi" w:hAnsiTheme="majorHAnsi"/>
          <w:sz w:val="16"/>
          <w:szCs w:val="16"/>
        </w:rPr>
        <w:t xml:space="preserve"> </w:t>
      </w:r>
      <w:proofErr w:type="spellStart"/>
      <w:r w:rsidRPr="000407FF">
        <w:rPr>
          <w:rFonts w:asciiTheme="majorHAnsi" w:hAnsiTheme="majorHAnsi"/>
          <w:i/>
          <w:iCs/>
          <w:sz w:val="16"/>
          <w:szCs w:val="16"/>
        </w:rPr>
        <w:t>Carabineros</w:t>
      </w:r>
      <w:proofErr w:type="spellEnd"/>
      <w:r w:rsidRPr="000407FF">
        <w:rPr>
          <w:rFonts w:asciiTheme="majorHAnsi" w:hAnsiTheme="majorHAnsi"/>
          <w:i/>
          <w:iCs/>
          <w:sz w:val="16"/>
          <w:szCs w:val="16"/>
        </w:rPr>
        <w:t xml:space="preserve"> de Chile</w:t>
      </w:r>
      <w:r w:rsidRPr="000407FF">
        <w:rPr>
          <w:rFonts w:asciiTheme="majorHAnsi" w:hAnsiTheme="majorHAnsi"/>
          <w:sz w:val="16"/>
          <w:szCs w:val="16"/>
        </w:rPr>
        <w:t xml:space="preserve"> is a Chilean police force and a technical and military institution, established in 1927</w:t>
      </w:r>
      <w:r>
        <w:rPr>
          <w:rFonts w:asciiTheme="majorHAnsi" w:hAnsiTheme="majorHAnsi"/>
          <w:sz w:val="16"/>
          <w:szCs w:val="16"/>
        </w:rPr>
        <w:t xml:space="preserve">. </w:t>
      </w:r>
      <w:r w:rsidRPr="000407FF">
        <w:rPr>
          <w:rFonts w:asciiTheme="majorHAnsi" w:hAnsiTheme="majorHAnsi"/>
          <w:sz w:val="16"/>
          <w:szCs w:val="16"/>
        </w:rPr>
        <w:t xml:space="preserve">It is part of Chile’s Forces of Order and </w:t>
      </w:r>
      <w:r>
        <w:rPr>
          <w:rFonts w:asciiTheme="majorHAnsi" w:hAnsiTheme="majorHAnsi"/>
          <w:sz w:val="16"/>
          <w:szCs w:val="16"/>
        </w:rPr>
        <w:t>Public Security</w:t>
      </w:r>
      <w:r w:rsidRPr="000407FF">
        <w:rPr>
          <w:rFonts w:asciiTheme="majorHAnsi" w:hAnsiTheme="majorHAnsi"/>
          <w:sz w:val="16"/>
          <w:szCs w:val="16"/>
        </w:rPr>
        <w:t>.</w:t>
      </w:r>
    </w:p>
  </w:footnote>
  <w:footnote w:id="4">
    <w:p w:rsidR="00311A32" w:rsidRPr="004511EA" w:rsidRDefault="00311A32" w:rsidP="00311A32">
      <w:pPr>
        <w:pStyle w:val="FootnoteText"/>
        <w:jc w:val="both"/>
        <w:rPr>
          <w:rFonts w:asciiTheme="majorHAnsi" w:hAnsiTheme="majorHAnsi"/>
          <w:sz w:val="16"/>
          <w:szCs w:val="16"/>
        </w:rPr>
      </w:pPr>
      <w:r w:rsidRPr="00B40E00">
        <w:rPr>
          <w:rStyle w:val="FootnoteReference"/>
          <w:rFonts w:asciiTheme="majorHAnsi" w:hAnsiTheme="majorHAnsi"/>
          <w:sz w:val="16"/>
          <w:szCs w:val="16"/>
        </w:rPr>
        <w:footnoteRef/>
      </w:r>
      <w:r w:rsidRPr="004511EA">
        <w:rPr>
          <w:rFonts w:asciiTheme="majorHAnsi" w:hAnsiTheme="majorHAnsi"/>
          <w:sz w:val="16"/>
          <w:szCs w:val="16"/>
        </w:rPr>
        <w:t xml:space="preserve"> Vienna Convention on the Law of Treaties, UN Doc A/CONF.39/27 (1969), Article 26: </w:t>
      </w:r>
      <w:r w:rsidRPr="004511EA">
        <w:rPr>
          <w:rFonts w:asciiTheme="majorHAnsi" w:hAnsiTheme="majorHAnsi"/>
          <w:b/>
          <w:sz w:val="16"/>
          <w:szCs w:val="16"/>
        </w:rPr>
        <w:t>"</w:t>
      </w:r>
      <w:proofErr w:type="spellStart"/>
      <w:r w:rsidRPr="004511EA">
        <w:rPr>
          <w:rFonts w:asciiTheme="majorHAnsi" w:hAnsiTheme="majorHAnsi"/>
          <w:b/>
          <w:sz w:val="16"/>
          <w:szCs w:val="16"/>
        </w:rPr>
        <w:t>Pacta</w:t>
      </w:r>
      <w:proofErr w:type="spellEnd"/>
      <w:r w:rsidRPr="004511EA">
        <w:rPr>
          <w:rFonts w:asciiTheme="majorHAnsi" w:hAnsiTheme="majorHAnsi"/>
          <w:b/>
          <w:sz w:val="16"/>
          <w:szCs w:val="16"/>
        </w:rPr>
        <w:t xml:space="preserve"> </w:t>
      </w:r>
      <w:proofErr w:type="spellStart"/>
      <w:r w:rsidRPr="004511EA">
        <w:rPr>
          <w:rFonts w:asciiTheme="majorHAnsi" w:hAnsiTheme="majorHAnsi"/>
          <w:b/>
          <w:sz w:val="16"/>
          <w:szCs w:val="16"/>
        </w:rPr>
        <w:t>sunt</w:t>
      </w:r>
      <w:proofErr w:type="spellEnd"/>
      <w:r w:rsidRPr="004511EA">
        <w:rPr>
          <w:rFonts w:asciiTheme="majorHAnsi" w:hAnsiTheme="majorHAnsi"/>
          <w:b/>
          <w:sz w:val="16"/>
          <w:szCs w:val="16"/>
        </w:rPr>
        <w:t xml:space="preserve"> </w:t>
      </w:r>
      <w:proofErr w:type="spellStart"/>
      <w:r w:rsidRPr="004511EA">
        <w:rPr>
          <w:rFonts w:asciiTheme="majorHAnsi" w:hAnsiTheme="majorHAnsi"/>
          <w:b/>
          <w:sz w:val="16"/>
          <w:szCs w:val="16"/>
        </w:rPr>
        <w:t>servanda</w:t>
      </w:r>
      <w:proofErr w:type="spellEnd"/>
      <w:r w:rsidRPr="004511EA">
        <w:rPr>
          <w:rFonts w:asciiTheme="majorHAnsi" w:hAnsiTheme="majorHAnsi"/>
          <w:b/>
          <w:sz w:val="16"/>
          <w:szCs w:val="16"/>
        </w:rPr>
        <w:t xml:space="preserve">": </w:t>
      </w:r>
      <w:r w:rsidRPr="004511EA">
        <w:rPr>
          <w:rFonts w:asciiTheme="majorHAnsi" w:hAnsiTheme="majorHAnsi"/>
          <w:i/>
          <w:sz w:val="16"/>
          <w:szCs w:val="16"/>
        </w:rPr>
        <w:t>Every treaty in force is binding up</w:t>
      </w:r>
      <w:r>
        <w:rPr>
          <w:rFonts w:asciiTheme="majorHAnsi" w:hAnsiTheme="majorHAnsi"/>
          <w:i/>
          <w:sz w:val="16"/>
          <w:szCs w:val="16"/>
        </w:rPr>
        <w:t>on the parties to it and must be performed by them in good faith.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54D8E8F6" wp14:editId="206E18AF">
          <wp:extent cx="2209800" cy="117396"/>
          <wp:effectExtent l="0" t="0" r="0" b="0"/>
          <wp:docPr id="12" name="Picture 12"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1B6D9B"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DC4" w:rsidRDefault="00980DC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C8C" w:rsidRDefault="004D60F4" w:rsidP="001E3E0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BE0C8C" w:rsidRDefault="001B6D9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C8C" w:rsidRDefault="00781FA2" w:rsidP="00A50FCF">
    <w:pPr>
      <w:pStyle w:val="Header"/>
      <w:tabs>
        <w:tab w:val="clear" w:pos="4320"/>
        <w:tab w:val="clear" w:pos="8640"/>
      </w:tabs>
      <w:jc w:val="center"/>
      <w:rPr>
        <w:sz w:val="22"/>
        <w:szCs w:val="22"/>
      </w:rPr>
    </w:pPr>
    <w:r>
      <w:rPr>
        <w:noProof/>
      </w:rPr>
      <w:drawing>
        <wp:inline distT="0" distB="0" distL="0" distR="0">
          <wp:extent cx="2276475" cy="114300"/>
          <wp:effectExtent l="0" t="0" r="9525" b="0"/>
          <wp:docPr id="9" name="Picture 9"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114300"/>
                  </a:xfrm>
                  <a:prstGeom prst="rect">
                    <a:avLst/>
                  </a:prstGeom>
                  <a:noFill/>
                  <a:ln>
                    <a:noFill/>
                  </a:ln>
                </pic:spPr>
              </pic:pic>
            </a:graphicData>
          </a:graphic>
        </wp:inline>
      </w:drawing>
    </w:r>
  </w:p>
  <w:p w:rsidR="00BE0C8C" w:rsidRPr="00EC7D62" w:rsidRDefault="001B6D9B" w:rsidP="00A50FCF">
    <w:pPr>
      <w:pStyle w:val="Header"/>
      <w:tabs>
        <w:tab w:val="clear" w:pos="4320"/>
        <w:tab w:val="clear" w:pos="8640"/>
      </w:tabs>
      <w:jc w:val="center"/>
      <w:rPr>
        <w:sz w:val="22"/>
        <w:szCs w:val="22"/>
      </w:rPr>
    </w:pPr>
    <w:r>
      <w:rPr>
        <w:sz w:val="22"/>
        <w:szCs w:val="22"/>
      </w:rP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0300AC8"/>
    <w:multiLevelType w:val="hybridMultilevel"/>
    <w:tmpl w:val="3C086182"/>
    <w:lvl w:ilvl="0" w:tplc="0C0A000F">
      <w:start w:val="1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9B9563A"/>
    <w:multiLevelType w:val="hybridMultilevel"/>
    <w:tmpl w:val="0F36EB4A"/>
    <w:lvl w:ilvl="0" w:tplc="37A6397E">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8E5035"/>
    <w:multiLevelType w:val="hybridMultilevel"/>
    <w:tmpl w:val="B32AE676"/>
    <w:lvl w:ilvl="0" w:tplc="2B4E979C">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4240A62"/>
    <w:multiLevelType w:val="hybridMultilevel"/>
    <w:tmpl w:val="F02683B6"/>
    <w:lvl w:ilvl="0" w:tplc="0C0A000F">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4"/>
  </w:num>
  <w:num w:numId="4">
    <w:abstractNumId w:val="21"/>
  </w:num>
  <w:num w:numId="5">
    <w:abstractNumId w:val="46"/>
  </w:num>
  <w:num w:numId="6">
    <w:abstractNumId w:val="26"/>
  </w:num>
  <w:num w:numId="7">
    <w:abstractNumId w:val="5"/>
  </w:num>
  <w:num w:numId="8">
    <w:abstractNumId w:val="17"/>
  </w:num>
  <w:num w:numId="9">
    <w:abstractNumId w:val="41"/>
  </w:num>
  <w:num w:numId="10">
    <w:abstractNumId w:val="0"/>
  </w:num>
  <w:num w:numId="11">
    <w:abstractNumId w:val="35"/>
  </w:num>
  <w:num w:numId="12">
    <w:abstractNumId w:val="36"/>
  </w:num>
  <w:num w:numId="13">
    <w:abstractNumId w:val="42"/>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2"/>
  </w:num>
  <w:num w:numId="22">
    <w:abstractNumId w:val="13"/>
  </w:num>
  <w:num w:numId="23">
    <w:abstractNumId w:val="14"/>
  </w:num>
  <w:num w:numId="24">
    <w:abstractNumId w:val="15"/>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4"/>
  </w:num>
  <w:num w:numId="42">
    <w:abstractNumId w:val="47"/>
  </w:num>
  <w:num w:numId="43">
    <w:abstractNumId w:val="49"/>
  </w:num>
  <w:num w:numId="44">
    <w:abstractNumId w:val="51"/>
  </w:num>
  <w:num w:numId="45">
    <w:abstractNumId w:val="53"/>
  </w:num>
  <w:num w:numId="46">
    <w:abstractNumId w:val="55"/>
  </w:num>
  <w:num w:numId="47">
    <w:abstractNumId w:val="56"/>
  </w:num>
  <w:num w:numId="48">
    <w:abstractNumId w:val="57"/>
  </w:num>
  <w:num w:numId="49">
    <w:abstractNumId w:val="58"/>
  </w:num>
  <w:num w:numId="50">
    <w:abstractNumId w:val="59"/>
  </w:num>
  <w:num w:numId="51">
    <w:abstractNumId w:val="20"/>
  </w:num>
  <w:num w:numId="52">
    <w:abstractNumId w:val="40"/>
  </w:num>
  <w:num w:numId="53">
    <w:abstractNumId w:val="50"/>
  </w:num>
  <w:num w:numId="54">
    <w:abstractNumId w:val="43"/>
  </w:num>
  <w:num w:numId="55">
    <w:abstractNumId w:val="48"/>
  </w:num>
  <w:num w:numId="56">
    <w:abstractNumId w:val="52"/>
  </w:num>
  <w:num w:numId="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5"/>
  </w:num>
  <w:num w:numId="59">
    <w:abstractNumId w:val="37"/>
  </w:num>
  <w:num w:numId="60">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6BB4"/>
    <w:rsid w:val="0001788C"/>
    <w:rsid w:val="00036A8A"/>
    <w:rsid w:val="00040C3A"/>
    <w:rsid w:val="000639C0"/>
    <w:rsid w:val="00070F3A"/>
    <w:rsid w:val="000716C5"/>
    <w:rsid w:val="00075E23"/>
    <w:rsid w:val="00090A7D"/>
    <w:rsid w:val="00092F32"/>
    <w:rsid w:val="0009344A"/>
    <w:rsid w:val="000A575F"/>
    <w:rsid w:val="000D10DB"/>
    <w:rsid w:val="0013104F"/>
    <w:rsid w:val="00137EBA"/>
    <w:rsid w:val="00145EDC"/>
    <w:rsid w:val="00167A34"/>
    <w:rsid w:val="0018037F"/>
    <w:rsid w:val="001A5F27"/>
    <w:rsid w:val="001A7870"/>
    <w:rsid w:val="001B6D9B"/>
    <w:rsid w:val="001C1B41"/>
    <w:rsid w:val="00210E0E"/>
    <w:rsid w:val="00247403"/>
    <w:rsid w:val="00247542"/>
    <w:rsid w:val="00257893"/>
    <w:rsid w:val="00266092"/>
    <w:rsid w:val="00266B61"/>
    <w:rsid w:val="0026712A"/>
    <w:rsid w:val="002704DB"/>
    <w:rsid w:val="002C1641"/>
    <w:rsid w:val="002D7EA2"/>
    <w:rsid w:val="002E15DF"/>
    <w:rsid w:val="002E187C"/>
    <w:rsid w:val="002E6E57"/>
    <w:rsid w:val="00301075"/>
    <w:rsid w:val="00302733"/>
    <w:rsid w:val="00311A32"/>
    <w:rsid w:val="00311A4F"/>
    <w:rsid w:val="00314078"/>
    <w:rsid w:val="00322450"/>
    <w:rsid w:val="003246B5"/>
    <w:rsid w:val="0033169F"/>
    <w:rsid w:val="003414AC"/>
    <w:rsid w:val="00356185"/>
    <w:rsid w:val="00360380"/>
    <w:rsid w:val="00385641"/>
    <w:rsid w:val="00386CF0"/>
    <w:rsid w:val="003C32BC"/>
    <w:rsid w:val="003F1BBF"/>
    <w:rsid w:val="004165C2"/>
    <w:rsid w:val="00450A4A"/>
    <w:rsid w:val="004666FB"/>
    <w:rsid w:val="00467B7E"/>
    <w:rsid w:val="0049419D"/>
    <w:rsid w:val="004B2762"/>
    <w:rsid w:val="004B77E5"/>
    <w:rsid w:val="004B7EB6"/>
    <w:rsid w:val="004C4B62"/>
    <w:rsid w:val="004D6025"/>
    <w:rsid w:val="004D60F4"/>
    <w:rsid w:val="004D72BC"/>
    <w:rsid w:val="00501399"/>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8009E"/>
    <w:rsid w:val="006A17D2"/>
    <w:rsid w:val="006A73E6"/>
    <w:rsid w:val="006B2D5C"/>
    <w:rsid w:val="006C4EB1"/>
    <w:rsid w:val="006E0166"/>
    <w:rsid w:val="006E7B34"/>
    <w:rsid w:val="00701B24"/>
    <w:rsid w:val="00745899"/>
    <w:rsid w:val="007607C4"/>
    <w:rsid w:val="0076643F"/>
    <w:rsid w:val="00781FA2"/>
    <w:rsid w:val="007A2F70"/>
    <w:rsid w:val="007B1CDE"/>
    <w:rsid w:val="007C3334"/>
    <w:rsid w:val="007C52BB"/>
    <w:rsid w:val="007D2B98"/>
    <w:rsid w:val="00803F1C"/>
    <w:rsid w:val="0080600E"/>
    <w:rsid w:val="00817612"/>
    <w:rsid w:val="00837C45"/>
    <w:rsid w:val="00853419"/>
    <w:rsid w:val="00897E12"/>
    <w:rsid w:val="008D43BA"/>
    <w:rsid w:val="008E3759"/>
    <w:rsid w:val="009041DC"/>
    <w:rsid w:val="009104B4"/>
    <w:rsid w:val="00925FCD"/>
    <w:rsid w:val="0093441A"/>
    <w:rsid w:val="00954BF7"/>
    <w:rsid w:val="0096706E"/>
    <w:rsid w:val="00980DC4"/>
    <w:rsid w:val="00981FBA"/>
    <w:rsid w:val="009B381B"/>
    <w:rsid w:val="009D7611"/>
    <w:rsid w:val="009E53DE"/>
    <w:rsid w:val="009F09B5"/>
    <w:rsid w:val="00A308D3"/>
    <w:rsid w:val="00A43458"/>
    <w:rsid w:val="00A528D1"/>
    <w:rsid w:val="00A66BE5"/>
    <w:rsid w:val="00AB3FFC"/>
    <w:rsid w:val="00AD37C1"/>
    <w:rsid w:val="00AE66EC"/>
    <w:rsid w:val="00AE6F91"/>
    <w:rsid w:val="00AF5571"/>
    <w:rsid w:val="00B167E9"/>
    <w:rsid w:val="00B314DB"/>
    <w:rsid w:val="00B31EBE"/>
    <w:rsid w:val="00B3718B"/>
    <w:rsid w:val="00B4632A"/>
    <w:rsid w:val="00B81D1A"/>
    <w:rsid w:val="00BA276C"/>
    <w:rsid w:val="00BB306F"/>
    <w:rsid w:val="00BD232B"/>
    <w:rsid w:val="00BD4B89"/>
    <w:rsid w:val="00C21762"/>
    <w:rsid w:val="00C24543"/>
    <w:rsid w:val="00C256A2"/>
    <w:rsid w:val="00C3492D"/>
    <w:rsid w:val="00C55560"/>
    <w:rsid w:val="00C66B72"/>
    <w:rsid w:val="00C9567A"/>
    <w:rsid w:val="00CB2660"/>
    <w:rsid w:val="00CC5E90"/>
    <w:rsid w:val="00CD046C"/>
    <w:rsid w:val="00CE5199"/>
    <w:rsid w:val="00CE66D5"/>
    <w:rsid w:val="00D34786"/>
    <w:rsid w:val="00D40A1E"/>
    <w:rsid w:val="00D712D3"/>
    <w:rsid w:val="00D71422"/>
    <w:rsid w:val="00D7145E"/>
    <w:rsid w:val="00D7558D"/>
    <w:rsid w:val="00D81D92"/>
    <w:rsid w:val="00D93446"/>
    <w:rsid w:val="00DA7B5F"/>
    <w:rsid w:val="00E43157"/>
    <w:rsid w:val="00E533FF"/>
    <w:rsid w:val="00E709B3"/>
    <w:rsid w:val="00E8789F"/>
    <w:rsid w:val="00E97B71"/>
    <w:rsid w:val="00EB454D"/>
    <w:rsid w:val="00EC34EA"/>
    <w:rsid w:val="00EE3522"/>
    <w:rsid w:val="00EF619B"/>
    <w:rsid w:val="00F00B55"/>
    <w:rsid w:val="00F1380F"/>
    <w:rsid w:val="00F14F0E"/>
    <w:rsid w:val="00F24C29"/>
    <w:rsid w:val="00F253CC"/>
    <w:rsid w:val="00F56BA5"/>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11A32"/>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311A32"/>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311A32"/>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311A32"/>
    <w:rPr>
      <w:rFonts w:ascii="Arial" w:eastAsia="Times New Roman" w:hAnsi="Arial" w:cs="Arial"/>
      <w:b/>
      <w:bCs/>
      <w:sz w:val="26"/>
      <w:szCs w:val="26"/>
      <w:bdr w:val="none" w:sz="0" w:space="0" w:color="auto"/>
      <w:lang w:val="en-US" w:eastAsia="en-US"/>
    </w:rPr>
  </w:style>
  <w:style w:type="paragraph" w:styleId="BodyTextIndent2">
    <w:name w:val="Body Text Indent 2"/>
    <w:basedOn w:val="Normal"/>
    <w:link w:val="BodyTextIndent2Char"/>
    <w:uiPriority w:val="99"/>
    <w:semiHidden/>
    <w:unhideWhenUsed/>
    <w:rsid w:val="00311A32"/>
    <w:pPr>
      <w:spacing w:after="120" w:line="480" w:lineRule="auto"/>
      <w:ind w:left="360"/>
    </w:pPr>
  </w:style>
  <w:style w:type="character" w:customStyle="1" w:styleId="BodyTextIndent2Char">
    <w:name w:val="Body Text Indent 2 Char"/>
    <w:basedOn w:val="DefaultParagraphFont"/>
    <w:link w:val="BodyTextIndent2"/>
    <w:uiPriority w:val="99"/>
    <w:semiHidden/>
    <w:rsid w:val="00311A32"/>
    <w:rPr>
      <w:sz w:val="24"/>
      <w:szCs w:val="24"/>
      <w:lang w:val="en-US" w:eastAsia="en-US"/>
    </w:rPr>
  </w:style>
  <w:style w:type="paragraph" w:customStyle="1" w:styleId="Default">
    <w:name w:val="Default"/>
    <w:link w:val="DefaultChar"/>
    <w:rsid w:val="00311A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311A3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311A32"/>
    <w:rPr>
      <w:rFonts w:eastAsia="Times New Roman"/>
      <w:sz w:val="24"/>
      <w:szCs w:val="24"/>
      <w:bdr w:val="none" w:sz="0" w:space="0" w:color="auto"/>
      <w:lang w:val="en-US" w:eastAsia="en-US"/>
    </w:rPr>
  </w:style>
  <w:style w:type="character" w:customStyle="1" w:styleId="DefaultChar">
    <w:name w:val="Default Char"/>
    <w:link w:val="Default"/>
    <w:rsid w:val="00311A32"/>
    <w:rPr>
      <w:rFonts w:eastAsia="Times New Roman"/>
      <w:color w:val="000000"/>
      <w:sz w:val="24"/>
      <w:szCs w:val="24"/>
      <w:bdr w:val="none" w:sz="0" w:space="0" w:color="auto"/>
      <w:lang w:val="en-US" w:eastAsia="en-US"/>
    </w:rPr>
  </w:style>
  <w:style w:type="paragraph" w:customStyle="1" w:styleId="Style1">
    <w:name w:val="Style 1"/>
    <w:basedOn w:val="Normal"/>
    <w:uiPriority w:val="99"/>
    <w:rsid w:val="00311A3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sz w:val="20"/>
      <w:szCs w:val="20"/>
      <w:bdr w:val="none" w:sz="0" w:space="0" w:color="auto"/>
      <w:lang w:eastAsia="es-ES"/>
    </w:rPr>
  </w:style>
  <w:style w:type="character" w:customStyle="1" w:styleId="CharacterStyle1">
    <w:name w:val="Character Style 1"/>
    <w:uiPriority w:val="99"/>
    <w:rsid w:val="00311A32"/>
    <w:rPr>
      <w:sz w:val="20"/>
    </w:rPr>
  </w:style>
  <w:style w:type="paragraph" w:customStyle="1" w:styleId="Style2">
    <w:name w:val="Style 2"/>
    <w:basedOn w:val="Normal"/>
    <w:uiPriority w:val="99"/>
    <w:rsid w:val="00311A3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EastAsia"/>
      <w:sz w:val="20"/>
      <w:szCs w:val="20"/>
      <w:bdr w:val="none" w:sz="0" w:space="0" w:color="auto"/>
      <w:lang w:eastAsia="es-ES"/>
    </w:rPr>
  </w:style>
  <w:style w:type="paragraph" w:customStyle="1" w:styleId="Style3">
    <w:name w:val="Style 3"/>
    <w:basedOn w:val="Normal"/>
    <w:uiPriority w:val="99"/>
    <w:rsid w:val="00311A3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ascii="Calibri" w:eastAsiaTheme="minorEastAsia" w:hAnsi="Calibri" w:cs="Calibri"/>
      <w:sz w:val="22"/>
      <w:szCs w:val="22"/>
      <w:bdr w:val="none" w:sz="0" w:space="0" w:color="auto"/>
      <w:lang w:eastAsia="es-ES"/>
    </w:rPr>
  </w:style>
  <w:style w:type="character" w:customStyle="1" w:styleId="CharacterStyle2">
    <w:name w:val="Character Style 2"/>
    <w:uiPriority w:val="99"/>
    <w:rsid w:val="00311A32"/>
    <w:rPr>
      <w:sz w:val="20"/>
      <w:szCs w:val="20"/>
    </w:rPr>
  </w:style>
  <w:style w:type="character" w:customStyle="1" w:styleId="CharacterStyle3">
    <w:name w:val="Character Style 3"/>
    <w:uiPriority w:val="99"/>
    <w:rsid w:val="00311A32"/>
    <w:rPr>
      <w:rFonts w:ascii="Calibri" w:hAnsi="Calibri" w:cs="Calibri"/>
      <w:sz w:val="22"/>
      <w:szCs w:val="22"/>
    </w:rPr>
  </w:style>
  <w:style w:type="character" w:styleId="CommentReference">
    <w:name w:val="annotation reference"/>
    <w:basedOn w:val="DefaultParagraphFont"/>
    <w:uiPriority w:val="99"/>
    <w:semiHidden/>
    <w:unhideWhenUsed/>
    <w:rsid w:val="00311A32"/>
    <w:rPr>
      <w:sz w:val="16"/>
      <w:szCs w:val="16"/>
    </w:rPr>
  </w:style>
  <w:style w:type="paragraph" w:styleId="CommentText">
    <w:name w:val="annotation text"/>
    <w:basedOn w:val="Normal"/>
    <w:link w:val="CommentTextChar"/>
    <w:uiPriority w:val="99"/>
    <w:semiHidden/>
    <w:unhideWhenUsed/>
    <w:rsid w:val="00311A32"/>
    <w:rPr>
      <w:sz w:val="20"/>
      <w:szCs w:val="20"/>
    </w:rPr>
  </w:style>
  <w:style w:type="character" w:customStyle="1" w:styleId="CommentTextChar">
    <w:name w:val="Comment Text Char"/>
    <w:basedOn w:val="DefaultParagraphFont"/>
    <w:link w:val="CommentText"/>
    <w:uiPriority w:val="99"/>
    <w:semiHidden/>
    <w:rsid w:val="00311A32"/>
    <w:rPr>
      <w:lang w:val="en-US" w:eastAsia="en-US"/>
    </w:rPr>
  </w:style>
  <w:style w:type="paragraph" w:styleId="CommentSubject">
    <w:name w:val="annotation subject"/>
    <w:basedOn w:val="CommentText"/>
    <w:next w:val="CommentText"/>
    <w:link w:val="CommentSubjectChar"/>
    <w:uiPriority w:val="99"/>
    <w:semiHidden/>
    <w:unhideWhenUsed/>
    <w:rsid w:val="00311A32"/>
    <w:rPr>
      <w:b/>
      <w:bCs/>
    </w:rPr>
  </w:style>
  <w:style w:type="character" w:customStyle="1" w:styleId="CommentSubjectChar">
    <w:name w:val="Comment Subject Char"/>
    <w:basedOn w:val="CommentTextChar"/>
    <w:link w:val="CommentSubject"/>
    <w:uiPriority w:val="99"/>
    <w:semiHidden/>
    <w:rsid w:val="00311A32"/>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5B818-6B0C-4245-84A2-4B7A8F391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4063</Words>
  <Characters>23160</Characters>
  <Application>Microsoft Office Word</Application>
  <DocSecurity>0</DocSecurity>
  <Lines>193</Lines>
  <Paragraphs>54</Paragraphs>
  <ScaleCrop>false</ScaleCrop>
  <Company/>
  <LinksUpToDate>false</LinksUpToDate>
  <CharactersWithSpaces>27169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137/19</dc:title>
  <dc:creator/>
  <cp:lastModifiedBy/>
  <cp:revision>1</cp:revision>
  <dcterms:created xsi:type="dcterms:W3CDTF">2019-10-01T18:43:00Z</dcterms:created>
  <dcterms:modified xsi:type="dcterms:W3CDTF">2020-04-22T14:19:00Z</dcterms:modified>
</cp:coreProperties>
</file>