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88" w:rsidRPr="00F52B87" w:rsidRDefault="005F4A5B" w:rsidP="006B17EC">
      <w:pPr>
        <w:jc w:val="both"/>
        <w:rPr>
          <w:rFonts w:ascii="Cambria" w:hAnsi="Cambria" w:cs="Cambria"/>
          <w:b/>
          <w:bCs/>
          <w:sz w:val="20"/>
          <w:szCs w:val="20"/>
        </w:rPr>
      </w:pPr>
      <w:r w:rsidRPr="00F52B87">
        <w:rPr>
          <w:noProof/>
          <w:sz w:val="20"/>
          <w:szCs w:val="20"/>
        </w:rPr>
        <mc:AlternateContent>
          <mc:Choice Requires="wps">
            <w:drawing>
              <wp:anchor distT="0" distB="0" distL="114300" distR="114300" simplePos="0" relativeHeight="251654144" behindDoc="0" locked="0" layoutInCell="1" allowOverlap="1" wp14:anchorId="3CF87B7C" wp14:editId="23A606CF">
                <wp:simplePos x="0" y="0"/>
                <wp:positionH relativeFrom="column">
                  <wp:posOffset>-415925</wp:posOffset>
                </wp:positionH>
                <wp:positionV relativeFrom="paragraph">
                  <wp:posOffset>-439420</wp:posOffset>
                </wp:positionV>
                <wp:extent cx="1543050" cy="9096375"/>
                <wp:effectExtent l="3175" t="0" r="0" b="127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096375"/>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71CC3E"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DQbS8NggIAAAAFAAAOAAAAAAAAAAAAAAAAAC4CAABkcnMvZTJvRG9jLnhtbFBLAQItABQABgAI&#10;AAAAIQDe1zvO5AAAAAwBAAAPAAAAAAAAAAAAAAAAANwEAABkcnMvZG93bnJldi54bWxQSwUGAAAA&#10;AAQABADzAAAA7QUAAAAA&#10;" fillcolor="#67ae3c" stroked="f" strokeweight="2pt"/>
            </w:pict>
          </mc:Fallback>
        </mc:AlternateContent>
      </w:r>
      <w:r w:rsidRPr="00F52B87">
        <w:rPr>
          <w:noProof/>
          <w:sz w:val="20"/>
          <w:szCs w:val="20"/>
        </w:rPr>
        <mc:AlternateContent>
          <mc:Choice Requires="wps">
            <w:drawing>
              <wp:anchor distT="0" distB="0" distL="114300" distR="114300" simplePos="0" relativeHeight="251658240" behindDoc="0" locked="0" layoutInCell="1" allowOverlap="1" wp14:anchorId="336006F8" wp14:editId="05F834C9">
                <wp:simplePos x="0" y="0"/>
                <wp:positionH relativeFrom="column">
                  <wp:posOffset>1282065</wp:posOffset>
                </wp:positionH>
                <wp:positionV relativeFrom="paragraph">
                  <wp:posOffset>-424180</wp:posOffset>
                </wp:positionV>
                <wp:extent cx="5248275" cy="902335"/>
                <wp:effectExtent l="0" t="4445" r="381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1288" w:rsidRPr="00287BBD" w:rsidRDefault="00001288" w:rsidP="00287BBD">
                            <w:pPr>
                              <w:rPr>
                                <w:noProof/>
                              </w:rPr>
                            </w:pPr>
                            <w:r w:rsidRPr="00287BBD">
                              <w:rPr>
                                <w:noProof/>
                              </w:rPr>
                              <w:tab/>
                            </w:r>
                            <w:r w:rsidR="005F4A5B">
                              <w:rPr>
                                <w:noProof/>
                              </w:rPr>
                              <w:drawing>
                                <wp:inline distT="0" distB="0" distL="0" distR="0" wp14:anchorId="5055D6F1" wp14:editId="0823AF40">
                                  <wp:extent cx="2512695" cy="469265"/>
                                  <wp:effectExtent l="0" t="0" r="1905" b="698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695" cy="469265"/>
                                          </a:xfrm>
                                          <a:prstGeom prst="rect">
                                            <a:avLst/>
                                          </a:prstGeom>
                                          <a:noFill/>
                                          <a:ln>
                                            <a:noFill/>
                                          </a:ln>
                                        </pic:spPr>
                                      </pic:pic>
                                    </a:graphicData>
                                  </a:graphic>
                                </wp:inline>
                              </w:drawing>
                            </w:r>
                            <w:r w:rsidRPr="00287BBD">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006F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kctQIAALs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" filled="f" stroked="f" strokeweight=".5pt">
                <v:textbox>
                  <w:txbxContent>
                    <w:p w:rsidR="00001288" w:rsidRPr="00287BBD" w:rsidRDefault="00001288" w:rsidP="00287BBD">
                      <w:pPr>
                        <w:rPr>
                          <w:noProof/>
                        </w:rPr>
                      </w:pPr>
                      <w:r w:rsidRPr="00287BBD">
                        <w:rPr>
                          <w:noProof/>
                        </w:rPr>
                        <w:tab/>
                      </w:r>
                      <w:r w:rsidR="005F4A5B">
                        <w:rPr>
                          <w:noProof/>
                        </w:rPr>
                        <w:drawing>
                          <wp:inline distT="0" distB="0" distL="0" distR="0" wp14:anchorId="5055D6F1" wp14:editId="0823AF40">
                            <wp:extent cx="2512695" cy="469265"/>
                            <wp:effectExtent l="0" t="0" r="1905" b="698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695" cy="469265"/>
                                    </a:xfrm>
                                    <a:prstGeom prst="rect">
                                      <a:avLst/>
                                    </a:prstGeom>
                                    <a:noFill/>
                                    <a:ln>
                                      <a:noFill/>
                                    </a:ln>
                                  </pic:spPr>
                                </pic:pic>
                              </a:graphicData>
                            </a:graphic>
                          </wp:inline>
                        </w:drawing>
                      </w:r>
                      <w:r w:rsidRPr="00287BBD">
                        <w:rPr>
                          <w:noProof/>
                        </w:rPr>
                        <w:t xml:space="preserve"> </w:t>
                      </w:r>
                    </w:p>
                  </w:txbxContent>
                </v:textbox>
              </v:shape>
            </w:pict>
          </mc:Fallback>
        </mc:AlternateContent>
      </w:r>
    </w:p>
    <w:p w:rsidR="00001288" w:rsidRPr="00F52B87" w:rsidRDefault="00001288" w:rsidP="006B17EC">
      <w:pPr>
        <w:suppressAutoHyphens/>
        <w:jc w:val="both"/>
        <w:rPr>
          <w:rFonts w:ascii="Cambria" w:hAnsi="Cambria" w:cs="Cambria"/>
          <w:sz w:val="20"/>
          <w:szCs w:val="20"/>
        </w:rPr>
      </w:pPr>
    </w:p>
    <w:p w:rsidR="00001288" w:rsidRPr="00F52B87" w:rsidRDefault="00001288" w:rsidP="006B17EC">
      <w:pPr>
        <w:suppressAutoHyphens/>
        <w:jc w:val="both"/>
        <w:rPr>
          <w:rFonts w:ascii="Cambria" w:hAnsi="Cambria" w:cs="Cambria"/>
          <w:sz w:val="20"/>
          <w:szCs w:val="20"/>
        </w:rPr>
      </w:pPr>
    </w:p>
    <w:p w:rsidR="00001288" w:rsidRPr="00F52B87" w:rsidRDefault="00001288" w:rsidP="006B17EC">
      <w:pPr>
        <w:suppressAutoHyphens/>
        <w:rPr>
          <w:rFonts w:ascii="Cambria" w:hAnsi="Cambria" w:cs="Cambria"/>
          <w:sz w:val="20"/>
          <w:szCs w:val="20"/>
        </w:rPr>
      </w:pPr>
    </w:p>
    <w:p w:rsidR="00001288" w:rsidRPr="00F52B87" w:rsidRDefault="00001288" w:rsidP="006B17EC">
      <w:pPr>
        <w:suppressAutoHyphens/>
        <w:rPr>
          <w:rFonts w:ascii="Cambria" w:hAnsi="Cambria" w:cs="Cambria"/>
          <w:sz w:val="20"/>
          <w:szCs w:val="20"/>
        </w:rPr>
      </w:pPr>
    </w:p>
    <w:p w:rsidR="00001288" w:rsidRPr="00F52B87" w:rsidRDefault="00001288" w:rsidP="006B17EC">
      <w:pPr>
        <w:suppressAutoHyphens/>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5F4A5B" w:rsidP="006B17EC">
      <w:pPr>
        <w:suppressAutoHyphens/>
        <w:jc w:val="center"/>
        <w:rPr>
          <w:rFonts w:ascii="Cambria" w:hAnsi="Cambria" w:cs="Cambria"/>
          <w:sz w:val="20"/>
          <w:szCs w:val="20"/>
        </w:rPr>
      </w:pPr>
      <w:r w:rsidRPr="00F52B87">
        <w:rPr>
          <w:noProof/>
          <w:sz w:val="20"/>
          <w:szCs w:val="20"/>
        </w:rPr>
        <mc:AlternateContent>
          <mc:Choice Requires="wps">
            <w:drawing>
              <wp:anchor distT="0" distB="0" distL="114300" distR="114300" simplePos="0" relativeHeight="251657216" behindDoc="0" locked="0" layoutInCell="1" allowOverlap="1" wp14:anchorId="1E0DAA96" wp14:editId="0D55EC60">
                <wp:simplePos x="0" y="0"/>
                <wp:positionH relativeFrom="column">
                  <wp:posOffset>-342900</wp:posOffset>
                </wp:positionH>
                <wp:positionV relativeFrom="paragraph">
                  <wp:posOffset>164465</wp:posOffset>
                </wp:positionV>
                <wp:extent cx="1390650" cy="1377315"/>
                <wp:effectExtent l="0" t="444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1288" w:rsidRPr="00F52B87" w:rsidRDefault="00001288" w:rsidP="00287BBD">
                            <w:pPr>
                              <w:spacing w:line="276" w:lineRule="auto"/>
                              <w:jc w:val="right"/>
                              <w:rPr>
                                <w:rFonts w:ascii="Calibri" w:hAnsi="Calibri" w:cs="Calibri"/>
                                <w:noProof/>
                                <w:color w:val="FFFFFF"/>
                                <w:sz w:val="22"/>
                                <w:szCs w:val="22"/>
                                <w:lang w:val="pt-BR"/>
                              </w:rPr>
                            </w:pPr>
                            <w:r w:rsidRPr="00F52B87">
                              <w:rPr>
                                <w:rFonts w:ascii="Calibri" w:hAnsi="Calibri" w:cs="Calibri"/>
                                <w:noProof/>
                                <w:color w:val="FFFFFF"/>
                                <w:sz w:val="22"/>
                                <w:szCs w:val="22"/>
                                <w:lang w:val="pt-BR"/>
                              </w:rPr>
                              <w:t>OEA/Ser.L/V/II.</w:t>
                            </w:r>
                          </w:p>
                          <w:p w:rsidR="00001288" w:rsidRPr="00F52B87" w:rsidRDefault="00001288" w:rsidP="00287BBD">
                            <w:pPr>
                              <w:spacing w:line="276" w:lineRule="auto"/>
                              <w:jc w:val="right"/>
                              <w:rPr>
                                <w:rFonts w:ascii="Calibri" w:hAnsi="Calibri" w:cs="Calibri"/>
                                <w:noProof/>
                                <w:color w:val="FFFFFF"/>
                                <w:sz w:val="22"/>
                                <w:szCs w:val="22"/>
                                <w:lang w:val="pt-BR"/>
                              </w:rPr>
                            </w:pPr>
                            <w:r w:rsidRPr="00F52B87">
                              <w:rPr>
                                <w:rFonts w:ascii="Calibri" w:hAnsi="Calibri" w:cs="Calibri"/>
                                <w:noProof/>
                                <w:color w:val="FFFFFF"/>
                                <w:sz w:val="22"/>
                                <w:szCs w:val="22"/>
                                <w:lang w:val="pt-BR"/>
                              </w:rPr>
                              <w:t xml:space="preserve">Doc. </w:t>
                            </w:r>
                            <w:r w:rsidR="002029C6" w:rsidRPr="00F52B87">
                              <w:rPr>
                                <w:rFonts w:ascii="Calibri" w:hAnsi="Calibri" w:cs="Calibri"/>
                                <w:noProof/>
                                <w:color w:val="FFFFFF"/>
                                <w:sz w:val="22"/>
                                <w:szCs w:val="22"/>
                                <w:lang w:val="pt-BR"/>
                              </w:rPr>
                              <w:t>42</w:t>
                            </w:r>
                          </w:p>
                          <w:p w:rsidR="00001288" w:rsidRPr="00287BBD" w:rsidRDefault="00E940BE" w:rsidP="00287BBD">
                            <w:pPr>
                              <w:spacing w:line="276" w:lineRule="auto"/>
                              <w:jc w:val="right"/>
                              <w:rPr>
                                <w:rFonts w:ascii="Calibri" w:hAnsi="Calibri" w:cs="Calibri"/>
                                <w:noProof/>
                                <w:color w:val="FFFFFF"/>
                                <w:sz w:val="22"/>
                                <w:szCs w:val="22"/>
                              </w:rPr>
                            </w:pPr>
                            <w:r>
                              <w:rPr>
                                <w:rFonts w:ascii="Calibri" w:hAnsi="Calibri" w:cs="Calibri"/>
                                <w:noProof/>
                                <w:color w:val="FFFFFF"/>
                                <w:sz w:val="22"/>
                                <w:szCs w:val="22"/>
                              </w:rPr>
                              <w:t>1</w:t>
                            </w:r>
                            <w:r w:rsidR="002029C6">
                              <w:rPr>
                                <w:rFonts w:ascii="Calibri" w:hAnsi="Calibri" w:cs="Calibri"/>
                                <w:noProof/>
                                <w:color w:val="FFFFFF"/>
                                <w:sz w:val="22"/>
                                <w:szCs w:val="22"/>
                              </w:rPr>
                              <w:t>6</w:t>
                            </w:r>
                            <w:r w:rsidR="000434C9">
                              <w:rPr>
                                <w:rFonts w:ascii="Calibri" w:hAnsi="Calibri" w:cs="Calibri"/>
                                <w:noProof/>
                                <w:color w:val="FFFFFF"/>
                                <w:sz w:val="22"/>
                                <w:szCs w:val="22"/>
                              </w:rPr>
                              <w:t xml:space="preserve"> April</w:t>
                            </w:r>
                            <w:r>
                              <w:rPr>
                                <w:rFonts w:ascii="Calibri" w:hAnsi="Calibri" w:cs="Calibri"/>
                                <w:noProof/>
                                <w:color w:val="FFFFFF"/>
                                <w:sz w:val="22"/>
                                <w:szCs w:val="22"/>
                              </w:rPr>
                              <w:t xml:space="preserve"> 2019</w:t>
                            </w:r>
                          </w:p>
                          <w:p w:rsidR="00001288" w:rsidRPr="00287BBD" w:rsidRDefault="00001288" w:rsidP="00287BBD">
                            <w:pPr>
                              <w:spacing w:line="276" w:lineRule="auto"/>
                              <w:jc w:val="right"/>
                              <w:rPr>
                                <w:rFonts w:ascii="Calibri" w:hAnsi="Calibri" w:cs="Calibri"/>
                                <w:noProof/>
                                <w:color w:val="FFFFFF"/>
                                <w:sz w:val="22"/>
                                <w:szCs w:val="22"/>
                              </w:rPr>
                            </w:pPr>
                            <w:r w:rsidRPr="00287BBD">
                              <w:rPr>
                                <w:rFonts w:ascii="Calibri" w:hAnsi="Calibri" w:cs="Calibri"/>
                                <w:noProof/>
                                <w:color w:val="FFFFFF"/>
                                <w:sz w:val="22"/>
                                <w:szCs w:val="22"/>
                              </w:rPr>
                              <w:t>Original: 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DAA96" id="Text Box 8" o:spid="_x0000_s1027"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" filled="f" stroked="f" strokeweight=".5pt">
                <v:textbox>
                  <w:txbxContent>
                    <w:p w:rsidR="00001288" w:rsidRPr="00F52B87" w:rsidRDefault="00001288" w:rsidP="00287BBD">
                      <w:pPr>
                        <w:spacing w:line="276" w:lineRule="auto"/>
                        <w:jc w:val="right"/>
                        <w:rPr>
                          <w:rFonts w:ascii="Calibri" w:hAnsi="Calibri" w:cs="Calibri"/>
                          <w:noProof/>
                          <w:color w:val="FFFFFF"/>
                          <w:sz w:val="22"/>
                          <w:szCs w:val="22"/>
                          <w:lang w:val="pt-BR"/>
                        </w:rPr>
                      </w:pPr>
                      <w:r w:rsidRPr="00F52B87">
                        <w:rPr>
                          <w:rFonts w:ascii="Calibri" w:hAnsi="Calibri" w:cs="Calibri"/>
                          <w:noProof/>
                          <w:color w:val="FFFFFF"/>
                          <w:sz w:val="22"/>
                          <w:szCs w:val="22"/>
                          <w:lang w:val="pt-BR"/>
                        </w:rPr>
                        <w:t>OEA/Ser.L/V/II.</w:t>
                      </w:r>
                    </w:p>
                    <w:p w:rsidR="00001288" w:rsidRPr="00F52B87" w:rsidRDefault="00001288" w:rsidP="00287BBD">
                      <w:pPr>
                        <w:spacing w:line="276" w:lineRule="auto"/>
                        <w:jc w:val="right"/>
                        <w:rPr>
                          <w:rFonts w:ascii="Calibri" w:hAnsi="Calibri" w:cs="Calibri"/>
                          <w:noProof/>
                          <w:color w:val="FFFFFF"/>
                          <w:sz w:val="22"/>
                          <w:szCs w:val="22"/>
                          <w:lang w:val="pt-BR"/>
                        </w:rPr>
                      </w:pPr>
                      <w:r w:rsidRPr="00F52B87">
                        <w:rPr>
                          <w:rFonts w:ascii="Calibri" w:hAnsi="Calibri" w:cs="Calibri"/>
                          <w:noProof/>
                          <w:color w:val="FFFFFF"/>
                          <w:sz w:val="22"/>
                          <w:szCs w:val="22"/>
                          <w:lang w:val="pt-BR"/>
                        </w:rPr>
                        <w:t xml:space="preserve">Doc. </w:t>
                      </w:r>
                      <w:r w:rsidR="002029C6" w:rsidRPr="00F52B87">
                        <w:rPr>
                          <w:rFonts w:ascii="Calibri" w:hAnsi="Calibri" w:cs="Calibri"/>
                          <w:noProof/>
                          <w:color w:val="FFFFFF"/>
                          <w:sz w:val="22"/>
                          <w:szCs w:val="22"/>
                          <w:lang w:val="pt-BR"/>
                        </w:rPr>
                        <w:t>42</w:t>
                      </w:r>
                    </w:p>
                    <w:p w:rsidR="00001288" w:rsidRPr="00287BBD" w:rsidRDefault="00E940BE" w:rsidP="00287BBD">
                      <w:pPr>
                        <w:spacing w:line="276" w:lineRule="auto"/>
                        <w:jc w:val="right"/>
                        <w:rPr>
                          <w:rFonts w:ascii="Calibri" w:hAnsi="Calibri" w:cs="Calibri"/>
                          <w:noProof/>
                          <w:color w:val="FFFFFF"/>
                          <w:sz w:val="22"/>
                          <w:szCs w:val="22"/>
                        </w:rPr>
                      </w:pPr>
                      <w:r>
                        <w:rPr>
                          <w:rFonts w:ascii="Calibri" w:hAnsi="Calibri" w:cs="Calibri"/>
                          <w:noProof/>
                          <w:color w:val="FFFFFF"/>
                          <w:sz w:val="22"/>
                          <w:szCs w:val="22"/>
                        </w:rPr>
                        <w:t>1</w:t>
                      </w:r>
                      <w:r w:rsidR="002029C6">
                        <w:rPr>
                          <w:rFonts w:ascii="Calibri" w:hAnsi="Calibri" w:cs="Calibri"/>
                          <w:noProof/>
                          <w:color w:val="FFFFFF"/>
                          <w:sz w:val="22"/>
                          <w:szCs w:val="22"/>
                        </w:rPr>
                        <w:t>6</w:t>
                      </w:r>
                      <w:r w:rsidR="000434C9">
                        <w:rPr>
                          <w:rFonts w:ascii="Calibri" w:hAnsi="Calibri" w:cs="Calibri"/>
                          <w:noProof/>
                          <w:color w:val="FFFFFF"/>
                          <w:sz w:val="22"/>
                          <w:szCs w:val="22"/>
                        </w:rPr>
                        <w:t xml:space="preserve"> April</w:t>
                      </w:r>
                      <w:r>
                        <w:rPr>
                          <w:rFonts w:ascii="Calibri" w:hAnsi="Calibri" w:cs="Calibri"/>
                          <w:noProof/>
                          <w:color w:val="FFFFFF"/>
                          <w:sz w:val="22"/>
                          <w:szCs w:val="22"/>
                        </w:rPr>
                        <w:t xml:space="preserve"> 2019</w:t>
                      </w:r>
                    </w:p>
                    <w:p w:rsidR="00001288" w:rsidRPr="00287BBD" w:rsidRDefault="00001288" w:rsidP="00287BBD">
                      <w:pPr>
                        <w:spacing w:line="276" w:lineRule="auto"/>
                        <w:jc w:val="right"/>
                        <w:rPr>
                          <w:rFonts w:ascii="Calibri" w:hAnsi="Calibri" w:cs="Calibri"/>
                          <w:noProof/>
                          <w:color w:val="FFFFFF"/>
                          <w:sz w:val="22"/>
                          <w:szCs w:val="22"/>
                        </w:rPr>
                      </w:pPr>
                      <w:r w:rsidRPr="00287BBD">
                        <w:rPr>
                          <w:rFonts w:ascii="Calibri" w:hAnsi="Calibri" w:cs="Calibri"/>
                          <w:noProof/>
                          <w:color w:val="FFFFFF"/>
                          <w:sz w:val="22"/>
                          <w:szCs w:val="22"/>
                        </w:rPr>
                        <w:t>Original: Spanish</w:t>
                      </w:r>
                    </w:p>
                  </w:txbxContent>
                </v:textbox>
              </v:shape>
            </w:pict>
          </mc:Fallback>
        </mc:AlternateContent>
      </w:r>
    </w:p>
    <w:p w:rsidR="00001288" w:rsidRPr="00F52B87" w:rsidRDefault="00621B1E" w:rsidP="006B17EC">
      <w:pPr>
        <w:suppressAutoHyphens/>
        <w:jc w:val="center"/>
        <w:rPr>
          <w:rFonts w:ascii="Cambria" w:hAnsi="Cambria" w:cs="Cambria"/>
          <w:sz w:val="20"/>
          <w:szCs w:val="20"/>
        </w:rPr>
      </w:pPr>
      <w:r w:rsidRPr="00F52B87">
        <w:rPr>
          <w:noProof/>
          <w:sz w:val="20"/>
          <w:szCs w:val="20"/>
        </w:rPr>
        <mc:AlternateContent>
          <mc:Choice Requires="wps">
            <w:drawing>
              <wp:anchor distT="0" distB="0" distL="114300" distR="114300" simplePos="0" relativeHeight="251655168" behindDoc="0" locked="0" layoutInCell="1" allowOverlap="1" wp14:anchorId="3459D4F9" wp14:editId="754C33D6">
                <wp:simplePos x="0" y="0"/>
                <wp:positionH relativeFrom="column">
                  <wp:posOffset>1352550</wp:posOffset>
                </wp:positionH>
                <wp:positionV relativeFrom="paragraph">
                  <wp:posOffset>5715</wp:posOffset>
                </wp:positionV>
                <wp:extent cx="4441190" cy="2181225"/>
                <wp:effectExtent l="0" t="0" r="0"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1288" w:rsidRPr="00287BBD" w:rsidRDefault="00001288" w:rsidP="00287BBD">
                            <w:pPr>
                              <w:spacing w:line="276" w:lineRule="auto"/>
                              <w:rPr>
                                <w:rFonts w:ascii="Cambria" w:hAnsi="Cambria" w:cs="Cambria"/>
                                <w:b/>
                                <w:bCs/>
                                <w:noProof/>
                                <w:color w:val="0D0D0D"/>
                                <w:sz w:val="36"/>
                                <w:szCs w:val="36"/>
                              </w:rPr>
                            </w:pPr>
                            <w:r w:rsidRPr="00287BBD">
                              <w:rPr>
                                <w:rFonts w:ascii="Cambria" w:hAnsi="Cambria" w:cs="Cambria"/>
                                <w:b/>
                                <w:bCs/>
                                <w:noProof/>
                                <w:color w:val="0D0D0D"/>
                                <w:sz w:val="36"/>
                                <w:szCs w:val="36"/>
                              </w:rPr>
                              <w:t xml:space="preserve">REPORT No. </w:t>
                            </w:r>
                            <w:r w:rsidR="002029C6">
                              <w:rPr>
                                <w:rFonts w:ascii="Cambria" w:hAnsi="Cambria" w:cs="Cambria"/>
                                <w:b/>
                                <w:bCs/>
                                <w:noProof/>
                                <w:color w:val="0D0D0D"/>
                                <w:sz w:val="36"/>
                                <w:szCs w:val="36"/>
                              </w:rPr>
                              <w:t>37</w:t>
                            </w:r>
                            <w:r w:rsidRPr="00287BBD">
                              <w:rPr>
                                <w:rFonts w:ascii="Cambria" w:hAnsi="Cambria" w:cs="Cambria"/>
                                <w:b/>
                                <w:bCs/>
                                <w:noProof/>
                                <w:color w:val="0D0D0D"/>
                                <w:sz w:val="36"/>
                                <w:szCs w:val="36"/>
                              </w:rPr>
                              <w:t>/1</w:t>
                            </w:r>
                            <w:r w:rsidR="00E940BE">
                              <w:rPr>
                                <w:rFonts w:ascii="Cambria" w:hAnsi="Cambria" w:cs="Cambria"/>
                                <w:b/>
                                <w:bCs/>
                                <w:noProof/>
                                <w:color w:val="0D0D0D"/>
                                <w:sz w:val="36"/>
                                <w:szCs w:val="36"/>
                              </w:rPr>
                              <w:t>9</w:t>
                            </w:r>
                          </w:p>
                          <w:p w:rsidR="00513707" w:rsidRPr="00513707" w:rsidRDefault="00513707" w:rsidP="00513707">
                            <w:pPr>
                              <w:spacing w:line="276" w:lineRule="auto"/>
                              <w:rPr>
                                <w:rFonts w:ascii="Cambria" w:hAnsi="Cambria" w:cs="Cambria"/>
                                <w:b/>
                                <w:bCs/>
                                <w:noProof/>
                                <w:color w:val="0D0D0D"/>
                                <w:sz w:val="36"/>
                                <w:szCs w:val="36"/>
                              </w:rPr>
                            </w:pPr>
                            <w:r w:rsidRPr="00513707">
                              <w:rPr>
                                <w:rFonts w:ascii="Cambria" w:hAnsi="Cambria" w:cs="Cambria"/>
                                <w:b/>
                                <w:bCs/>
                                <w:noProof/>
                                <w:color w:val="0D0D0D"/>
                                <w:sz w:val="36"/>
                                <w:szCs w:val="36"/>
                              </w:rPr>
                              <w:t>CASE 12.190</w:t>
                            </w:r>
                          </w:p>
                          <w:p w:rsidR="00001288" w:rsidRPr="00287BBD" w:rsidRDefault="00001288" w:rsidP="00287BBD">
                            <w:pPr>
                              <w:spacing w:line="276" w:lineRule="auto"/>
                              <w:rPr>
                                <w:rFonts w:ascii="Cambria" w:hAnsi="Cambria" w:cs="Cambria"/>
                                <w:noProof/>
                                <w:color w:val="0D0D0D"/>
                              </w:rPr>
                            </w:pPr>
                            <w:r w:rsidRPr="00287BBD">
                              <w:rPr>
                                <w:rFonts w:ascii="Cambria" w:hAnsi="Cambria" w:cs="Cambria"/>
                                <w:noProof/>
                                <w:color w:val="0D0D0D"/>
                              </w:rPr>
                              <w:t xml:space="preserve">FRIENDLY SETTLEMENT REPORT </w:t>
                            </w:r>
                          </w:p>
                          <w:p w:rsidR="00001288" w:rsidRPr="00287BBD" w:rsidRDefault="00001288" w:rsidP="00287BBD">
                            <w:pPr>
                              <w:spacing w:line="276" w:lineRule="auto"/>
                              <w:rPr>
                                <w:rFonts w:ascii="Cambria" w:hAnsi="Cambria" w:cs="Cambria"/>
                                <w:noProof/>
                                <w:color w:val="0D0D0D"/>
                              </w:rPr>
                            </w:pPr>
                            <w:bookmarkStart w:id="0" w:name="_ftnref1"/>
                          </w:p>
                          <w:bookmarkEnd w:id="0"/>
                          <w:p w:rsidR="00E940BE" w:rsidRPr="00E940BE" w:rsidRDefault="00E940BE" w:rsidP="00E940BE">
                            <w:pPr>
                              <w:rPr>
                                <w:rFonts w:ascii="Cambria" w:hAnsi="Cambria" w:cs="Cambria"/>
                                <w:noProof/>
                                <w:color w:val="0D0D0D"/>
                              </w:rPr>
                            </w:pPr>
                            <w:r w:rsidRPr="00E940BE">
                              <w:rPr>
                                <w:rFonts w:ascii="Cambria" w:hAnsi="Cambria" w:cs="Cambria"/>
                                <w:noProof/>
                                <w:color w:val="0D0D0D"/>
                              </w:rPr>
                              <w:t>JOSÉ LUIS TAPIA AND OTHER MEMBERS OF THE CARABINEROS</w:t>
                            </w:r>
                          </w:p>
                          <w:p w:rsidR="00E940BE" w:rsidRPr="00E940BE" w:rsidRDefault="00E940BE" w:rsidP="00E940BE">
                            <w:pPr>
                              <w:rPr>
                                <w:rFonts w:ascii="Cambria" w:hAnsi="Cambria" w:cs="Cambria"/>
                                <w:noProof/>
                                <w:color w:val="0D0D0D"/>
                              </w:rPr>
                            </w:pPr>
                            <w:r w:rsidRPr="00E940BE">
                              <w:rPr>
                                <w:rFonts w:ascii="Cambria" w:hAnsi="Cambria" w:cs="Cambria"/>
                                <w:noProof/>
                                <w:color w:val="0D0D0D"/>
                              </w:rPr>
                              <w:t>CHILE</w:t>
                            </w:r>
                          </w:p>
                          <w:p w:rsidR="00001288" w:rsidRPr="00287BBD" w:rsidRDefault="00001288" w:rsidP="00287BBD">
                            <w:pPr>
                              <w:rPr>
                                <w:noProof/>
                                <w:color w:val="0D0D0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9D4F9" id="Text Box 5" o:spid="_x0000_s1028" type="#_x0000_t202" style="position:absolute;left:0;text-align:left;margin-left:106.5pt;margin-top:.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XugIAAME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" filled="f" stroked="f" strokeweight=".5pt">
                <v:textbox>
                  <w:txbxContent>
                    <w:p w:rsidR="00001288" w:rsidRPr="00287BBD" w:rsidRDefault="00001288" w:rsidP="00287BBD">
                      <w:pPr>
                        <w:spacing w:line="276" w:lineRule="auto"/>
                        <w:rPr>
                          <w:rFonts w:ascii="Cambria" w:hAnsi="Cambria" w:cs="Cambria"/>
                          <w:b/>
                          <w:bCs/>
                          <w:noProof/>
                          <w:color w:val="0D0D0D"/>
                          <w:sz w:val="36"/>
                          <w:szCs w:val="36"/>
                        </w:rPr>
                      </w:pPr>
                      <w:r w:rsidRPr="00287BBD">
                        <w:rPr>
                          <w:rFonts w:ascii="Cambria" w:hAnsi="Cambria" w:cs="Cambria"/>
                          <w:b/>
                          <w:bCs/>
                          <w:noProof/>
                          <w:color w:val="0D0D0D"/>
                          <w:sz w:val="36"/>
                          <w:szCs w:val="36"/>
                        </w:rPr>
                        <w:t xml:space="preserve">REPORT No. </w:t>
                      </w:r>
                      <w:r w:rsidR="002029C6">
                        <w:rPr>
                          <w:rFonts w:ascii="Cambria" w:hAnsi="Cambria" w:cs="Cambria"/>
                          <w:b/>
                          <w:bCs/>
                          <w:noProof/>
                          <w:color w:val="0D0D0D"/>
                          <w:sz w:val="36"/>
                          <w:szCs w:val="36"/>
                        </w:rPr>
                        <w:t>37</w:t>
                      </w:r>
                      <w:r w:rsidRPr="00287BBD">
                        <w:rPr>
                          <w:rFonts w:ascii="Cambria" w:hAnsi="Cambria" w:cs="Cambria"/>
                          <w:b/>
                          <w:bCs/>
                          <w:noProof/>
                          <w:color w:val="0D0D0D"/>
                          <w:sz w:val="36"/>
                          <w:szCs w:val="36"/>
                        </w:rPr>
                        <w:t>/1</w:t>
                      </w:r>
                      <w:r w:rsidR="00E940BE">
                        <w:rPr>
                          <w:rFonts w:ascii="Cambria" w:hAnsi="Cambria" w:cs="Cambria"/>
                          <w:b/>
                          <w:bCs/>
                          <w:noProof/>
                          <w:color w:val="0D0D0D"/>
                          <w:sz w:val="36"/>
                          <w:szCs w:val="36"/>
                        </w:rPr>
                        <w:t>9</w:t>
                      </w:r>
                    </w:p>
                    <w:p w:rsidR="00513707" w:rsidRPr="00513707" w:rsidRDefault="00513707" w:rsidP="00513707">
                      <w:pPr>
                        <w:spacing w:line="276" w:lineRule="auto"/>
                        <w:rPr>
                          <w:rFonts w:ascii="Cambria" w:hAnsi="Cambria" w:cs="Cambria"/>
                          <w:b/>
                          <w:bCs/>
                          <w:noProof/>
                          <w:color w:val="0D0D0D"/>
                          <w:sz w:val="36"/>
                          <w:szCs w:val="36"/>
                        </w:rPr>
                      </w:pPr>
                      <w:r w:rsidRPr="00513707">
                        <w:rPr>
                          <w:rFonts w:ascii="Cambria" w:hAnsi="Cambria" w:cs="Cambria"/>
                          <w:b/>
                          <w:bCs/>
                          <w:noProof/>
                          <w:color w:val="0D0D0D"/>
                          <w:sz w:val="36"/>
                          <w:szCs w:val="36"/>
                        </w:rPr>
                        <w:t>CASE 12.190</w:t>
                      </w:r>
                    </w:p>
                    <w:p w:rsidR="00001288" w:rsidRPr="00287BBD" w:rsidRDefault="00001288" w:rsidP="00287BBD">
                      <w:pPr>
                        <w:spacing w:line="276" w:lineRule="auto"/>
                        <w:rPr>
                          <w:rFonts w:ascii="Cambria" w:hAnsi="Cambria" w:cs="Cambria"/>
                          <w:noProof/>
                          <w:color w:val="0D0D0D"/>
                        </w:rPr>
                      </w:pPr>
                      <w:r w:rsidRPr="00287BBD">
                        <w:rPr>
                          <w:rFonts w:ascii="Cambria" w:hAnsi="Cambria" w:cs="Cambria"/>
                          <w:noProof/>
                          <w:color w:val="0D0D0D"/>
                        </w:rPr>
                        <w:t xml:space="preserve">FRIENDLY SETTLEMENT REPORT </w:t>
                      </w:r>
                    </w:p>
                    <w:p w:rsidR="00001288" w:rsidRPr="00287BBD" w:rsidRDefault="00001288" w:rsidP="00287BBD">
                      <w:pPr>
                        <w:spacing w:line="276" w:lineRule="auto"/>
                        <w:rPr>
                          <w:rFonts w:ascii="Cambria" w:hAnsi="Cambria" w:cs="Cambria"/>
                          <w:noProof/>
                          <w:color w:val="0D0D0D"/>
                        </w:rPr>
                      </w:pPr>
                      <w:bookmarkStart w:id="1" w:name="_ftnref1"/>
                    </w:p>
                    <w:bookmarkEnd w:id="1"/>
                    <w:p w:rsidR="00E940BE" w:rsidRPr="00E940BE" w:rsidRDefault="00E940BE" w:rsidP="00E940BE">
                      <w:pPr>
                        <w:rPr>
                          <w:rFonts w:ascii="Cambria" w:hAnsi="Cambria" w:cs="Cambria"/>
                          <w:noProof/>
                          <w:color w:val="0D0D0D"/>
                        </w:rPr>
                      </w:pPr>
                      <w:r w:rsidRPr="00E940BE">
                        <w:rPr>
                          <w:rFonts w:ascii="Cambria" w:hAnsi="Cambria" w:cs="Cambria"/>
                          <w:noProof/>
                          <w:color w:val="0D0D0D"/>
                        </w:rPr>
                        <w:t>JOSÉ LUIS TAPIA AND OTHER MEMBERS OF THE CARABINEROS</w:t>
                      </w:r>
                    </w:p>
                    <w:p w:rsidR="00E940BE" w:rsidRPr="00E940BE" w:rsidRDefault="00E940BE" w:rsidP="00E940BE">
                      <w:pPr>
                        <w:rPr>
                          <w:rFonts w:ascii="Cambria" w:hAnsi="Cambria" w:cs="Cambria"/>
                          <w:noProof/>
                          <w:color w:val="0D0D0D"/>
                        </w:rPr>
                      </w:pPr>
                      <w:r w:rsidRPr="00E940BE">
                        <w:rPr>
                          <w:rFonts w:ascii="Cambria" w:hAnsi="Cambria" w:cs="Cambria"/>
                          <w:noProof/>
                          <w:color w:val="0D0D0D"/>
                        </w:rPr>
                        <w:t>CHILE</w:t>
                      </w:r>
                    </w:p>
                    <w:p w:rsidR="00001288" w:rsidRPr="00287BBD" w:rsidRDefault="00001288" w:rsidP="00287BBD">
                      <w:pPr>
                        <w:rPr>
                          <w:noProof/>
                          <w:color w:val="0D0D0D"/>
                        </w:rPr>
                      </w:pPr>
                    </w:p>
                  </w:txbxContent>
                </v:textbox>
              </v:shape>
            </w:pict>
          </mc:Fallback>
        </mc:AlternateContent>
      </w: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bookmarkStart w:id="2" w:name="_GoBack"/>
      <w:bookmarkEnd w:id="2"/>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5F4A5B" w:rsidP="006B17EC">
      <w:pPr>
        <w:suppressAutoHyphens/>
        <w:jc w:val="center"/>
        <w:rPr>
          <w:rFonts w:ascii="Cambria" w:hAnsi="Cambria" w:cs="Cambria"/>
          <w:sz w:val="20"/>
          <w:szCs w:val="20"/>
        </w:rPr>
      </w:pPr>
      <w:r w:rsidRPr="00F52B87">
        <w:rPr>
          <w:noProof/>
          <w:sz w:val="20"/>
          <w:szCs w:val="20"/>
        </w:rPr>
        <mc:AlternateContent>
          <mc:Choice Requires="wps">
            <w:drawing>
              <wp:anchor distT="0" distB="0" distL="114300" distR="114300" simplePos="0" relativeHeight="251656192" behindDoc="0" locked="0" layoutInCell="1" allowOverlap="1" wp14:anchorId="076DA1B7" wp14:editId="13E19E75">
                <wp:simplePos x="0" y="0"/>
                <wp:positionH relativeFrom="column">
                  <wp:posOffset>1341755</wp:posOffset>
                </wp:positionH>
                <wp:positionV relativeFrom="paragraph">
                  <wp:posOffset>22860</wp:posOffset>
                </wp:positionV>
                <wp:extent cx="4933950" cy="664845"/>
                <wp:effectExtent l="0" t="0" r="127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1288" w:rsidRPr="00287BBD" w:rsidRDefault="00BB0A3A" w:rsidP="00287BBD">
                            <w:pPr>
                              <w:tabs>
                                <w:tab w:val="center" w:pos="5400"/>
                              </w:tabs>
                              <w:suppressAutoHyphens/>
                              <w:spacing w:before="60"/>
                              <w:rPr>
                                <w:rFonts w:ascii="Cambria" w:hAnsi="Cambria" w:cs="Cambria"/>
                                <w:noProof/>
                                <w:color w:val="0D0D0D"/>
                                <w:sz w:val="18"/>
                                <w:szCs w:val="18"/>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by the Commission on</w:t>
                            </w:r>
                            <w:r w:rsidRPr="00287BBD">
                              <w:rPr>
                                <w:rFonts w:ascii="Cambria" w:hAnsi="Cambria" w:cs="Cambria"/>
                                <w:noProof/>
                                <w:color w:val="0D0D0D"/>
                                <w:sz w:val="18"/>
                                <w:szCs w:val="18"/>
                              </w:rPr>
                              <w:t xml:space="preserve"> </w:t>
                            </w:r>
                            <w:r w:rsidR="00E940BE">
                              <w:rPr>
                                <w:rFonts w:ascii="Cambria" w:hAnsi="Cambria" w:cs="Cambria"/>
                                <w:noProof/>
                                <w:color w:val="0D0D0D"/>
                                <w:sz w:val="18"/>
                                <w:szCs w:val="18"/>
                              </w:rPr>
                              <w:t>April</w:t>
                            </w:r>
                            <w:r w:rsidR="00001288" w:rsidRPr="004F6809">
                              <w:rPr>
                                <w:rFonts w:ascii="Cambria" w:hAnsi="Cambria" w:cs="Cambria"/>
                                <w:noProof/>
                                <w:color w:val="0D0D0D"/>
                                <w:sz w:val="18"/>
                                <w:szCs w:val="18"/>
                              </w:rPr>
                              <w:t xml:space="preserve"> </w:t>
                            </w:r>
                            <w:r w:rsidR="00DF47DB" w:rsidRPr="004F6809">
                              <w:rPr>
                                <w:rFonts w:ascii="Cambria" w:hAnsi="Cambria" w:cs="Cambria"/>
                                <w:noProof/>
                                <w:color w:val="0D0D0D"/>
                                <w:sz w:val="18"/>
                                <w:szCs w:val="18"/>
                              </w:rPr>
                              <w:t>1</w:t>
                            </w:r>
                            <w:r w:rsidR="002029C6">
                              <w:rPr>
                                <w:rFonts w:ascii="Cambria" w:hAnsi="Cambria" w:cs="Cambria"/>
                                <w:noProof/>
                                <w:color w:val="0D0D0D"/>
                                <w:sz w:val="18"/>
                                <w:szCs w:val="18"/>
                              </w:rPr>
                              <w:t>6</w:t>
                            </w:r>
                            <w:r w:rsidR="00E940BE">
                              <w:rPr>
                                <w:rFonts w:ascii="Cambria" w:hAnsi="Cambria" w:cs="Cambria"/>
                                <w:noProof/>
                                <w:color w:val="0D0D0D"/>
                                <w:sz w:val="18"/>
                                <w:szCs w:val="18"/>
                              </w:rPr>
                              <w:t>, 2019</w:t>
                            </w:r>
                            <w:r w:rsidR="0039205A">
                              <w:rPr>
                                <w:rFonts w:ascii="Cambria" w:hAnsi="Cambria" w:cs="Cambria"/>
                                <w:noProof/>
                                <w:color w:val="0D0D0D"/>
                                <w:sz w:val="18"/>
                                <w:szCs w:val="18"/>
                              </w:rPr>
                              <w:t>.</w:t>
                            </w:r>
                            <w:r w:rsidR="00001288" w:rsidRPr="00287BBD">
                              <w:rPr>
                                <w:rFonts w:ascii="Cambria" w:hAnsi="Cambria" w:cs="Cambria"/>
                                <w:noProof/>
                                <w:color w:val="0D0D0D"/>
                                <w:sz w:val="18"/>
                                <w:szCs w:val="18"/>
                              </w:rPr>
                              <w:br/>
                            </w:r>
                          </w:p>
                          <w:p w:rsidR="00001288" w:rsidRPr="00287BBD" w:rsidRDefault="00001288" w:rsidP="00287BBD">
                            <w:pPr>
                              <w:tabs>
                                <w:tab w:val="center" w:pos="5400"/>
                              </w:tabs>
                              <w:suppressAutoHyphens/>
                              <w:spacing w:before="60"/>
                              <w:rPr>
                                <w:rFonts w:ascii="Calibri" w:hAnsi="Calibri" w:cs="Calibri"/>
                                <w:noProof/>
                                <w:color w:val="FFFFFF"/>
                                <w:sz w:val="16"/>
                                <w:szCs w:val="16"/>
                              </w:rPr>
                            </w:pPr>
                          </w:p>
                          <w:p w:rsidR="00001288" w:rsidRDefault="00001288" w:rsidP="00287BBD">
                            <w:pPr>
                              <w:tabs>
                                <w:tab w:val="center" w:pos="5400"/>
                              </w:tabs>
                              <w:suppressAutoHyphens/>
                              <w:spacing w:before="60"/>
                            </w:pPr>
                          </w:p>
                          <w:p w:rsidR="00001288" w:rsidRPr="00287BBD" w:rsidRDefault="00001288" w:rsidP="00287BBD">
                            <w:pPr>
                              <w:spacing w:line="276" w:lineRule="auto"/>
                              <w:rPr>
                                <w:rFonts w:ascii="Cambria" w:hAnsi="Cambria" w:cs="Cambria"/>
                                <w:noProof/>
                                <w:color w:val="595959"/>
                                <w:sz w:val="18"/>
                                <w:szCs w:val="18"/>
                              </w:rPr>
                            </w:pPr>
                            <w:r w:rsidRPr="00287BBD">
                              <w:rPr>
                                <w:rFonts w:ascii="Cambria" w:hAnsi="Cambria" w:cs="Cambria"/>
                                <w:b/>
                                <w:bCs/>
                                <w:noProof/>
                                <w:color w:val="595959"/>
                                <w:sz w:val="18"/>
                                <w:szCs w:val="18"/>
                              </w:rPr>
                              <w:t xml:space="preserve">Cite as: </w:t>
                            </w:r>
                            <w:r w:rsidRPr="00287BBD">
                              <w:rPr>
                                <w:rFonts w:ascii="Cambria" w:hAnsi="Cambria" w:cs="Cambria"/>
                                <w:noProof/>
                                <w:color w:val="595959"/>
                                <w:sz w:val="18"/>
                                <w:szCs w:val="18"/>
                              </w:rPr>
                              <w:t xml:space="preserve">IACHR, Report No. [number/year], Petition 687-11. Friendly Settlement/Merits/Merits G.B.B. and C.B.B. </w:t>
                            </w:r>
                            <w:r w:rsidRPr="00287BBD">
                              <w:rPr>
                                <w:rFonts w:ascii="Cambria" w:hAnsi="Cambria" w:cs="Cambria"/>
                                <w:noProof/>
                                <w:color w:val="595959"/>
                                <w:sz w:val="18"/>
                                <w:szCs w:val="18"/>
                                <w:highlight w:val="yellow"/>
                              </w:rPr>
                              <w:t>[Date of report].</w:t>
                            </w:r>
                          </w:p>
                          <w:p w:rsidR="00001288" w:rsidRDefault="005F4A5B" w:rsidP="00F4654A">
                            <w:pPr>
                              <w:tabs>
                                <w:tab w:val="center" w:pos="5400"/>
                              </w:tabs>
                              <w:suppressAutoHyphens/>
                              <w:spacing w:before="60"/>
                            </w:pPr>
                            <w:r>
                              <w:rPr>
                                <w:noProof/>
                              </w:rPr>
                              <w:drawing>
                                <wp:inline distT="0" distB="0" distL="0" distR="0" wp14:anchorId="3A5C22AD" wp14:editId="7BAB2A80">
                                  <wp:extent cx="4754880" cy="159004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15900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A1B7"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JguAIAAMA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" filled="f" stroked="f" strokeweight=".5pt">
                <v:textbox>
                  <w:txbxContent>
                    <w:p w:rsidR="00001288" w:rsidRPr="00287BBD" w:rsidRDefault="00BB0A3A" w:rsidP="00287BBD">
                      <w:pPr>
                        <w:tabs>
                          <w:tab w:val="center" w:pos="5400"/>
                        </w:tabs>
                        <w:suppressAutoHyphens/>
                        <w:spacing w:before="60"/>
                        <w:rPr>
                          <w:rFonts w:ascii="Cambria" w:hAnsi="Cambria" w:cs="Cambria"/>
                          <w:noProof/>
                          <w:color w:val="0D0D0D"/>
                          <w:sz w:val="18"/>
                          <w:szCs w:val="18"/>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by the Commission on</w:t>
                      </w:r>
                      <w:r w:rsidRPr="00287BBD">
                        <w:rPr>
                          <w:rFonts w:ascii="Cambria" w:hAnsi="Cambria" w:cs="Cambria"/>
                          <w:noProof/>
                          <w:color w:val="0D0D0D"/>
                          <w:sz w:val="18"/>
                          <w:szCs w:val="18"/>
                        </w:rPr>
                        <w:t xml:space="preserve"> </w:t>
                      </w:r>
                      <w:r w:rsidR="00E940BE">
                        <w:rPr>
                          <w:rFonts w:ascii="Cambria" w:hAnsi="Cambria" w:cs="Cambria"/>
                          <w:noProof/>
                          <w:color w:val="0D0D0D"/>
                          <w:sz w:val="18"/>
                          <w:szCs w:val="18"/>
                        </w:rPr>
                        <w:t>April</w:t>
                      </w:r>
                      <w:r w:rsidR="00001288" w:rsidRPr="004F6809">
                        <w:rPr>
                          <w:rFonts w:ascii="Cambria" w:hAnsi="Cambria" w:cs="Cambria"/>
                          <w:noProof/>
                          <w:color w:val="0D0D0D"/>
                          <w:sz w:val="18"/>
                          <w:szCs w:val="18"/>
                        </w:rPr>
                        <w:t xml:space="preserve"> </w:t>
                      </w:r>
                      <w:r w:rsidR="00DF47DB" w:rsidRPr="004F6809">
                        <w:rPr>
                          <w:rFonts w:ascii="Cambria" w:hAnsi="Cambria" w:cs="Cambria"/>
                          <w:noProof/>
                          <w:color w:val="0D0D0D"/>
                          <w:sz w:val="18"/>
                          <w:szCs w:val="18"/>
                        </w:rPr>
                        <w:t>1</w:t>
                      </w:r>
                      <w:r w:rsidR="002029C6">
                        <w:rPr>
                          <w:rFonts w:ascii="Cambria" w:hAnsi="Cambria" w:cs="Cambria"/>
                          <w:noProof/>
                          <w:color w:val="0D0D0D"/>
                          <w:sz w:val="18"/>
                          <w:szCs w:val="18"/>
                        </w:rPr>
                        <w:t>6</w:t>
                      </w:r>
                      <w:r w:rsidR="00E940BE">
                        <w:rPr>
                          <w:rFonts w:ascii="Cambria" w:hAnsi="Cambria" w:cs="Cambria"/>
                          <w:noProof/>
                          <w:color w:val="0D0D0D"/>
                          <w:sz w:val="18"/>
                          <w:szCs w:val="18"/>
                        </w:rPr>
                        <w:t>, 2019</w:t>
                      </w:r>
                      <w:r w:rsidR="0039205A">
                        <w:rPr>
                          <w:rFonts w:ascii="Cambria" w:hAnsi="Cambria" w:cs="Cambria"/>
                          <w:noProof/>
                          <w:color w:val="0D0D0D"/>
                          <w:sz w:val="18"/>
                          <w:szCs w:val="18"/>
                        </w:rPr>
                        <w:t>.</w:t>
                      </w:r>
                      <w:r w:rsidR="00001288" w:rsidRPr="00287BBD">
                        <w:rPr>
                          <w:rFonts w:ascii="Cambria" w:hAnsi="Cambria" w:cs="Cambria"/>
                          <w:noProof/>
                          <w:color w:val="0D0D0D"/>
                          <w:sz w:val="18"/>
                          <w:szCs w:val="18"/>
                        </w:rPr>
                        <w:br/>
                      </w:r>
                    </w:p>
                    <w:p w:rsidR="00001288" w:rsidRPr="00287BBD" w:rsidRDefault="00001288" w:rsidP="00287BBD">
                      <w:pPr>
                        <w:tabs>
                          <w:tab w:val="center" w:pos="5400"/>
                        </w:tabs>
                        <w:suppressAutoHyphens/>
                        <w:spacing w:before="60"/>
                        <w:rPr>
                          <w:rFonts w:ascii="Calibri" w:hAnsi="Calibri" w:cs="Calibri"/>
                          <w:noProof/>
                          <w:color w:val="FFFFFF"/>
                          <w:sz w:val="16"/>
                          <w:szCs w:val="16"/>
                        </w:rPr>
                      </w:pPr>
                    </w:p>
                    <w:p w:rsidR="00001288" w:rsidRDefault="00001288" w:rsidP="00287BBD">
                      <w:pPr>
                        <w:tabs>
                          <w:tab w:val="center" w:pos="5400"/>
                        </w:tabs>
                        <w:suppressAutoHyphens/>
                        <w:spacing w:before="60"/>
                      </w:pPr>
                    </w:p>
                    <w:p w:rsidR="00001288" w:rsidRPr="00287BBD" w:rsidRDefault="00001288" w:rsidP="00287BBD">
                      <w:pPr>
                        <w:spacing w:line="276" w:lineRule="auto"/>
                        <w:rPr>
                          <w:rFonts w:ascii="Cambria" w:hAnsi="Cambria" w:cs="Cambria"/>
                          <w:noProof/>
                          <w:color w:val="595959"/>
                          <w:sz w:val="18"/>
                          <w:szCs w:val="18"/>
                        </w:rPr>
                      </w:pPr>
                      <w:r w:rsidRPr="00287BBD">
                        <w:rPr>
                          <w:rFonts w:ascii="Cambria" w:hAnsi="Cambria" w:cs="Cambria"/>
                          <w:b/>
                          <w:bCs/>
                          <w:noProof/>
                          <w:color w:val="595959"/>
                          <w:sz w:val="18"/>
                          <w:szCs w:val="18"/>
                        </w:rPr>
                        <w:t xml:space="preserve">Cite as: </w:t>
                      </w:r>
                      <w:r w:rsidRPr="00287BBD">
                        <w:rPr>
                          <w:rFonts w:ascii="Cambria" w:hAnsi="Cambria" w:cs="Cambria"/>
                          <w:noProof/>
                          <w:color w:val="595959"/>
                          <w:sz w:val="18"/>
                          <w:szCs w:val="18"/>
                        </w:rPr>
                        <w:t xml:space="preserve">IACHR, Report No. [number/year], Petition 687-11. Friendly Settlement/Merits/Merits G.B.B. and C.B.B. </w:t>
                      </w:r>
                      <w:r w:rsidRPr="00287BBD">
                        <w:rPr>
                          <w:rFonts w:ascii="Cambria" w:hAnsi="Cambria" w:cs="Cambria"/>
                          <w:noProof/>
                          <w:color w:val="595959"/>
                          <w:sz w:val="18"/>
                          <w:szCs w:val="18"/>
                          <w:highlight w:val="yellow"/>
                        </w:rPr>
                        <w:t>[Date of report].</w:t>
                      </w:r>
                    </w:p>
                    <w:p w:rsidR="00001288" w:rsidRDefault="005F4A5B" w:rsidP="00F4654A">
                      <w:pPr>
                        <w:tabs>
                          <w:tab w:val="center" w:pos="5400"/>
                        </w:tabs>
                        <w:suppressAutoHyphens/>
                        <w:spacing w:before="60"/>
                      </w:pPr>
                      <w:r>
                        <w:rPr>
                          <w:noProof/>
                        </w:rPr>
                        <w:drawing>
                          <wp:inline distT="0" distB="0" distL="0" distR="0" wp14:anchorId="3A5C22AD" wp14:editId="7BAB2A80">
                            <wp:extent cx="4754880" cy="159004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1590040"/>
                                    </a:xfrm>
                                    <a:prstGeom prst="rect">
                                      <a:avLst/>
                                    </a:prstGeom>
                                    <a:noFill/>
                                    <a:ln>
                                      <a:noFill/>
                                    </a:ln>
                                  </pic:spPr>
                                </pic:pic>
                              </a:graphicData>
                            </a:graphic>
                          </wp:inline>
                        </w:drawing>
                      </w:r>
                    </w:p>
                  </w:txbxContent>
                </v:textbox>
              </v:shape>
            </w:pict>
          </mc:Fallback>
        </mc:AlternateContent>
      </w: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001288" w:rsidP="006B17EC">
      <w:pPr>
        <w:suppressAutoHyphens/>
        <w:jc w:val="center"/>
        <w:rPr>
          <w:rFonts w:ascii="Cambria" w:hAnsi="Cambria" w:cs="Cambria"/>
          <w:sz w:val="20"/>
          <w:szCs w:val="20"/>
        </w:rPr>
      </w:pPr>
    </w:p>
    <w:p w:rsidR="00001288" w:rsidRPr="00F52B87" w:rsidRDefault="005F4A5B" w:rsidP="006B17EC">
      <w:pPr>
        <w:suppressAutoHyphens/>
        <w:jc w:val="center"/>
        <w:rPr>
          <w:rFonts w:ascii="Cambria" w:hAnsi="Cambria" w:cs="Cambria"/>
          <w:sz w:val="20"/>
          <w:szCs w:val="20"/>
        </w:rPr>
      </w:pPr>
      <w:r w:rsidRPr="00F52B87">
        <w:rPr>
          <w:noProof/>
          <w:sz w:val="20"/>
          <w:szCs w:val="20"/>
        </w:rPr>
        <mc:AlternateContent>
          <mc:Choice Requires="wps">
            <w:drawing>
              <wp:anchor distT="0" distB="0" distL="114300" distR="114300" simplePos="0" relativeHeight="251659264" behindDoc="0" locked="0" layoutInCell="1" allowOverlap="1" wp14:anchorId="5188B217" wp14:editId="0424F00E">
                <wp:simplePos x="0" y="0"/>
                <wp:positionH relativeFrom="column">
                  <wp:posOffset>1333500</wp:posOffset>
                </wp:positionH>
                <wp:positionV relativeFrom="paragraph">
                  <wp:posOffset>3175</wp:posOffset>
                </wp:positionV>
                <wp:extent cx="4629150" cy="39941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52B87" w:rsidRDefault="00E940BE" w:rsidP="006B17EC">
                            <w:pPr>
                              <w:spacing w:line="276" w:lineRule="auto"/>
                              <w:ind w:right="1159"/>
                              <w:rPr>
                                <w:rFonts w:asciiTheme="majorHAnsi" w:hAnsiTheme="majorHAnsi"/>
                                <w:color w:val="595959" w:themeColor="text1" w:themeTint="A6"/>
                                <w:sz w:val="18"/>
                                <w:bdr w:val="nil"/>
                              </w:rPr>
                            </w:pPr>
                            <w:r w:rsidRPr="008B2A70">
                              <w:rPr>
                                <w:rFonts w:asciiTheme="majorHAnsi" w:hAnsiTheme="majorHAnsi"/>
                                <w:color w:val="595959" w:themeColor="text1" w:themeTint="A6"/>
                                <w:sz w:val="18"/>
                                <w:bdr w:val="nil"/>
                              </w:rPr>
                              <w:t xml:space="preserve">Cite as: IACHR, Report No. </w:t>
                            </w:r>
                            <w:r w:rsidR="002029C6" w:rsidRPr="008B2A70">
                              <w:rPr>
                                <w:rFonts w:asciiTheme="majorHAnsi" w:hAnsiTheme="majorHAnsi"/>
                                <w:color w:val="595959" w:themeColor="text1" w:themeTint="A6"/>
                                <w:sz w:val="18"/>
                                <w:bdr w:val="nil"/>
                              </w:rPr>
                              <w:t>37/19</w:t>
                            </w:r>
                            <w:r w:rsidRPr="008B2A70">
                              <w:rPr>
                                <w:rFonts w:asciiTheme="majorHAnsi" w:hAnsiTheme="majorHAnsi"/>
                                <w:color w:val="595959" w:themeColor="text1" w:themeTint="A6"/>
                                <w:sz w:val="18"/>
                                <w:bdr w:val="nil"/>
                              </w:rPr>
                              <w:t xml:space="preserve">, Case 12.190. Friendly Settlement </w:t>
                            </w:r>
                          </w:p>
                          <w:p w:rsidR="00001288" w:rsidRPr="008B2A70" w:rsidRDefault="00E940BE" w:rsidP="006B17EC">
                            <w:pPr>
                              <w:spacing w:line="276" w:lineRule="auto"/>
                              <w:ind w:right="1159"/>
                              <w:rPr>
                                <w:rFonts w:asciiTheme="majorHAnsi" w:hAnsiTheme="majorHAnsi"/>
                                <w:color w:val="595959" w:themeColor="text1" w:themeTint="A6"/>
                                <w:sz w:val="18"/>
                                <w:bdr w:val="nil"/>
                              </w:rPr>
                            </w:pPr>
                            <w:r w:rsidRPr="008B2A70">
                              <w:rPr>
                                <w:rFonts w:asciiTheme="majorHAnsi" w:hAnsiTheme="majorHAnsi"/>
                                <w:color w:val="595959" w:themeColor="text1" w:themeTint="A6"/>
                                <w:sz w:val="18"/>
                                <w:bdr w:val="nil"/>
                              </w:rPr>
                              <w:t>José Luis Tapia and other</w:t>
                            </w:r>
                            <w:r w:rsidR="00F52B87">
                              <w:rPr>
                                <w:rFonts w:asciiTheme="majorHAnsi" w:hAnsiTheme="majorHAnsi"/>
                                <w:color w:val="595959" w:themeColor="text1" w:themeTint="A6"/>
                                <w:sz w:val="18"/>
                                <w:bdr w:val="nil"/>
                              </w:rPr>
                              <w:t xml:space="preserve"> </w:t>
                            </w:r>
                            <w:r w:rsidRPr="008B2A70">
                              <w:rPr>
                                <w:rFonts w:asciiTheme="majorHAnsi" w:hAnsiTheme="majorHAnsi"/>
                                <w:color w:val="595959" w:themeColor="text1" w:themeTint="A6"/>
                                <w:sz w:val="18"/>
                                <w:bdr w:val="nil"/>
                              </w:rPr>
                              <w:t xml:space="preserve">members of the </w:t>
                            </w:r>
                            <w:proofErr w:type="spellStart"/>
                            <w:r w:rsidRPr="008B2A70">
                              <w:rPr>
                                <w:rFonts w:asciiTheme="majorHAnsi" w:hAnsiTheme="majorHAnsi"/>
                                <w:color w:val="595959" w:themeColor="text1" w:themeTint="A6"/>
                                <w:sz w:val="18"/>
                                <w:bdr w:val="nil"/>
                              </w:rPr>
                              <w:t>Carabineros</w:t>
                            </w:r>
                            <w:proofErr w:type="spellEnd"/>
                            <w:r w:rsidRPr="008B2A70">
                              <w:rPr>
                                <w:rFonts w:asciiTheme="majorHAnsi" w:hAnsiTheme="majorHAnsi"/>
                                <w:color w:val="595959" w:themeColor="text1" w:themeTint="A6"/>
                                <w:sz w:val="18"/>
                                <w:bdr w:val="nil"/>
                              </w:rPr>
                              <w:t>. Chile. April 1</w:t>
                            </w:r>
                            <w:r w:rsidR="002029C6" w:rsidRPr="008B2A70">
                              <w:rPr>
                                <w:rFonts w:asciiTheme="majorHAnsi" w:hAnsiTheme="majorHAnsi"/>
                                <w:color w:val="595959" w:themeColor="text1" w:themeTint="A6"/>
                                <w:sz w:val="18"/>
                                <w:bdr w:val="nil"/>
                              </w:rPr>
                              <w:t>6</w:t>
                            </w:r>
                            <w:r w:rsidRPr="008B2A70">
                              <w:rPr>
                                <w:rFonts w:asciiTheme="majorHAnsi" w:hAnsiTheme="majorHAnsi"/>
                                <w:color w:val="595959" w:themeColor="text1" w:themeTint="A6"/>
                                <w:sz w:val="18"/>
                                <w:bdr w:val="nil"/>
                              </w:rPr>
                              <w:t>, 2019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88B217" id="Text Box 10" o:spid="_x0000_s1030" type="#_x0000_t202" style="position:absolute;left:0;text-align:left;margin-left:105pt;margin-top:.25pt;width:364.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" filled="f" stroked="f" strokeweight=".5pt">
                <v:textbox style="mso-fit-shape-to-text:t">
                  <w:txbxContent>
                    <w:p w:rsidR="00F52B87" w:rsidRDefault="00E940BE" w:rsidP="006B17EC">
                      <w:pPr>
                        <w:spacing w:line="276" w:lineRule="auto"/>
                        <w:ind w:right="1159"/>
                        <w:rPr>
                          <w:rFonts w:asciiTheme="majorHAnsi" w:hAnsiTheme="majorHAnsi"/>
                          <w:color w:val="595959" w:themeColor="text1" w:themeTint="A6"/>
                          <w:sz w:val="18"/>
                          <w:bdr w:val="nil"/>
                        </w:rPr>
                      </w:pPr>
                      <w:r w:rsidRPr="008B2A70">
                        <w:rPr>
                          <w:rFonts w:asciiTheme="majorHAnsi" w:hAnsiTheme="majorHAnsi"/>
                          <w:color w:val="595959" w:themeColor="text1" w:themeTint="A6"/>
                          <w:sz w:val="18"/>
                          <w:bdr w:val="nil"/>
                        </w:rPr>
                        <w:t xml:space="preserve">Cite as: IACHR, Report No. </w:t>
                      </w:r>
                      <w:r w:rsidR="002029C6" w:rsidRPr="008B2A70">
                        <w:rPr>
                          <w:rFonts w:asciiTheme="majorHAnsi" w:hAnsiTheme="majorHAnsi"/>
                          <w:color w:val="595959" w:themeColor="text1" w:themeTint="A6"/>
                          <w:sz w:val="18"/>
                          <w:bdr w:val="nil"/>
                        </w:rPr>
                        <w:t>37/19</w:t>
                      </w:r>
                      <w:r w:rsidRPr="008B2A70">
                        <w:rPr>
                          <w:rFonts w:asciiTheme="majorHAnsi" w:hAnsiTheme="majorHAnsi"/>
                          <w:color w:val="595959" w:themeColor="text1" w:themeTint="A6"/>
                          <w:sz w:val="18"/>
                          <w:bdr w:val="nil"/>
                        </w:rPr>
                        <w:t xml:space="preserve">, Case 12.190. Friendly Settlement </w:t>
                      </w:r>
                    </w:p>
                    <w:p w:rsidR="00001288" w:rsidRPr="008B2A70" w:rsidRDefault="00E940BE" w:rsidP="006B17EC">
                      <w:pPr>
                        <w:spacing w:line="276" w:lineRule="auto"/>
                        <w:ind w:right="1159"/>
                        <w:rPr>
                          <w:rFonts w:asciiTheme="majorHAnsi" w:hAnsiTheme="majorHAnsi"/>
                          <w:color w:val="595959" w:themeColor="text1" w:themeTint="A6"/>
                          <w:sz w:val="18"/>
                          <w:bdr w:val="nil"/>
                        </w:rPr>
                      </w:pPr>
                      <w:r w:rsidRPr="008B2A70">
                        <w:rPr>
                          <w:rFonts w:asciiTheme="majorHAnsi" w:hAnsiTheme="majorHAnsi"/>
                          <w:color w:val="595959" w:themeColor="text1" w:themeTint="A6"/>
                          <w:sz w:val="18"/>
                          <w:bdr w:val="nil"/>
                        </w:rPr>
                        <w:t>José Luis Tapia and other</w:t>
                      </w:r>
                      <w:r w:rsidR="00F52B87">
                        <w:rPr>
                          <w:rFonts w:asciiTheme="majorHAnsi" w:hAnsiTheme="majorHAnsi"/>
                          <w:color w:val="595959" w:themeColor="text1" w:themeTint="A6"/>
                          <w:sz w:val="18"/>
                          <w:bdr w:val="nil"/>
                        </w:rPr>
                        <w:t xml:space="preserve"> </w:t>
                      </w:r>
                      <w:r w:rsidRPr="008B2A70">
                        <w:rPr>
                          <w:rFonts w:asciiTheme="majorHAnsi" w:hAnsiTheme="majorHAnsi"/>
                          <w:color w:val="595959" w:themeColor="text1" w:themeTint="A6"/>
                          <w:sz w:val="18"/>
                          <w:bdr w:val="nil"/>
                        </w:rPr>
                        <w:t xml:space="preserve">members of the </w:t>
                      </w:r>
                      <w:proofErr w:type="spellStart"/>
                      <w:r w:rsidRPr="008B2A70">
                        <w:rPr>
                          <w:rFonts w:asciiTheme="majorHAnsi" w:hAnsiTheme="majorHAnsi"/>
                          <w:color w:val="595959" w:themeColor="text1" w:themeTint="A6"/>
                          <w:sz w:val="18"/>
                          <w:bdr w:val="nil"/>
                        </w:rPr>
                        <w:t>Carabineros</w:t>
                      </w:r>
                      <w:proofErr w:type="spellEnd"/>
                      <w:r w:rsidRPr="008B2A70">
                        <w:rPr>
                          <w:rFonts w:asciiTheme="majorHAnsi" w:hAnsiTheme="majorHAnsi"/>
                          <w:color w:val="595959" w:themeColor="text1" w:themeTint="A6"/>
                          <w:sz w:val="18"/>
                          <w:bdr w:val="nil"/>
                        </w:rPr>
                        <w:t>. Chile. April 1</w:t>
                      </w:r>
                      <w:r w:rsidR="002029C6" w:rsidRPr="008B2A70">
                        <w:rPr>
                          <w:rFonts w:asciiTheme="majorHAnsi" w:hAnsiTheme="majorHAnsi"/>
                          <w:color w:val="595959" w:themeColor="text1" w:themeTint="A6"/>
                          <w:sz w:val="18"/>
                          <w:bdr w:val="nil"/>
                        </w:rPr>
                        <w:t>6</w:t>
                      </w:r>
                      <w:r w:rsidRPr="008B2A70">
                        <w:rPr>
                          <w:rFonts w:asciiTheme="majorHAnsi" w:hAnsiTheme="majorHAnsi"/>
                          <w:color w:val="595959" w:themeColor="text1" w:themeTint="A6"/>
                          <w:sz w:val="18"/>
                          <w:bdr w:val="nil"/>
                        </w:rPr>
                        <w:t>, 2019</w:t>
                      </w:r>
                    </w:p>
                  </w:txbxContent>
                </v:textbox>
              </v:shape>
            </w:pict>
          </mc:Fallback>
        </mc:AlternateContent>
      </w:r>
    </w:p>
    <w:p w:rsidR="00001288" w:rsidRPr="00F52B87" w:rsidRDefault="00001288" w:rsidP="006B17EC">
      <w:pPr>
        <w:suppressAutoHyphens/>
        <w:jc w:val="center"/>
        <w:rPr>
          <w:rFonts w:ascii="Cambria" w:hAnsi="Cambria" w:cs="Cambria"/>
          <w:sz w:val="20"/>
          <w:szCs w:val="20"/>
        </w:rPr>
      </w:pPr>
    </w:p>
    <w:p w:rsidR="00001288" w:rsidRPr="00F52B87" w:rsidRDefault="005F4A5B" w:rsidP="006B17EC">
      <w:pPr>
        <w:suppressAutoHyphens/>
        <w:jc w:val="center"/>
        <w:rPr>
          <w:rFonts w:ascii="Cambria" w:hAnsi="Cambria" w:cs="Cambria"/>
          <w:b/>
          <w:bCs/>
          <w:sz w:val="20"/>
          <w:szCs w:val="20"/>
        </w:rPr>
      </w:pPr>
      <w:r w:rsidRPr="00F52B87">
        <w:rPr>
          <w:noProof/>
          <w:sz w:val="20"/>
          <w:szCs w:val="20"/>
        </w:rPr>
        <w:drawing>
          <wp:anchor distT="0" distB="0" distL="114300" distR="114300" simplePos="0" relativeHeight="251661312" behindDoc="0" locked="0" layoutInCell="1" allowOverlap="1" wp14:anchorId="1819F872" wp14:editId="375CD919">
            <wp:simplePos x="0" y="0"/>
            <wp:positionH relativeFrom="column">
              <wp:posOffset>1371600</wp:posOffset>
            </wp:positionH>
            <wp:positionV relativeFrom="paragraph">
              <wp:posOffset>934085</wp:posOffset>
            </wp:positionV>
            <wp:extent cx="1095375" cy="367030"/>
            <wp:effectExtent l="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367030"/>
                    </a:xfrm>
                    <a:prstGeom prst="rect">
                      <a:avLst/>
                    </a:prstGeom>
                    <a:noFill/>
                  </pic:spPr>
                </pic:pic>
              </a:graphicData>
            </a:graphic>
            <wp14:sizeRelH relativeFrom="page">
              <wp14:pctWidth>0</wp14:pctWidth>
            </wp14:sizeRelH>
            <wp14:sizeRelV relativeFrom="page">
              <wp14:pctHeight>0</wp14:pctHeight>
            </wp14:sizeRelV>
          </wp:anchor>
        </w:drawing>
      </w:r>
      <w:r w:rsidRPr="00F52B87">
        <w:rPr>
          <w:noProof/>
          <w:sz w:val="20"/>
          <w:szCs w:val="20"/>
        </w:rPr>
        <mc:AlternateContent>
          <mc:Choice Requires="wps">
            <w:drawing>
              <wp:anchor distT="0" distB="0" distL="114300" distR="114300" simplePos="0" relativeHeight="251660288" behindDoc="0" locked="0" layoutInCell="1" allowOverlap="1" wp14:anchorId="000169F4" wp14:editId="514A6F42">
                <wp:simplePos x="0" y="0"/>
                <wp:positionH relativeFrom="column">
                  <wp:posOffset>-272415</wp:posOffset>
                </wp:positionH>
                <wp:positionV relativeFrom="paragraph">
                  <wp:posOffset>915035</wp:posOffset>
                </wp:positionV>
                <wp:extent cx="1181100" cy="332740"/>
                <wp:effectExtent l="381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1288" w:rsidRPr="00287BBD" w:rsidRDefault="00E940BE" w:rsidP="00287BBD">
                            <w:pPr>
                              <w:jc w:val="center"/>
                              <w:rPr>
                                <w:rFonts w:ascii="Calibri" w:hAnsi="Calibri" w:cs="Calibri"/>
                                <w:b/>
                                <w:bCs/>
                                <w:noProof/>
                                <w:color w:val="FFFFFF"/>
                              </w:rPr>
                            </w:pPr>
                            <w:r w:rsidRPr="00E940BE">
                              <w:rPr>
                                <w:noProof/>
                              </w:rPr>
                              <w:drawing>
                                <wp:inline distT="0" distB="0" distL="0" distR="0" wp14:anchorId="0B13B53E" wp14:editId="0E1CC30C">
                                  <wp:extent cx="998220" cy="2817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220" cy="28175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169F4" id="Text Box 4" o:spid="_x0000_s1031" type="#_x0000_t202" style="position:absolute;left:0;text-align:left;margin-left:-21.45pt;margin-top:72.05pt;width:93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o5uA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" filled="f" stroked="f" strokeweight=".5pt">
                <v:textbox>
                  <w:txbxContent>
                    <w:p w:rsidR="00001288" w:rsidRPr="00287BBD" w:rsidRDefault="00E940BE" w:rsidP="00287BBD">
                      <w:pPr>
                        <w:jc w:val="center"/>
                        <w:rPr>
                          <w:rFonts w:ascii="Calibri" w:hAnsi="Calibri" w:cs="Calibri"/>
                          <w:b/>
                          <w:bCs/>
                          <w:noProof/>
                          <w:color w:val="FFFFFF"/>
                        </w:rPr>
                      </w:pPr>
                      <w:r w:rsidRPr="00E940BE">
                        <w:rPr>
                          <w:noProof/>
                        </w:rPr>
                        <w:drawing>
                          <wp:inline distT="0" distB="0" distL="0" distR="0" wp14:anchorId="0B13B53E" wp14:editId="0E1CC30C">
                            <wp:extent cx="998220" cy="2817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220" cy="281756"/>
                                    </a:xfrm>
                                    <a:prstGeom prst="rect">
                                      <a:avLst/>
                                    </a:prstGeom>
                                    <a:noFill/>
                                    <a:ln>
                                      <a:noFill/>
                                    </a:ln>
                                  </pic:spPr>
                                </pic:pic>
                              </a:graphicData>
                            </a:graphic>
                          </wp:inline>
                        </w:drawing>
                      </w:r>
                    </w:p>
                  </w:txbxContent>
                </v:textbox>
              </v:shape>
            </w:pict>
          </mc:Fallback>
        </mc:AlternateContent>
      </w:r>
    </w:p>
    <w:p w:rsidR="00001288" w:rsidRPr="00F52B87" w:rsidRDefault="00001288" w:rsidP="006B17EC">
      <w:pPr>
        <w:suppressAutoHyphens/>
        <w:jc w:val="center"/>
        <w:rPr>
          <w:rFonts w:ascii="Cambria" w:hAnsi="Cambria" w:cs="Cambria"/>
          <w:b/>
          <w:bCs/>
          <w:sz w:val="20"/>
          <w:szCs w:val="20"/>
        </w:rPr>
        <w:sectPr w:rsidR="00001288" w:rsidRPr="00F52B87"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E940BE" w:rsidRPr="00F52B87" w:rsidRDefault="00E940BE" w:rsidP="00E940BE">
      <w:pPr>
        <w:tabs>
          <w:tab w:val="center" w:pos="5400"/>
        </w:tabs>
        <w:suppressAutoHyphens/>
        <w:jc w:val="center"/>
        <w:rPr>
          <w:rFonts w:asciiTheme="majorHAnsi" w:hAnsiTheme="majorHAnsi"/>
          <w:b/>
          <w:sz w:val="18"/>
          <w:szCs w:val="18"/>
        </w:rPr>
      </w:pPr>
      <w:r w:rsidRPr="00F52B87">
        <w:rPr>
          <w:rFonts w:asciiTheme="majorHAnsi" w:hAnsiTheme="majorHAnsi"/>
          <w:b/>
          <w:sz w:val="18"/>
          <w:szCs w:val="18"/>
        </w:rPr>
        <w:lastRenderedPageBreak/>
        <w:t xml:space="preserve">REPORT No. </w:t>
      </w:r>
      <w:r w:rsidR="002029C6" w:rsidRPr="00F52B87">
        <w:rPr>
          <w:rFonts w:asciiTheme="majorHAnsi" w:hAnsiTheme="majorHAnsi"/>
          <w:b/>
          <w:sz w:val="18"/>
          <w:szCs w:val="18"/>
        </w:rPr>
        <w:t>37</w:t>
      </w:r>
      <w:r w:rsidRPr="00F52B87">
        <w:rPr>
          <w:rFonts w:asciiTheme="majorHAnsi" w:hAnsiTheme="majorHAnsi"/>
          <w:b/>
          <w:sz w:val="18"/>
          <w:szCs w:val="18"/>
        </w:rPr>
        <w:t>/19</w:t>
      </w:r>
    </w:p>
    <w:p w:rsidR="00E940BE" w:rsidRPr="00F52B87" w:rsidRDefault="00E940BE" w:rsidP="00E940BE">
      <w:pPr>
        <w:tabs>
          <w:tab w:val="center" w:pos="5400"/>
        </w:tabs>
        <w:suppressAutoHyphens/>
        <w:jc w:val="center"/>
        <w:rPr>
          <w:rFonts w:asciiTheme="majorHAnsi" w:hAnsiTheme="majorHAnsi"/>
          <w:b/>
          <w:sz w:val="18"/>
          <w:szCs w:val="18"/>
        </w:rPr>
      </w:pPr>
      <w:r w:rsidRPr="00F52B87">
        <w:rPr>
          <w:rFonts w:asciiTheme="majorHAnsi" w:hAnsiTheme="majorHAnsi"/>
          <w:b/>
          <w:sz w:val="18"/>
          <w:szCs w:val="18"/>
        </w:rPr>
        <w:t>CASE 12.190</w:t>
      </w:r>
    </w:p>
    <w:p w:rsidR="00E940BE" w:rsidRPr="00F52B87" w:rsidRDefault="00E940BE" w:rsidP="008B2A70">
      <w:pPr>
        <w:tabs>
          <w:tab w:val="center" w:pos="5400"/>
        </w:tabs>
        <w:suppressAutoHyphens/>
        <w:jc w:val="center"/>
        <w:rPr>
          <w:rFonts w:asciiTheme="majorHAnsi" w:hAnsiTheme="majorHAnsi"/>
          <w:sz w:val="18"/>
          <w:szCs w:val="18"/>
        </w:rPr>
      </w:pPr>
      <w:r w:rsidRPr="00F52B87">
        <w:rPr>
          <w:rFonts w:asciiTheme="majorHAnsi" w:hAnsiTheme="majorHAnsi"/>
          <w:sz w:val="18"/>
          <w:szCs w:val="18"/>
        </w:rPr>
        <w:t>FRIENDLY SETTLEMENT</w:t>
      </w:r>
    </w:p>
    <w:p w:rsidR="00E940BE" w:rsidRPr="00F52B87" w:rsidRDefault="00E940BE" w:rsidP="008B2A70">
      <w:pPr>
        <w:tabs>
          <w:tab w:val="center" w:pos="4680"/>
          <w:tab w:val="center" w:pos="5400"/>
        </w:tabs>
        <w:suppressAutoHyphens/>
        <w:jc w:val="center"/>
        <w:rPr>
          <w:rFonts w:asciiTheme="majorHAnsi" w:hAnsiTheme="majorHAnsi"/>
          <w:sz w:val="18"/>
          <w:szCs w:val="18"/>
        </w:rPr>
      </w:pPr>
      <w:r w:rsidRPr="00F52B87">
        <w:rPr>
          <w:rFonts w:asciiTheme="majorHAnsi" w:hAnsiTheme="majorHAnsi"/>
          <w:sz w:val="18"/>
          <w:szCs w:val="18"/>
        </w:rPr>
        <w:t>JOSÉ LUIS TAPIA AND OTHER MEMBERS OF THE CARABINEROS</w:t>
      </w:r>
    </w:p>
    <w:p w:rsidR="00E940BE" w:rsidRPr="00F52B87" w:rsidRDefault="00E940BE" w:rsidP="008B2A70">
      <w:pPr>
        <w:tabs>
          <w:tab w:val="center" w:pos="5400"/>
        </w:tabs>
        <w:suppressAutoHyphens/>
        <w:jc w:val="center"/>
        <w:rPr>
          <w:rFonts w:asciiTheme="majorHAnsi" w:hAnsiTheme="majorHAnsi"/>
          <w:sz w:val="18"/>
          <w:szCs w:val="18"/>
        </w:rPr>
      </w:pPr>
      <w:r w:rsidRPr="00F52B87">
        <w:rPr>
          <w:rFonts w:asciiTheme="majorHAnsi" w:hAnsiTheme="majorHAnsi"/>
          <w:sz w:val="18"/>
          <w:szCs w:val="18"/>
        </w:rPr>
        <w:t>CHILE</w:t>
      </w:r>
    </w:p>
    <w:p w:rsidR="00E940BE" w:rsidRPr="00F52B87" w:rsidRDefault="002029C6" w:rsidP="008B2A70">
      <w:pPr>
        <w:tabs>
          <w:tab w:val="center" w:pos="5400"/>
        </w:tabs>
        <w:suppressAutoHyphens/>
        <w:jc w:val="center"/>
        <w:rPr>
          <w:rFonts w:asciiTheme="majorHAnsi" w:hAnsiTheme="majorHAnsi"/>
          <w:sz w:val="18"/>
          <w:szCs w:val="18"/>
        </w:rPr>
      </w:pPr>
      <w:r w:rsidRPr="00F52B87">
        <w:rPr>
          <w:rFonts w:asciiTheme="majorHAnsi" w:hAnsiTheme="majorHAnsi"/>
          <w:sz w:val="18"/>
          <w:szCs w:val="18"/>
        </w:rPr>
        <w:t>APRIL 16,</w:t>
      </w:r>
      <w:r w:rsidR="00E940BE" w:rsidRPr="00F52B87">
        <w:rPr>
          <w:rFonts w:asciiTheme="majorHAnsi" w:hAnsiTheme="majorHAnsi"/>
          <w:sz w:val="18"/>
          <w:szCs w:val="18"/>
        </w:rPr>
        <w:t xml:space="preserve"> 2019</w:t>
      </w:r>
      <w:r w:rsidR="00E940BE" w:rsidRPr="00F52B87">
        <w:rPr>
          <w:rStyle w:val="FootnoteReference"/>
          <w:rFonts w:asciiTheme="majorHAnsi" w:hAnsiTheme="majorHAnsi"/>
          <w:sz w:val="18"/>
          <w:szCs w:val="18"/>
        </w:rPr>
        <w:footnoteReference w:id="1"/>
      </w:r>
    </w:p>
    <w:p w:rsidR="00E940BE" w:rsidRPr="00F52B87" w:rsidRDefault="00E940BE" w:rsidP="00E940BE">
      <w:pPr>
        <w:keepNext/>
        <w:ind w:firstLine="720"/>
        <w:outlineLvl w:val="0"/>
        <w:rPr>
          <w:rFonts w:asciiTheme="majorHAnsi" w:hAnsiTheme="majorHAnsi"/>
          <w:sz w:val="20"/>
          <w:szCs w:val="20"/>
        </w:rPr>
      </w:pPr>
    </w:p>
    <w:p w:rsidR="00E940BE" w:rsidRPr="00F52B87" w:rsidRDefault="00E940BE" w:rsidP="00E940BE">
      <w:pPr>
        <w:keepNext/>
        <w:ind w:firstLine="720"/>
        <w:outlineLvl w:val="0"/>
        <w:rPr>
          <w:rFonts w:asciiTheme="majorHAnsi" w:hAnsiTheme="majorHAnsi"/>
          <w:sz w:val="20"/>
          <w:szCs w:val="20"/>
        </w:rPr>
      </w:pPr>
    </w:p>
    <w:p w:rsidR="00E940BE" w:rsidRPr="00F52B87" w:rsidRDefault="00E940BE" w:rsidP="00D73FB0">
      <w:pPr>
        <w:pStyle w:val="ListParagraph"/>
        <w:keepNext/>
        <w:numPr>
          <w:ilvl w:val="0"/>
          <w:numId w:val="58"/>
        </w:numPr>
        <w:pBdr>
          <w:top w:val="nil"/>
          <w:left w:val="nil"/>
          <w:bottom w:val="nil"/>
          <w:right w:val="nil"/>
          <w:between w:val="nil"/>
          <w:bar w:val="nil"/>
        </w:pBdr>
        <w:outlineLvl w:val="0"/>
        <w:rPr>
          <w:rFonts w:asciiTheme="majorHAnsi" w:eastAsia="Times New Roman" w:hAnsiTheme="majorHAnsi"/>
          <w:b/>
          <w:bCs/>
          <w:kern w:val="36"/>
          <w:sz w:val="20"/>
          <w:szCs w:val="20"/>
          <w:lang w:eastAsia="es-BO"/>
        </w:rPr>
      </w:pPr>
      <w:r w:rsidRPr="00F52B87">
        <w:rPr>
          <w:rFonts w:asciiTheme="majorHAnsi" w:eastAsia="Times New Roman" w:hAnsiTheme="majorHAnsi"/>
          <w:b/>
          <w:bCs/>
          <w:kern w:val="36"/>
          <w:sz w:val="20"/>
          <w:szCs w:val="20"/>
          <w:lang w:eastAsia="es-BO"/>
        </w:rPr>
        <w:t>SUMMARY AND PROCEDURAL ASPECTS RELEATED TO THE FRIENDLY SETTLEMENT PROCESS</w:t>
      </w:r>
    </w:p>
    <w:p w:rsidR="00E940BE" w:rsidRPr="00F52B87" w:rsidRDefault="00E940BE" w:rsidP="00E940BE">
      <w:pPr>
        <w:ind w:firstLine="720"/>
        <w:jc w:val="both"/>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t> </w:t>
      </w:r>
    </w:p>
    <w:p w:rsidR="00E940BE" w:rsidRPr="00F52B87" w:rsidRDefault="00E940BE" w:rsidP="00E940BE">
      <w:pPr>
        <w:pStyle w:val="ListParagraph"/>
        <w:numPr>
          <w:ilvl w:val="0"/>
          <w:numId w:val="57"/>
        </w:numPr>
        <w:pBdr>
          <w:top w:val="nil"/>
          <w:left w:val="nil"/>
          <w:bottom w:val="nil"/>
          <w:right w:val="nil"/>
          <w:between w:val="nil"/>
          <w:bar w:val="nil"/>
        </w:pBdr>
        <w:ind w:left="0" w:firstLine="720"/>
        <w:jc w:val="both"/>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t xml:space="preserve">On June 18, 1999, the Inter-American Commission on Human Rights (hereinafter “the Inter-American Commission,” “the Commission,” or “the IACHR”) received a petition submitted by attorney Luis Antonio Acevedo Villavicencio and Leopoldo Sánchez </w:t>
      </w:r>
      <w:proofErr w:type="spellStart"/>
      <w:r w:rsidRPr="00F52B87">
        <w:rPr>
          <w:rFonts w:asciiTheme="majorHAnsi" w:eastAsia="Times New Roman" w:hAnsiTheme="majorHAnsi"/>
          <w:sz w:val="20"/>
          <w:szCs w:val="20"/>
          <w:lang w:eastAsia="es-BO"/>
        </w:rPr>
        <w:t>Grunert</w:t>
      </w:r>
      <w:proofErr w:type="spellEnd"/>
      <w:r w:rsidRPr="00F52B87">
        <w:rPr>
          <w:rFonts w:asciiTheme="majorHAnsi" w:eastAsia="Times New Roman" w:hAnsiTheme="majorHAnsi"/>
          <w:sz w:val="20"/>
          <w:szCs w:val="20"/>
          <w:lang w:eastAsia="es-BO"/>
        </w:rPr>
        <w:t xml:space="preserve">  (hereinafter “the petitioners”) against the Republic of Chile (hereinafter “the State” or “the Chilean State”) alleging that José Luis Tapia </w:t>
      </w:r>
      <w:proofErr w:type="spellStart"/>
      <w:r w:rsidRPr="00F52B87">
        <w:rPr>
          <w:rFonts w:asciiTheme="majorHAnsi" w:eastAsia="Times New Roman" w:hAnsiTheme="majorHAnsi"/>
          <w:sz w:val="20"/>
          <w:szCs w:val="20"/>
          <w:lang w:eastAsia="es-BO"/>
        </w:rPr>
        <w:t>Gonzáles</w:t>
      </w:r>
      <w:proofErr w:type="spellEnd"/>
      <w:r w:rsidRPr="00F52B87">
        <w:rPr>
          <w:rFonts w:asciiTheme="majorHAnsi" w:eastAsia="Times New Roman" w:hAnsiTheme="majorHAnsi"/>
          <w:sz w:val="20"/>
          <w:szCs w:val="20"/>
          <w:lang w:eastAsia="es-BO"/>
        </w:rPr>
        <w:t xml:space="preserve">, José Alejandro </w:t>
      </w:r>
      <w:proofErr w:type="spellStart"/>
      <w:r w:rsidRPr="00F52B87">
        <w:rPr>
          <w:rFonts w:asciiTheme="majorHAnsi" w:eastAsia="Times New Roman" w:hAnsiTheme="majorHAnsi"/>
          <w:sz w:val="20"/>
          <w:szCs w:val="20"/>
          <w:lang w:eastAsia="es-BO"/>
        </w:rPr>
        <w:t>Villagrán</w:t>
      </w:r>
      <w:proofErr w:type="spellEnd"/>
      <w:r w:rsidRPr="00F52B87">
        <w:rPr>
          <w:rFonts w:asciiTheme="majorHAnsi" w:eastAsia="Times New Roman" w:hAnsiTheme="majorHAnsi"/>
          <w:sz w:val="20"/>
          <w:szCs w:val="20"/>
          <w:lang w:eastAsia="es-BO"/>
        </w:rPr>
        <w:t xml:space="preserve"> </w:t>
      </w:r>
      <w:proofErr w:type="spellStart"/>
      <w:r w:rsidRPr="00F52B87">
        <w:rPr>
          <w:rFonts w:asciiTheme="majorHAnsi" w:eastAsia="Times New Roman" w:hAnsiTheme="majorHAnsi"/>
          <w:sz w:val="20"/>
          <w:szCs w:val="20"/>
          <w:lang w:eastAsia="es-BO"/>
        </w:rPr>
        <w:t>Guzmán</w:t>
      </w:r>
      <w:proofErr w:type="spellEnd"/>
      <w:r w:rsidRPr="00F52B87">
        <w:rPr>
          <w:rFonts w:asciiTheme="majorHAnsi" w:eastAsia="Times New Roman" w:hAnsiTheme="majorHAnsi"/>
          <w:sz w:val="20"/>
          <w:szCs w:val="20"/>
          <w:lang w:eastAsia="es-BO"/>
        </w:rPr>
        <w:t xml:space="preserve">, Luis Eduardo Hernández </w:t>
      </w:r>
      <w:proofErr w:type="spellStart"/>
      <w:r w:rsidRPr="00F52B87">
        <w:rPr>
          <w:rFonts w:asciiTheme="majorHAnsi" w:eastAsia="Times New Roman" w:hAnsiTheme="majorHAnsi"/>
          <w:sz w:val="20"/>
          <w:szCs w:val="20"/>
          <w:lang w:eastAsia="es-BO"/>
        </w:rPr>
        <w:t>Mieville</w:t>
      </w:r>
      <w:proofErr w:type="spellEnd"/>
      <w:r w:rsidRPr="00F52B87">
        <w:rPr>
          <w:rFonts w:asciiTheme="majorHAnsi" w:eastAsia="Times New Roman" w:hAnsiTheme="majorHAnsi"/>
          <w:sz w:val="20"/>
          <w:szCs w:val="20"/>
          <w:lang w:eastAsia="es-BO"/>
        </w:rPr>
        <w:t xml:space="preserve">, Nelson Enrique </w:t>
      </w:r>
      <w:proofErr w:type="spellStart"/>
      <w:r w:rsidRPr="00F52B87">
        <w:rPr>
          <w:rFonts w:asciiTheme="majorHAnsi" w:eastAsia="Times New Roman" w:hAnsiTheme="majorHAnsi"/>
          <w:sz w:val="20"/>
          <w:szCs w:val="20"/>
          <w:lang w:eastAsia="es-BO"/>
        </w:rPr>
        <w:t>Garrido</w:t>
      </w:r>
      <w:proofErr w:type="spellEnd"/>
      <w:r w:rsidRPr="00F52B87">
        <w:rPr>
          <w:rFonts w:asciiTheme="majorHAnsi" w:eastAsia="Times New Roman" w:hAnsiTheme="majorHAnsi"/>
          <w:sz w:val="20"/>
          <w:szCs w:val="20"/>
          <w:lang w:eastAsia="es-BO"/>
        </w:rPr>
        <w:t xml:space="preserve"> Reyes, Manuel Augusto Zamora </w:t>
      </w:r>
      <w:proofErr w:type="spellStart"/>
      <w:r w:rsidRPr="00F52B87">
        <w:rPr>
          <w:rFonts w:asciiTheme="majorHAnsi" w:eastAsia="Times New Roman" w:hAnsiTheme="majorHAnsi"/>
          <w:sz w:val="20"/>
          <w:szCs w:val="20"/>
          <w:lang w:eastAsia="es-BO"/>
        </w:rPr>
        <w:t>Irarrazabal</w:t>
      </w:r>
      <w:proofErr w:type="spellEnd"/>
      <w:r w:rsidRPr="00F52B87">
        <w:rPr>
          <w:rFonts w:asciiTheme="majorHAnsi" w:eastAsia="Times New Roman" w:hAnsiTheme="majorHAnsi"/>
          <w:sz w:val="20"/>
          <w:szCs w:val="20"/>
          <w:lang w:eastAsia="es-BO"/>
        </w:rPr>
        <w:t xml:space="preserve">, David </w:t>
      </w:r>
      <w:proofErr w:type="spellStart"/>
      <w:r w:rsidRPr="00F52B87">
        <w:rPr>
          <w:rFonts w:asciiTheme="majorHAnsi" w:eastAsia="Times New Roman" w:hAnsiTheme="majorHAnsi"/>
          <w:sz w:val="20"/>
          <w:szCs w:val="20"/>
          <w:lang w:eastAsia="es-BO"/>
        </w:rPr>
        <w:t>Matías</w:t>
      </w:r>
      <w:proofErr w:type="spellEnd"/>
      <w:r w:rsidRPr="00F52B87">
        <w:rPr>
          <w:rFonts w:asciiTheme="majorHAnsi" w:eastAsia="Times New Roman" w:hAnsiTheme="majorHAnsi"/>
          <w:sz w:val="20"/>
          <w:szCs w:val="20"/>
          <w:lang w:eastAsia="es-BO"/>
        </w:rPr>
        <w:t xml:space="preserve"> </w:t>
      </w:r>
      <w:proofErr w:type="spellStart"/>
      <w:r w:rsidRPr="00F52B87">
        <w:rPr>
          <w:rFonts w:asciiTheme="majorHAnsi" w:eastAsia="Times New Roman" w:hAnsiTheme="majorHAnsi"/>
          <w:sz w:val="20"/>
          <w:szCs w:val="20"/>
          <w:lang w:eastAsia="es-BO"/>
        </w:rPr>
        <w:t>Álvarez</w:t>
      </w:r>
      <w:proofErr w:type="spellEnd"/>
      <w:r w:rsidRPr="00F52B87">
        <w:rPr>
          <w:rFonts w:asciiTheme="majorHAnsi" w:eastAsia="Times New Roman" w:hAnsiTheme="majorHAnsi"/>
          <w:sz w:val="20"/>
          <w:szCs w:val="20"/>
          <w:lang w:eastAsia="es-BO"/>
        </w:rPr>
        <w:t xml:space="preserve"> </w:t>
      </w:r>
      <w:proofErr w:type="spellStart"/>
      <w:r w:rsidRPr="00F52B87">
        <w:rPr>
          <w:rFonts w:asciiTheme="majorHAnsi" w:eastAsia="Times New Roman" w:hAnsiTheme="majorHAnsi"/>
          <w:sz w:val="20"/>
          <w:szCs w:val="20"/>
          <w:lang w:eastAsia="es-BO"/>
        </w:rPr>
        <w:t>Álvarez</w:t>
      </w:r>
      <w:proofErr w:type="spellEnd"/>
      <w:r w:rsidRPr="00F52B87">
        <w:rPr>
          <w:rFonts w:asciiTheme="majorHAnsi" w:eastAsia="Times New Roman" w:hAnsiTheme="majorHAnsi"/>
          <w:sz w:val="20"/>
          <w:szCs w:val="20"/>
          <w:lang w:eastAsia="es-BO"/>
        </w:rPr>
        <w:t xml:space="preserve">, and Víctor Alejandro Lago Maldonado, all of them members of </w:t>
      </w:r>
      <w:proofErr w:type="spellStart"/>
      <w:r w:rsidRPr="00F52B87">
        <w:rPr>
          <w:rFonts w:asciiTheme="majorHAnsi" w:eastAsia="Times New Roman" w:hAnsiTheme="majorHAnsi"/>
          <w:sz w:val="20"/>
          <w:szCs w:val="20"/>
          <w:lang w:eastAsia="es-BO"/>
        </w:rPr>
        <w:t>Carabineros</w:t>
      </w:r>
      <w:proofErr w:type="spellEnd"/>
      <w:r w:rsidRPr="00F52B87">
        <w:rPr>
          <w:rFonts w:asciiTheme="majorHAnsi" w:eastAsia="Times New Roman" w:hAnsiTheme="majorHAnsi"/>
          <w:sz w:val="20"/>
          <w:szCs w:val="20"/>
          <w:lang w:eastAsia="es-BO"/>
        </w:rPr>
        <w:t xml:space="preserve"> de Chile</w:t>
      </w:r>
      <w:bookmarkStart w:id="3" w:name="_ftnref2"/>
      <w:bookmarkEnd w:id="3"/>
      <w:r w:rsidRPr="00F52B87">
        <w:rPr>
          <w:rFonts w:asciiTheme="majorHAnsi" w:eastAsia="Times New Roman" w:hAnsiTheme="majorHAnsi"/>
          <w:sz w:val="20"/>
          <w:szCs w:val="20"/>
          <w:lang w:eastAsia="es-BO"/>
        </w:rPr>
        <w:t xml:space="preserve"> (hereinafter “the </w:t>
      </w:r>
      <w:proofErr w:type="spellStart"/>
      <w:r w:rsidRPr="00F52B87">
        <w:rPr>
          <w:rFonts w:asciiTheme="majorHAnsi" w:eastAsia="Times New Roman" w:hAnsiTheme="majorHAnsi"/>
          <w:sz w:val="20"/>
          <w:szCs w:val="20"/>
          <w:lang w:eastAsia="es-BO"/>
        </w:rPr>
        <w:t>Carabineros</w:t>
      </w:r>
      <w:proofErr w:type="spellEnd"/>
      <w:r w:rsidRPr="00F52B87">
        <w:rPr>
          <w:rFonts w:asciiTheme="majorHAnsi" w:eastAsia="Times New Roman" w:hAnsiTheme="majorHAnsi"/>
          <w:sz w:val="20"/>
          <w:szCs w:val="20"/>
          <w:lang w:eastAsia="es-BO"/>
        </w:rPr>
        <w:t xml:space="preserve">”) and their respective wives </w:t>
      </w:r>
      <w:proofErr w:type="spellStart"/>
      <w:r w:rsidRPr="00F52B87">
        <w:rPr>
          <w:rFonts w:asciiTheme="majorHAnsi" w:eastAsia="Times New Roman" w:hAnsiTheme="majorHAnsi"/>
          <w:sz w:val="20"/>
          <w:szCs w:val="20"/>
          <w:lang w:eastAsia="es-BO"/>
        </w:rPr>
        <w:t>Giny</w:t>
      </w:r>
      <w:proofErr w:type="spellEnd"/>
      <w:r w:rsidRPr="00F52B87">
        <w:rPr>
          <w:rFonts w:asciiTheme="majorHAnsi" w:eastAsia="Times New Roman" w:hAnsiTheme="majorHAnsi"/>
          <w:sz w:val="20"/>
          <w:szCs w:val="20"/>
          <w:lang w:eastAsia="es-BO"/>
        </w:rPr>
        <w:t xml:space="preserve"> Escobar Lara, Rosa Paz Valdés, Sonia Valencia Torres, Claudia Bustamante Torres, Sandra Duran Villegas, Olga del Carmen Becerra Pérez, and Ana María Aguilera </w:t>
      </w:r>
      <w:proofErr w:type="spellStart"/>
      <w:r w:rsidRPr="00F52B87">
        <w:rPr>
          <w:rFonts w:asciiTheme="majorHAnsi" w:eastAsia="Times New Roman" w:hAnsiTheme="majorHAnsi"/>
          <w:sz w:val="20"/>
          <w:szCs w:val="20"/>
          <w:lang w:eastAsia="es-BO"/>
        </w:rPr>
        <w:t>Saldivia</w:t>
      </w:r>
      <w:proofErr w:type="spellEnd"/>
      <w:r w:rsidRPr="00F52B87">
        <w:rPr>
          <w:rFonts w:asciiTheme="majorHAnsi" w:eastAsia="Times New Roman" w:hAnsiTheme="majorHAnsi"/>
          <w:sz w:val="20"/>
          <w:szCs w:val="20"/>
          <w:lang w:eastAsia="es-BO"/>
        </w:rPr>
        <w:t xml:space="preserve"> (hereinafter “the wives of the </w:t>
      </w:r>
      <w:proofErr w:type="spellStart"/>
      <w:r w:rsidRPr="00F52B87">
        <w:rPr>
          <w:rFonts w:asciiTheme="majorHAnsi" w:eastAsia="Times New Roman" w:hAnsiTheme="majorHAnsi"/>
          <w:sz w:val="20"/>
          <w:szCs w:val="20"/>
          <w:lang w:eastAsia="es-BO"/>
        </w:rPr>
        <w:t>Carabineros</w:t>
      </w:r>
      <w:proofErr w:type="spellEnd"/>
      <w:r w:rsidRPr="00F52B87">
        <w:rPr>
          <w:rFonts w:asciiTheme="majorHAnsi" w:eastAsia="Times New Roman" w:hAnsiTheme="majorHAnsi"/>
          <w:sz w:val="20"/>
          <w:szCs w:val="20"/>
          <w:lang w:eastAsia="es-BO"/>
        </w:rPr>
        <w:t xml:space="preserve">”) were subjected to an arbitrary evaluation process and then dismissed. They allege that there was a denial of justice by the highest-level judicial bodies of the Chilean State on being victims of a judicial proceeding that violated their basic rights and without any judicial guarantees. </w:t>
      </w:r>
    </w:p>
    <w:p w:rsidR="00E940BE" w:rsidRPr="00F52B87" w:rsidRDefault="00E940BE" w:rsidP="00E940BE">
      <w:pPr>
        <w:ind w:firstLine="720"/>
        <w:jc w:val="both"/>
        <w:rPr>
          <w:rFonts w:asciiTheme="majorHAnsi" w:eastAsia="Times New Roman" w:hAnsiTheme="majorHAnsi"/>
          <w:sz w:val="20"/>
          <w:szCs w:val="20"/>
          <w:lang w:eastAsia="es-BO"/>
        </w:rPr>
      </w:pPr>
    </w:p>
    <w:p w:rsidR="00E940BE" w:rsidRPr="00F52B87" w:rsidRDefault="00E940BE" w:rsidP="00E940BE">
      <w:pPr>
        <w:pStyle w:val="ListParagraph"/>
        <w:numPr>
          <w:ilvl w:val="0"/>
          <w:numId w:val="57"/>
        </w:numPr>
        <w:pBdr>
          <w:top w:val="nil"/>
          <w:left w:val="nil"/>
          <w:bottom w:val="nil"/>
          <w:right w:val="nil"/>
          <w:between w:val="nil"/>
          <w:bar w:val="nil"/>
        </w:pBdr>
        <w:ind w:left="0" w:firstLine="720"/>
        <w:jc w:val="both"/>
        <w:rPr>
          <w:rFonts w:asciiTheme="majorHAnsi" w:hAnsiTheme="majorHAnsi"/>
          <w:spacing w:val="2"/>
          <w:sz w:val="20"/>
          <w:szCs w:val="20"/>
        </w:rPr>
      </w:pPr>
      <w:r w:rsidRPr="00F52B87">
        <w:rPr>
          <w:rFonts w:asciiTheme="majorHAnsi" w:eastAsia="Times New Roman" w:hAnsiTheme="majorHAnsi" w:cs="Times New Roman"/>
          <w:sz w:val="20"/>
          <w:szCs w:val="20"/>
          <w:lang w:eastAsia="es-BO"/>
        </w:rPr>
        <w:t xml:space="preserve">On February 24, 2004, the Commission issued the Admissibility Report No. </w:t>
      </w:r>
      <w:r w:rsidRPr="00F52B87">
        <w:rPr>
          <w:rFonts w:asciiTheme="majorHAnsi" w:hAnsiTheme="majorHAnsi"/>
          <w:spacing w:val="2"/>
          <w:sz w:val="20"/>
          <w:szCs w:val="20"/>
        </w:rPr>
        <w:t xml:space="preserve">21/04, concluding that the facts described could constitute violations of the rights to judicial guarantees and judicial protection, protected by Articles 8 and 25 of the American Convention, as well as the obligations set out at Articles 1(1) and 2 of the American Convention. In that same Report the Commission decided that it was competent to examine the petition and found it admissible in relation to the above-indicated articles to the detriment of the former members of </w:t>
      </w:r>
      <w:proofErr w:type="spellStart"/>
      <w:r w:rsidRPr="00F52B87">
        <w:rPr>
          <w:rFonts w:asciiTheme="majorHAnsi" w:hAnsiTheme="majorHAnsi"/>
          <w:spacing w:val="2"/>
          <w:sz w:val="20"/>
          <w:szCs w:val="20"/>
        </w:rPr>
        <w:t>Carabineros</w:t>
      </w:r>
      <w:proofErr w:type="spellEnd"/>
      <w:r w:rsidRPr="00F52B87">
        <w:rPr>
          <w:rFonts w:asciiTheme="majorHAnsi" w:hAnsiTheme="majorHAnsi"/>
          <w:spacing w:val="2"/>
          <w:sz w:val="20"/>
          <w:szCs w:val="20"/>
        </w:rPr>
        <w:t xml:space="preserve">. </w:t>
      </w:r>
    </w:p>
    <w:p w:rsidR="00E940BE" w:rsidRPr="00F52B87" w:rsidRDefault="00E940BE" w:rsidP="00E940BE">
      <w:pPr>
        <w:ind w:firstLine="720"/>
        <w:jc w:val="both"/>
        <w:rPr>
          <w:rFonts w:asciiTheme="majorHAnsi" w:hAnsiTheme="majorHAnsi"/>
          <w:sz w:val="20"/>
          <w:szCs w:val="20"/>
        </w:rPr>
      </w:pPr>
    </w:p>
    <w:p w:rsidR="00E940BE" w:rsidRPr="00F52B87" w:rsidRDefault="00E940BE" w:rsidP="00E940BE">
      <w:pPr>
        <w:pStyle w:val="ListParagraph"/>
        <w:numPr>
          <w:ilvl w:val="0"/>
          <w:numId w:val="57"/>
        </w:numPr>
        <w:pBdr>
          <w:top w:val="nil"/>
          <w:left w:val="nil"/>
          <w:bottom w:val="nil"/>
          <w:right w:val="nil"/>
          <w:between w:val="nil"/>
          <w:bar w:val="nil"/>
        </w:pBdr>
        <w:ind w:left="0" w:firstLine="720"/>
        <w:jc w:val="both"/>
        <w:rPr>
          <w:rFonts w:asciiTheme="majorHAnsi" w:hAnsiTheme="majorHAnsi"/>
          <w:sz w:val="20"/>
          <w:szCs w:val="20"/>
        </w:rPr>
      </w:pPr>
      <w:r w:rsidRPr="00F52B87">
        <w:rPr>
          <w:rFonts w:asciiTheme="majorHAnsi" w:hAnsiTheme="majorHAnsi"/>
          <w:sz w:val="20"/>
          <w:szCs w:val="20"/>
        </w:rPr>
        <w:t xml:space="preserve">On March 8, 2018, the parties signed the Friendly Settlement Agreement, which includes as measures of reparation, recognition of the facts set forth in the initial petition and economic reparation for material and non-material damages. </w:t>
      </w:r>
    </w:p>
    <w:p w:rsidR="00E940BE" w:rsidRPr="00F52B87" w:rsidRDefault="00E940BE" w:rsidP="00E940BE">
      <w:pPr>
        <w:ind w:firstLine="720"/>
        <w:jc w:val="both"/>
        <w:rPr>
          <w:rFonts w:asciiTheme="majorHAnsi" w:hAnsiTheme="majorHAnsi"/>
          <w:sz w:val="20"/>
          <w:szCs w:val="20"/>
        </w:rPr>
      </w:pPr>
    </w:p>
    <w:p w:rsidR="00E940BE" w:rsidRPr="00F52B87" w:rsidRDefault="00E940BE" w:rsidP="00E940BE">
      <w:pPr>
        <w:pStyle w:val="ListParagraph"/>
        <w:numPr>
          <w:ilvl w:val="0"/>
          <w:numId w:val="57"/>
        </w:numPr>
        <w:pBdr>
          <w:top w:val="nil"/>
          <w:left w:val="nil"/>
          <w:bottom w:val="nil"/>
          <w:right w:val="nil"/>
          <w:between w:val="nil"/>
          <w:bar w:val="nil"/>
        </w:pBdr>
        <w:ind w:left="0" w:firstLine="720"/>
        <w:jc w:val="both"/>
        <w:rPr>
          <w:rFonts w:asciiTheme="majorHAnsi" w:hAnsiTheme="majorHAnsi"/>
          <w:sz w:val="20"/>
          <w:szCs w:val="20"/>
        </w:rPr>
      </w:pPr>
      <w:r w:rsidRPr="00F52B87">
        <w:rPr>
          <w:rFonts w:asciiTheme="majorHAnsi" w:hAnsiTheme="majorHAnsi"/>
          <w:sz w:val="20"/>
          <w:szCs w:val="20"/>
        </w:rPr>
        <w:t>Finally, on March 15, 2019, the State presented a report on compliance with the measures of reparation agreed upon by the parties in this case and asked the Honorable Commission to declare total compliance with the Friendly Settlement Agreement and that it proceed to issue the corresponding report of ratification, as provided for in Article 40(5) of the Commission’s Rules of Procedure. That information was forwarded to the petitioner, who confirmed their interest in moving forward with the approval of the agreement on April 1</w:t>
      </w:r>
      <w:r w:rsidRPr="00F52B87">
        <w:rPr>
          <w:rFonts w:asciiTheme="majorHAnsi" w:hAnsiTheme="majorHAnsi"/>
          <w:sz w:val="20"/>
          <w:szCs w:val="20"/>
          <w:vertAlign w:val="superscript"/>
        </w:rPr>
        <w:t>st</w:t>
      </w:r>
      <w:r w:rsidRPr="00F52B87">
        <w:rPr>
          <w:rFonts w:asciiTheme="majorHAnsi" w:hAnsiTheme="majorHAnsi"/>
          <w:sz w:val="20"/>
          <w:szCs w:val="20"/>
        </w:rPr>
        <w:t xml:space="preserve">, 2019. </w:t>
      </w:r>
    </w:p>
    <w:p w:rsidR="00E940BE" w:rsidRPr="00F52B87" w:rsidRDefault="00E940BE" w:rsidP="00E940BE">
      <w:pPr>
        <w:ind w:firstLine="720"/>
        <w:jc w:val="both"/>
        <w:rPr>
          <w:rFonts w:asciiTheme="majorHAnsi" w:hAnsiTheme="majorHAnsi"/>
          <w:i/>
          <w:sz w:val="20"/>
          <w:szCs w:val="20"/>
        </w:rPr>
      </w:pPr>
    </w:p>
    <w:p w:rsidR="00E940BE" w:rsidRPr="00F52B87" w:rsidRDefault="00E940BE" w:rsidP="00E940BE">
      <w:pPr>
        <w:pStyle w:val="ListParagraph"/>
        <w:numPr>
          <w:ilvl w:val="0"/>
          <w:numId w:val="57"/>
        </w:numPr>
        <w:ind w:left="0" w:firstLine="720"/>
        <w:contextualSpacing/>
        <w:jc w:val="both"/>
        <w:rPr>
          <w:rFonts w:asciiTheme="majorHAnsi" w:hAnsiTheme="majorHAnsi"/>
          <w:sz w:val="20"/>
          <w:szCs w:val="20"/>
        </w:rPr>
      </w:pPr>
      <w:r w:rsidRPr="00F52B87">
        <w:rPr>
          <w:rFonts w:asciiTheme="majorHAnsi" w:hAnsiTheme="majorHAnsi"/>
          <w:sz w:val="20"/>
          <w:szCs w:val="20"/>
        </w:rPr>
        <w:t xml:space="preserve">This friendly settlement report, in keeping with Article 49 of the Convention and Article 40(5) of the Commission’s Rules of Procedure, sets forth the facts alleged by the petitioners and transcribes the friendly settlement agreement, signed on March 8, 2018 by the petitioners and representatives of the Chilean State. In addition, the agreement signed by the parties is approved and it is agreed to publish this report in the Annual Report of the IACHR to the General Assembly of the Organization of American States. </w:t>
      </w:r>
    </w:p>
    <w:p w:rsidR="00E940BE" w:rsidRPr="00F52B87" w:rsidRDefault="00E940BE" w:rsidP="00E940BE">
      <w:pPr>
        <w:ind w:firstLine="720"/>
        <w:jc w:val="both"/>
        <w:rPr>
          <w:rFonts w:asciiTheme="majorHAnsi" w:hAnsiTheme="majorHAnsi"/>
          <w:sz w:val="20"/>
          <w:szCs w:val="20"/>
        </w:rPr>
      </w:pPr>
    </w:p>
    <w:p w:rsidR="00E940BE" w:rsidRPr="00F52B87" w:rsidRDefault="00E940BE" w:rsidP="00E940BE">
      <w:pPr>
        <w:pStyle w:val="ListParagraph"/>
        <w:keepNext/>
        <w:numPr>
          <w:ilvl w:val="0"/>
          <w:numId w:val="58"/>
        </w:numPr>
        <w:pBdr>
          <w:top w:val="nil"/>
          <w:left w:val="nil"/>
          <w:bottom w:val="nil"/>
          <w:right w:val="nil"/>
          <w:between w:val="nil"/>
          <w:bar w:val="nil"/>
        </w:pBdr>
        <w:outlineLvl w:val="0"/>
        <w:rPr>
          <w:rFonts w:asciiTheme="majorHAnsi" w:eastAsia="Times New Roman" w:hAnsiTheme="majorHAnsi"/>
          <w:b/>
          <w:bCs/>
          <w:kern w:val="36"/>
          <w:sz w:val="20"/>
          <w:szCs w:val="20"/>
          <w:lang w:eastAsia="es-BO"/>
        </w:rPr>
      </w:pPr>
      <w:r w:rsidRPr="00F52B87">
        <w:rPr>
          <w:rFonts w:asciiTheme="majorHAnsi" w:eastAsia="Times New Roman" w:hAnsiTheme="majorHAnsi"/>
          <w:b/>
          <w:bCs/>
          <w:kern w:val="36"/>
          <w:sz w:val="20"/>
          <w:szCs w:val="20"/>
          <w:lang w:eastAsia="es-BO"/>
        </w:rPr>
        <w:t>ALLEGED FACTS</w:t>
      </w:r>
    </w:p>
    <w:p w:rsidR="00E940BE" w:rsidRPr="00F52B87" w:rsidRDefault="00E940BE" w:rsidP="00E940BE">
      <w:pPr>
        <w:ind w:firstLine="720"/>
        <w:rPr>
          <w:rFonts w:asciiTheme="majorHAnsi" w:eastAsia="Times New Roman" w:hAnsiTheme="majorHAnsi"/>
          <w:sz w:val="20"/>
          <w:szCs w:val="20"/>
          <w:lang w:eastAsia="es-BO"/>
        </w:rPr>
      </w:pPr>
    </w:p>
    <w:p w:rsidR="00E940BE" w:rsidRPr="00F52B87" w:rsidRDefault="00E940BE" w:rsidP="00E940BE">
      <w:pPr>
        <w:pStyle w:val="ListParagraph"/>
        <w:numPr>
          <w:ilvl w:val="0"/>
          <w:numId w:val="57"/>
        </w:numPr>
        <w:ind w:left="0" w:firstLine="720"/>
        <w:contextualSpacing/>
        <w:jc w:val="both"/>
        <w:rPr>
          <w:rFonts w:asciiTheme="majorHAnsi" w:eastAsia="Times New Roman" w:hAnsiTheme="majorHAnsi" w:cs="Times New Roman"/>
          <w:sz w:val="20"/>
          <w:szCs w:val="20"/>
          <w:lang w:eastAsia="es-BO"/>
        </w:rPr>
      </w:pPr>
      <w:r w:rsidRPr="00F52B87">
        <w:rPr>
          <w:rFonts w:asciiTheme="majorHAnsi" w:eastAsia="Times New Roman" w:hAnsiTheme="majorHAnsi" w:cs="Times New Roman"/>
          <w:sz w:val="20"/>
          <w:szCs w:val="20"/>
          <w:lang w:eastAsia="es-BO"/>
        </w:rPr>
        <w:t xml:space="preserve">The petitioners alleged that in the wake of the distribution of an additional economic benefit, which they characterized as unequal, on April 27, 1998, the date on which the day of the </w:t>
      </w:r>
      <w:proofErr w:type="spellStart"/>
      <w:r w:rsidRPr="00F52B87">
        <w:rPr>
          <w:rFonts w:asciiTheme="majorHAnsi" w:eastAsia="Times New Roman" w:hAnsiTheme="majorHAnsi" w:cs="Times New Roman"/>
          <w:sz w:val="20"/>
          <w:szCs w:val="20"/>
          <w:lang w:eastAsia="es-BO"/>
        </w:rPr>
        <w:t>Carabinero</w:t>
      </w:r>
      <w:proofErr w:type="spellEnd"/>
      <w:r w:rsidRPr="00F52B87">
        <w:rPr>
          <w:rFonts w:asciiTheme="majorHAnsi" w:eastAsia="Times New Roman" w:hAnsiTheme="majorHAnsi" w:cs="Times New Roman"/>
          <w:sz w:val="20"/>
          <w:szCs w:val="20"/>
          <w:lang w:eastAsia="es-BO"/>
        </w:rPr>
        <w:t xml:space="preserve"> is celebrated in Chile, the wives of several members of the </w:t>
      </w:r>
      <w:proofErr w:type="spellStart"/>
      <w:r w:rsidRPr="00F52B87">
        <w:rPr>
          <w:rFonts w:asciiTheme="majorHAnsi" w:eastAsia="Times New Roman" w:hAnsiTheme="majorHAnsi" w:cs="Times New Roman"/>
          <w:sz w:val="20"/>
          <w:szCs w:val="20"/>
          <w:lang w:eastAsia="es-BO"/>
        </w:rPr>
        <w:t>Carabineros</w:t>
      </w:r>
      <w:proofErr w:type="spellEnd"/>
      <w:r w:rsidRPr="00F52B87">
        <w:rPr>
          <w:rFonts w:asciiTheme="majorHAnsi" w:eastAsia="Times New Roman" w:hAnsiTheme="majorHAnsi" w:cs="Times New Roman"/>
          <w:sz w:val="20"/>
          <w:szCs w:val="20"/>
          <w:lang w:eastAsia="es-BO"/>
        </w:rPr>
        <w:t xml:space="preserve"> who were negatively impacted by that </w:t>
      </w:r>
      <w:r w:rsidRPr="00F52B87">
        <w:rPr>
          <w:rFonts w:asciiTheme="majorHAnsi" w:eastAsia="Times New Roman" w:hAnsiTheme="majorHAnsi" w:cs="Times New Roman"/>
          <w:sz w:val="20"/>
          <w:szCs w:val="20"/>
          <w:lang w:eastAsia="es-BO"/>
        </w:rPr>
        <w:lastRenderedPageBreak/>
        <w:t xml:space="preserve">distribution staged a protest. They added that none of the wives of the alleged victims was present at that demonstration. They also indicated that after the protest the General Director of </w:t>
      </w:r>
      <w:proofErr w:type="spellStart"/>
      <w:r w:rsidRPr="00F52B87">
        <w:rPr>
          <w:rFonts w:asciiTheme="majorHAnsi" w:eastAsia="Times New Roman" w:hAnsiTheme="majorHAnsi" w:cs="Times New Roman"/>
          <w:sz w:val="20"/>
          <w:szCs w:val="20"/>
          <w:lang w:eastAsia="es-BO"/>
        </w:rPr>
        <w:t>Carabineros</w:t>
      </w:r>
      <w:proofErr w:type="spellEnd"/>
      <w:r w:rsidRPr="00F52B87">
        <w:rPr>
          <w:rFonts w:asciiTheme="majorHAnsi" w:eastAsia="Times New Roman" w:hAnsiTheme="majorHAnsi" w:cs="Times New Roman"/>
          <w:sz w:val="20"/>
          <w:szCs w:val="20"/>
          <w:lang w:eastAsia="es-BO"/>
        </w:rPr>
        <w:t xml:space="preserve">, in various statements, stated that the husbands of the women implicated in the protest would be </w:t>
      </w:r>
      <w:r w:rsidRPr="00F52B87">
        <w:rPr>
          <w:rFonts w:asciiTheme="majorHAnsi" w:eastAsia="Times New Roman" w:hAnsiTheme="majorHAnsi" w:cs="Times New Roman"/>
          <w:color w:val="000000" w:themeColor="text1"/>
          <w:sz w:val="20"/>
          <w:szCs w:val="20"/>
          <w:lang w:eastAsia="es-BO"/>
        </w:rPr>
        <w:t>accused of sedition [</w:t>
      </w:r>
      <w:proofErr w:type="spellStart"/>
      <w:r w:rsidRPr="00F52B87">
        <w:rPr>
          <w:rFonts w:asciiTheme="majorHAnsi" w:eastAsia="Times New Roman" w:hAnsiTheme="majorHAnsi" w:cs="Times New Roman"/>
          <w:i/>
          <w:color w:val="000000" w:themeColor="text1"/>
          <w:sz w:val="20"/>
          <w:szCs w:val="20"/>
          <w:lang w:eastAsia="es-BO"/>
        </w:rPr>
        <w:t>sedición</w:t>
      </w:r>
      <w:proofErr w:type="spellEnd"/>
      <w:r w:rsidRPr="00F52B87">
        <w:rPr>
          <w:rFonts w:asciiTheme="majorHAnsi" w:eastAsia="Times New Roman" w:hAnsiTheme="majorHAnsi" w:cs="Times New Roman"/>
          <w:i/>
          <w:color w:val="000000" w:themeColor="text1"/>
          <w:sz w:val="20"/>
          <w:szCs w:val="20"/>
          <w:lang w:eastAsia="es-BO"/>
        </w:rPr>
        <w:t xml:space="preserve"> </w:t>
      </w:r>
      <w:proofErr w:type="spellStart"/>
      <w:r w:rsidRPr="00F52B87">
        <w:rPr>
          <w:rFonts w:asciiTheme="majorHAnsi" w:eastAsia="Times New Roman" w:hAnsiTheme="majorHAnsi" w:cs="Times New Roman"/>
          <w:i/>
          <w:color w:val="000000" w:themeColor="text1"/>
          <w:sz w:val="20"/>
          <w:szCs w:val="20"/>
          <w:lang w:eastAsia="es-BO"/>
        </w:rPr>
        <w:t>impropia</w:t>
      </w:r>
      <w:proofErr w:type="spellEnd"/>
      <w:r w:rsidRPr="00F52B87">
        <w:rPr>
          <w:rFonts w:asciiTheme="majorHAnsi" w:eastAsia="Times New Roman" w:hAnsiTheme="majorHAnsi" w:cs="Times New Roman"/>
          <w:color w:val="000000" w:themeColor="text1"/>
          <w:sz w:val="20"/>
          <w:szCs w:val="20"/>
          <w:lang w:eastAsia="es-BO"/>
        </w:rPr>
        <w:t>]</w:t>
      </w:r>
      <w:r w:rsidRPr="00F52B87">
        <w:rPr>
          <w:rFonts w:asciiTheme="majorHAnsi" w:eastAsia="Times New Roman" w:hAnsiTheme="majorHAnsi" w:cs="Times New Roman"/>
          <w:i/>
          <w:color w:val="000000" w:themeColor="text1"/>
          <w:sz w:val="20"/>
          <w:szCs w:val="20"/>
          <w:lang w:eastAsia="es-BO"/>
        </w:rPr>
        <w:t>.</w:t>
      </w:r>
      <w:r w:rsidRPr="00F52B87">
        <w:rPr>
          <w:rFonts w:asciiTheme="majorHAnsi" w:eastAsia="Times New Roman" w:hAnsiTheme="majorHAnsi" w:cs="Times New Roman"/>
          <w:color w:val="000000" w:themeColor="text1"/>
          <w:sz w:val="20"/>
          <w:szCs w:val="20"/>
          <w:lang w:eastAsia="es-BO"/>
        </w:rPr>
        <w:t xml:space="preserve"> </w:t>
      </w:r>
      <w:r w:rsidRPr="00F52B87">
        <w:rPr>
          <w:rFonts w:asciiTheme="majorHAnsi" w:eastAsia="Times New Roman" w:hAnsiTheme="majorHAnsi" w:cs="Times New Roman"/>
          <w:sz w:val="20"/>
          <w:szCs w:val="20"/>
          <w:lang w:eastAsia="es-BO"/>
        </w:rPr>
        <w:t xml:space="preserve">The petitioners said that the idea was to discharge these officials for alleged offenses committed by their </w:t>
      </w:r>
      <w:r w:rsidRPr="00F52B87">
        <w:rPr>
          <w:rFonts w:asciiTheme="majorHAnsi" w:eastAsia="Times New Roman" w:hAnsiTheme="majorHAnsi" w:cs="Times New Roman"/>
          <w:color w:val="000000" w:themeColor="text1"/>
          <w:sz w:val="20"/>
          <w:szCs w:val="20"/>
          <w:lang w:eastAsia="es-BO"/>
        </w:rPr>
        <w:t xml:space="preserve">wives. They alleged that the petitioners </w:t>
      </w:r>
      <w:r w:rsidRPr="00F52B87">
        <w:rPr>
          <w:rFonts w:asciiTheme="majorHAnsi" w:eastAsia="Times New Roman" w:hAnsiTheme="majorHAnsi" w:cs="Times New Roman"/>
          <w:sz w:val="20"/>
          <w:szCs w:val="20"/>
          <w:lang w:eastAsia="es-BO"/>
        </w:rPr>
        <w:t xml:space="preserve">were evaluated in List 4 of elimination, and subsequently dismissed, even though they had been evaluated in List 1, for merit, a short time earlier. </w:t>
      </w:r>
    </w:p>
    <w:p w:rsidR="00E940BE" w:rsidRPr="00F52B87" w:rsidRDefault="00E940BE" w:rsidP="00E940BE">
      <w:pPr>
        <w:ind w:firstLine="720"/>
        <w:jc w:val="both"/>
        <w:rPr>
          <w:rFonts w:asciiTheme="majorHAnsi" w:eastAsia="Times New Roman" w:hAnsiTheme="majorHAnsi"/>
          <w:sz w:val="20"/>
          <w:szCs w:val="20"/>
          <w:lang w:eastAsia="es-BO"/>
        </w:rPr>
      </w:pPr>
    </w:p>
    <w:p w:rsidR="00E940BE" w:rsidRPr="00F52B87" w:rsidRDefault="00E940BE" w:rsidP="00E940BE">
      <w:pPr>
        <w:pStyle w:val="ListParagraph"/>
        <w:numPr>
          <w:ilvl w:val="0"/>
          <w:numId w:val="57"/>
        </w:numPr>
        <w:pBdr>
          <w:top w:val="nil"/>
          <w:left w:val="nil"/>
          <w:bottom w:val="nil"/>
          <w:right w:val="nil"/>
          <w:between w:val="nil"/>
          <w:bar w:val="nil"/>
        </w:pBdr>
        <w:ind w:left="0" w:firstLine="720"/>
        <w:jc w:val="both"/>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t xml:space="preserve">On referring to admissibility the petitioners argued that they exhausted the remedies available in the Chilean judicial system. They indicated that on July 18, 1998 they filed motions for protection </w:t>
      </w:r>
      <w:r w:rsidRPr="00F52B87">
        <w:rPr>
          <w:rFonts w:asciiTheme="majorHAnsi" w:eastAsia="Times New Roman" w:hAnsiTheme="majorHAnsi"/>
          <w:color w:val="000000" w:themeColor="text1"/>
          <w:sz w:val="20"/>
          <w:szCs w:val="20"/>
          <w:lang w:eastAsia="es-BO"/>
        </w:rPr>
        <w:t>[</w:t>
      </w:r>
      <w:proofErr w:type="spellStart"/>
      <w:r w:rsidRPr="00F52B87">
        <w:rPr>
          <w:rFonts w:asciiTheme="majorHAnsi" w:eastAsia="Times New Roman" w:hAnsiTheme="majorHAnsi"/>
          <w:i/>
          <w:iCs/>
          <w:color w:val="000000" w:themeColor="text1"/>
          <w:sz w:val="20"/>
          <w:szCs w:val="20"/>
          <w:lang w:eastAsia="es-BO"/>
        </w:rPr>
        <w:t>recursos</w:t>
      </w:r>
      <w:proofErr w:type="spellEnd"/>
      <w:r w:rsidRPr="00F52B87">
        <w:rPr>
          <w:rFonts w:asciiTheme="majorHAnsi" w:eastAsia="Times New Roman" w:hAnsiTheme="majorHAnsi"/>
          <w:i/>
          <w:iCs/>
          <w:color w:val="000000" w:themeColor="text1"/>
          <w:sz w:val="20"/>
          <w:szCs w:val="20"/>
          <w:lang w:eastAsia="es-BO"/>
        </w:rPr>
        <w:t xml:space="preserve"> de </w:t>
      </w:r>
      <w:proofErr w:type="spellStart"/>
      <w:r w:rsidRPr="00F52B87">
        <w:rPr>
          <w:rFonts w:asciiTheme="majorHAnsi" w:eastAsia="Times New Roman" w:hAnsiTheme="majorHAnsi"/>
          <w:i/>
          <w:iCs/>
          <w:color w:val="000000" w:themeColor="text1"/>
          <w:sz w:val="20"/>
          <w:szCs w:val="20"/>
          <w:lang w:eastAsia="es-BO"/>
        </w:rPr>
        <w:t>protección</w:t>
      </w:r>
      <w:proofErr w:type="spellEnd"/>
      <w:r w:rsidRPr="00F52B87">
        <w:rPr>
          <w:rFonts w:asciiTheme="majorHAnsi" w:eastAsia="Times New Roman" w:hAnsiTheme="majorHAnsi"/>
          <w:color w:val="000000" w:themeColor="text1"/>
          <w:sz w:val="20"/>
          <w:szCs w:val="20"/>
          <w:lang w:eastAsia="es-BO"/>
        </w:rPr>
        <w:t xml:space="preserve">] </w:t>
      </w:r>
      <w:r w:rsidRPr="00F52B87">
        <w:rPr>
          <w:rFonts w:asciiTheme="majorHAnsi" w:eastAsia="Times New Roman" w:hAnsiTheme="majorHAnsi"/>
          <w:sz w:val="20"/>
          <w:szCs w:val="20"/>
          <w:lang w:eastAsia="es-BO"/>
        </w:rPr>
        <w:t xml:space="preserve">with the Court of Appeals of Santiago, against the dismissals. They indicated that on January 28, 1999 the Court of Appeals rejected the motion, arguing that it was not its role to get into an examination of the considerations taken into account by the Evaluation Boards to determine the evaluation that produced as a result the dismissal from the </w:t>
      </w:r>
      <w:proofErr w:type="spellStart"/>
      <w:r w:rsidRPr="00F52B87">
        <w:rPr>
          <w:rFonts w:asciiTheme="majorHAnsi" w:eastAsia="Times New Roman" w:hAnsiTheme="majorHAnsi"/>
          <w:sz w:val="20"/>
          <w:szCs w:val="20"/>
          <w:lang w:eastAsia="es-BO"/>
        </w:rPr>
        <w:t>Carabineros</w:t>
      </w:r>
      <w:proofErr w:type="spellEnd"/>
      <w:r w:rsidRPr="00F52B87">
        <w:rPr>
          <w:rFonts w:asciiTheme="majorHAnsi" w:eastAsia="Times New Roman" w:hAnsiTheme="majorHAnsi"/>
          <w:sz w:val="20"/>
          <w:szCs w:val="20"/>
          <w:lang w:eastAsia="es-BO"/>
        </w:rPr>
        <w:t xml:space="preserve">, and added that, if it were to do so, it would be sitting as a review body. The petitioners argued that this ruling was affirmed by the Supreme Court of Chile on April 28, 1999, when it upheld the judgment of the Court of Appeals, stating that “it appears from the record that the evaluation process in respect of the appellants unfolded with full observance of the rules of procedure and time frames established in the regulation.” </w:t>
      </w:r>
      <w:bookmarkStart w:id="4" w:name="_ftnref4"/>
      <w:bookmarkEnd w:id="4"/>
    </w:p>
    <w:p w:rsidR="00E940BE" w:rsidRPr="00F52B87" w:rsidRDefault="00E940BE" w:rsidP="00E940BE">
      <w:pPr>
        <w:ind w:firstLine="720"/>
        <w:jc w:val="both"/>
        <w:rPr>
          <w:rFonts w:asciiTheme="majorHAnsi" w:eastAsia="Times New Roman" w:hAnsiTheme="majorHAnsi"/>
          <w:sz w:val="20"/>
          <w:szCs w:val="20"/>
          <w:lang w:eastAsia="es-BO"/>
        </w:rPr>
      </w:pPr>
    </w:p>
    <w:p w:rsidR="00E940BE" w:rsidRPr="00F52B87" w:rsidRDefault="00E940BE" w:rsidP="00E940BE">
      <w:pPr>
        <w:pStyle w:val="ListParagraph"/>
        <w:numPr>
          <w:ilvl w:val="0"/>
          <w:numId w:val="57"/>
        </w:numPr>
        <w:pBdr>
          <w:top w:val="nil"/>
          <w:left w:val="nil"/>
          <w:bottom w:val="nil"/>
          <w:right w:val="nil"/>
          <w:between w:val="nil"/>
          <w:bar w:val="nil"/>
        </w:pBdr>
        <w:ind w:left="0" w:firstLine="720"/>
        <w:jc w:val="both"/>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t xml:space="preserve">The petitioners argued that the alleged victims did not have access to the record, nor did they participate in it in any way; as a result of the impossibility of producing or impugning evidence they were unable to make use of the right to defense. They added that there was not a meticulous investigation since had it been otherwise it would have been shown, for example, that Rosa </w:t>
      </w:r>
      <w:proofErr w:type="spellStart"/>
      <w:r w:rsidRPr="00F52B87">
        <w:rPr>
          <w:rFonts w:asciiTheme="majorHAnsi" w:eastAsia="Times New Roman" w:hAnsiTheme="majorHAnsi"/>
          <w:sz w:val="20"/>
          <w:szCs w:val="20"/>
          <w:lang w:eastAsia="es-BO"/>
        </w:rPr>
        <w:t>Páez</w:t>
      </w:r>
      <w:proofErr w:type="spellEnd"/>
      <w:r w:rsidRPr="00F52B87">
        <w:rPr>
          <w:rFonts w:asciiTheme="majorHAnsi" w:eastAsia="Times New Roman" w:hAnsiTheme="majorHAnsi"/>
          <w:sz w:val="20"/>
          <w:szCs w:val="20"/>
          <w:lang w:eastAsia="es-BO"/>
        </w:rPr>
        <w:t xml:space="preserve"> Valdés, the wife of second corporal José Alejandro </w:t>
      </w:r>
      <w:proofErr w:type="spellStart"/>
      <w:r w:rsidRPr="00F52B87">
        <w:rPr>
          <w:rFonts w:asciiTheme="majorHAnsi" w:eastAsia="Times New Roman" w:hAnsiTheme="majorHAnsi"/>
          <w:sz w:val="20"/>
          <w:szCs w:val="20"/>
          <w:lang w:eastAsia="es-BO"/>
        </w:rPr>
        <w:t>Villagrán</w:t>
      </w:r>
      <w:proofErr w:type="spellEnd"/>
      <w:r w:rsidRPr="00F52B87">
        <w:rPr>
          <w:rFonts w:asciiTheme="majorHAnsi" w:eastAsia="Times New Roman" w:hAnsiTheme="majorHAnsi"/>
          <w:sz w:val="20"/>
          <w:szCs w:val="20"/>
          <w:lang w:eastAsia="es-BO"/>
        </w:rPr>
        <w:t xml:space="preserve"> </w:t>
      </w:r>
      <w:proofErr w:type="spellStart"/>
      <w:r w:rsidRPr="00F52B87">
        <w:rPr>
          <w:rFonts w:asciiTheme="majorHAnsi" w:eastAsia="Times New Roman" w:hAnsiTheme="majorHAnsi"/>
          <w:sz w:val="20"/>
          <w:szCs w:val="20"/>
          <w:lang w:eastAsia="es-BO"/>
        </w:rPr>
        <w:t>Guzmán</w:t>
      </w:r>
      <w:proofErr w:type="spellEnd"/>
      <w:r w:rsidRPr="00F52B87">
        <w:rPr>
          <w:rFonts w:asciiTheme="majorHAnsi" w:eastAsia="Times New Roman" w:hAnsiTheme="majorHAnsi"/>
          <w:sz w:val="20"/>
          <w:szCs w:val="20"/>
          <w:lang w:eastAsia="es-BO"/>
        </w:rPr>
        <w:t xml:space="preserve">, was at the “Hospital of </w:t>
      </w:r>
      <w:proofErr w:type="spellStart"/>
      <w:r w:rsidRPr="00F52B87">
        <w:rPr>
          <w:rFonts w:asciiTheme="majorHAnsi" w:eastAsia="Times New Roman" w:hAnsiTheme="majorHAnsi"/>
          <w:sz w:val="20"/>
          <w:szCs w:val="20"/>
          <w:lang w:eastAsia="es-BO"/>
        </w:rPr>
        <w:t>Carabineros</w:t>
      </w:r>
      <w:proofErr w:type="spellEnd"/>
      <w:r w:rsidRPr="00F52B87">
        <w:rPr>
          <w:rFonts w:asciiTheme="majorHAnsi" w:eastAsia="Times New Roman" w:hAnsiTheme="majorHAnsi"/>
          <w:sz w:val="20"/>
          <w:szCs w:val="20"/>
          <w:lang w:eastAsia="es-BO"/>
        </w:rPr>
        <w:t xml:space="preserve">” receiving medical care on the day and at the time that the demonstration was held. In addition, they indicated that it had been shown that official Víctor Alejandro Lago Maldonado’s signature was falsified in the document in which he was purportedly notified of his evaluation. They said that at that time he was on medical leave from </w:t>
      </w:r>
      <w:proofErr w:type="spellStart"/>
      <w:r w:rsidRPr="00F52B87">
        <w:rPr>
          <w:rFonts w:asciiTheme="majorHAnsi" w:eastAsia="Times New Roman" w:hAnsiTheme="majorHAnsi"/>
          <w:sz w:val="20"/>
          <w:szCs w:val="20"/>
          <w:lang w:eastAsia="es-BO"/>
        </w:rPr>
        <w:t>Carabineros</w:t>
      </w:r>
      <w:proofErr w:type="spellEnd"/>
      <w:r w:rsidRPr="00F52B87">
        <w:rPr>
          <w:rFonts w:asciiTheme="majorHAnsi" w:eastAsia="Times New Roman" w:hAnsiTheme="majorHAnsi"/>
          <w:sz w:val="20"/>
          <w:szCs w:val="20"/>
          <w:lang w:eastAsia="es-BO"/>
        </w:rPr>
        <w:t xml:space="preserve"> with one hand in a cast.   </w:t>
      </w:r>
    </w:p>
    <w:p w:rsidR="00E940BE" w:rsidRPr="00F52B87" w:rsidRDefault="00E940BE" w:rsidP="00E940BE">
      <w:pPr>
        <w:ind w:firstLine="720"/>
        <w:jc w:val="both"/>
        <w:rPr>
          <w:rFonts w:asciiTheme="majorHAnsi" w:eastAsia="Times New Roman" w:hAnsiTheme="majorHAnsi"/>
          <w:sz w:val="20"/>
          <w:szCs w:val="20"/>
          <w:lang w:eastAsia="es-BO"/>
        </w:rPr>
      </w:pPr>
    </w:p>
    <w:p w:rsidR="00E940BE" w:rsidRPr="00F52B87" w:rsidRDefault="00E940BE" w:rsidP="00E940BE">
      <w:pPr>
        <w:pStyle w:val="ListParagraph"/>
        <w:numPr>
          <w:ilvl w:val="0"/>
          <w:numId w:val="57"/>
        </w:numPr>
        <w:pBdr>
          <w:top w:val="nil"/>
          <w:left w:val="nil"/>
          <w:bottom w:val="nil"/>
          <w:right w:val="nil"/>
          <w:between w:val="nil"/>
          <w:bar w:val="nil"/>
        </w:pBdr>
        <w:ind w:left="0" w:firstLine="720"/>
        <w:jc w:val="both"/>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t xml:space="preserve">The petitioners considered that “civil liability is eminently personal,” and therefore it was not in order for the members of the </w:t>
      </w:r>
      <w:proofErr w:type="spellStart"/>
      <w:r w:rsidRPr="00F52B87">
        <w:rPr>
          <w:rFonts w:asciiTheme="majorHAnsi" w:eastAsia="Times New Roman" w:hAnsiTheme="majorHAnsi"/>
          <w:sz w:val="20"/>
          <w:szCs w:val="20"/>
          <w:lang w:eastAsia="es-BO"/>
        </w:rPr>
        <w:t>Carabineros</w:t>
      </w:r>
      <w:proofErr w:type="spellEnd"/>
      <w:r w:rsidRPr="00F52B87">
        <w:rPr>
          <w:rFonts w:asciiTheme="majorHAnsi" w:eastAsia="Times New Roman" w:hAnsiTheme="majorHAnsi"/>
          <w:sz w:val="20"/>
          <w:szCs w:val="20"/>
          <w:lang w:eastAsia="es-BO"/>
        </w:rPr>
        <w:t xml:space="preserve"> to be sanctioned for the acts of other persons, in this case their wives. According to the petitioners, in any event the matter should have been decided “by the appropriate courts, i.e. the regular courts of justice, and not by organs or procedures of </w:t>
      </w:r>
      <w:proofErr w:type="spellStart"/>
      <w:r w:rsidRPr="00F52B87">
        <w:rPr>
          <w:rFonts w:asciiTheme="majorHAnsi" w:eastAsia="Times New Roman" w:hAnsiTheme="majorHAnsi"/>
          <w:sz w:val="20"/>
          <w:szCs w:val="20"/>
          <w:lang w:eastAsia="es-BO"/>
        </w:rPr>
        <w:t>Carabineros</w:t>
      </w:r>
      <w:proofErr w:type="spellEnd"/>
      <w:r w:rsidRPr="00F52B87">
        <w:rPr>
          <w:rFonts w:asciiTheme="majorHAnsi" w:eastAsia="Times New Roman" w:hAnsiTheme="majorHAnsi"/>
          <w:sz w:val="20"/>
          <w:szCs w:val="20"/>
          <w:lang w:eastAsia="es-BO"/>
        </w:rPr>
        <w:t xml:space="preserve"> or any other institution.”</w:t>
      </w:r>
      <w:bookmarkStart w:id="5" w:name="_ftnref5"/>
      <w:bookmarkEnd w:id="5"/>
    </w:p>
    <w:p w:rsidR="00E940BE" w:rsidRPr="00F52B87" w:rsidRDefault="00E940BE" w:rsidP="00E940BE">
      <w:pPr>
        <w:ind w:firstLine="720"/>
        <w:jc w:val="both"/>
        <w:rPr>
          <w:rFonts w:asciiTheme="majorHAnsi" w:eastAsia="Times New Roman" w:hAnsiTheme="majorHAnsi"/>
          <w:sz w:val="20"/>
          <w:szCs w:val="20"/>
          <w:lang w:eastAsia="es-BO"/>
        </w:rPr>
      </w:pPr>
    </w:p>
    <w:p w:rsidR="00E940BE" w:rsidRPr="00F52B87" w:rsidRDefault="00E940BE" w:rsidP="00E940BE">
      <w:pPr>
        <w:pStyle w:val="ListParagraph"/>
        <w:numPr>
          <w:ilvl w:val="0"/>
          <w:numId w:val="57"/>
        </w:numPr>
        <w:pBdr>
          <w:top w:val="nil"/>
          <w:left w:val="nil"/>
          <w:bottom w:val="nil"/>
          <w:right w:val="nil"/>
          <w:between w:val="nil"/>
          <w:bar w:val="nil"/>
        </w:pBdr>
        <w:ind w:left="0" w:firstLine="720"/>
        <w:jc w:val="both"/>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t>Finally, the petitioners noted that the evaluation process was done “with an interest in persecuting, silencing, and repressing legitimate demands and aspirations pursued by third persons not associated with the appellants, thus that evaluation process has turned out to be irrational, unfair, disproportionate, inequitable, it did not proceed in good faith, and there has been abuse of authority.”</w:t>
      </w:r>
      <w:bookmarkStart w:id="6" w:name="_ftnref6"/>
      <w:bookmarkEnd w:id="6"/>
      <w:r w:rsidRPr="00F52B87">
        <w:rPr>
          <w:rFonts w:asciiTheme="majorHAnsi" w:eastAsia="Times New Roman" w:hAnsiTheme="majorHAnsi"/>
          <w:sz w:val="20"/>
          <w:szCs w:val="20"/>
          <w:lang w:eastAsia="es-BO"/>
        </w:rPr>
        <w:t xml:space="preserve"> They indicated that even though it is in the record that the officials of </w:t>
      </w:r>
      <w:proofErr w:type="spellStart"/>
      <w:r w:rsidRPr="00F52B87">
        <w:rPr>
          <w:rFonts w:asciiTheme="majorHAnsi" w:eastAsia="Times New Roman" w:hAnsiTheme="majorHAnsi"/>
          <w:sz w:val="20"/>
          <w:szCs w:val="20"/>
          <w:lang w:eastAsia="es-BO"/>
        </w:rPr>
        <w:t>Carabineros</w:t>
      </w:r>
      <w:proofErr w:type="spellEnd"/>
      <w:r w:rsidRPr="00F52B87">
        <w:rPr>
          <w:rFonts w:asciiTheme="majorHAnsi" w:eastAsia="Times New Roman" w:hAnsiTheme="majorHAnsi"/>
          <w:sz w:val="20"/>
          <w:szCs w:val="20"/>
          <w:lang w:eastAsia="es-BO"/>
        </w:rPr>
        <w:t xml:space="preserve"> did not participate at all in the activities related to the demonstration of April 27, 1998, they were subjected to illegal and arbitrary action since their evaluation that put them on the Exclusion List was done without any basis, without due process, and without any written statement of the reason for the lower evaluation. </w:t>
      </w:r>
    </w:p>
    <w:p w:rsidR="00E940BE" w:rsidRPr="00F52B87" w:rsidRDefault="00E940BE" w:rsidP="00E940BE">
      <w:pPr>
        <w:ind w:firstLine="720"/>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t> </w:t>
      </w:r>
    </w:p>
    <w:p w:rsidR="00E940BE" w:rsidRPr="00F52B87" w:rsidRDefault="00E940BE" w:rsidP="00E940BE">
      <w:pPr>
        <w:pStyle w:val="ListParagraph"/>
        <w:numPr>
          <w:ilvl w:val="0"/>
          <w:numId w:val="58"/>
        </w:numPr>
        <w:pBdr>
          <w:top w:val="nil"/>
          <w:left w:val="nil"/>
          <w:bottom w:val="nil"/>
          <w:right w:val="nil"/>
          <w:between w:val="nil"/>
          <w:bar w:val="nil"/>
        </w:pBdr>
        <w:rPr>
          <w:rFonts w:asciiTheme="majorHAnsi" w:hAnsiTheme="majorHAnsi"/>
          <w:b/>
          <w:sz w:val="20"/>
          <w:szCs w:val="20"/>
        </w:rPr>
      </w:pPr>
      <w:r w:rsidRPr="00F52B87">
        <w:rPr>
          <w:rFonts w:asciiTheme="majorHAnsi" w:hAnsiTheme="majorHAnsi"/>
          <w:b/>
          <w:sz w:val="20"/>
          <w:szCs w:val="20"/>
        </w:rPr>
        <w:t xml:space="preserve">FRIENDLY SETTLEMENT </w:t>
      </w:r>
    </w:p>
    <w:p w:rsidR="00E940BE" w:rsidRPr="00F52B87" w:rsidRDefault="00E940BE" w:rsidP="00E940BE">
      <w:pPr>
        <w:ind w:firstLine="720"/>
        <w:jc w:val="both"/>
        <w:rPr>
          <w:rFonts w:asciiTheme="majorHAnsi" w:hAnsiTheme="majorHAnsi"/>
          <w:b/>
          <w:sz w:val="20"/>
          <w:szCs w:val="20"/>
        </w:rPr>
      </w:pPr>
    </w:p>
    <w:p w:rsidR="00E940BE" w:rsidRPr="00F52B87" w:rsidRDefault="00E940BE" w:rsidP="00E940BE">
      <w:pPr>
        <w:pStyle w:val="ListParagraph"/>
        <w:numPr>
          <w:ilvl w:val="0"/>
          <w:numId w:val="57"/>
        </w:numPr>
        <w:pBdr>
          <w:top w:val="nil"/>
          <w:left w:val="nil"/>
          <w:bottom w:val="nil"/>
          <w:right w:val="nil"/>
          <w:between w:val="nil"/>
          <w:bar w:val="nil"/>
        </w:pBdr>
        <w:ind w:left="0" w:firstLine="720"/>
        <w:jc w:val="both"/>
        <w:rPr>
          <w:rFonts w:asciiTheme="majorHAnsi" w:hAnsiTheme="majorHAnsi" w:cs="Calibri"/>
          <w:sz w:val="20"/>
          <w:szCs w:val="20"/>
        </w:rPr>
      </w:pPr>
      <w:r w:rsidRPr="00F52B87">
        <w:rPr>
          <w:rFonts w:asciiTheme="majorHAnsi" w:hAnsiTheme="majorHAnsi" w:cs="Calibri"/>
          <w:sz w:val="20"/>
          <w:szCs w:val="20"/>
        </w:rPr>
        <w:t xml:space="preserve">On March 8, 2018, in Santiago, Chile, the State, represented by </w:t>
      </w:r>
      <w:proofErr w:type="spellStart"/>
      <w:r w:rsidRPr="00F52B87">
        <w:rPr>
          <w:rFonts w:asciiTheme="majorHAnsi" w:hAnsiTheme="majorHAnsi" w:cs="Calibri"/>
          <w:sz w:val="20"/>
          <w:szCs w:val="20"/>
        </w:rPr>
        <w:t>Heraldo</w:t>
      </w:r>
      <w:proofErr w:type="spellEnd"/>
      <w:r w:rsidRPr="00F52B87">
        <w:rPr>
          <w:rFonts w:asciiTheme="majorHAnsi" w:hAnsiTheme="majorHAnsi" w:cs="Calibri"/>
          <w:sz w:val="20"/>
          <w:szCs w:val="20"/>
        </w:rPr>
        <w:t xml:space="preserve"> Muñoz Valenzuela, and the petitioners, represented by attorney </w:t>
      </w:r>
      <w:proofErr w:type="spellStart"/>
      <w:r w:rsidRPr="00F52B87">
        <w:rPr>
          <w:rFonts w:asciiTheme="majorHAnsi" w:hAnsiTheme="majorHAnsi" w:cs="Calibri"/>
          <w:sz w:val="20"/>
          <w:szCs w:val="20"/>
        </w:rPr>
        <w:t>Fabián</w:t>
      </w:r>
      <w:proofErr w:type="spellEnd"/>
      <w:r w:rsidRPr="00F52B87">
        <w:rPr>
          <w:rFonts w:asciiTheme="majorHAnsi" w:hAnsiTheme="majorHAnsi" w:cs="Calibri"/>
          <w:sz w:val="20"/>
          <w:szCs w:val="20"/>
        </w:rPr>
        <w:t xml:space="preserve"> Pacheco </w:t>
      </w:r>
      <w:proofErr w:type="spellStart"/>
      <w:r w:rsidRPr="00F52B87">
        <w:rPr>
          <w:rFonts w:asciiTheme="majorHAnsi" w:hAnsiTheme="majorHAnsi" w:cs="Calibri"/>
          <w:sz w:val="20"/>
          <w:szCs w:val="20"/>
        </w:rPr>
        <w:t>Ilabaca</w:t>
      </w:r>
      <w:proofErr w:type="spellEnd"/>
      <w:r w:rsidRPr="00F52B87">
        <w:rPr>
          <w:rFonts w:asciiTheme="majorHAnsi" w:hAnsiTheme="majorHAnsi" w:cs="Calibri"/>
          <w:sz w:val="20"/>
          <w:szCs w:val="20"/>
        </w:rPr>
        <w:t xml:space="preserve">, signed a Friendly Settlement Agreement whose text reads as follows: </w:t>
      </w:r>
    </w:p>
    <w:p w:rsidR="00E940BE" w:rsidRPr="00F52B87" w:rsidRDefault="00E940BE" w:rsidP="00E940BE">
      <w:pPr>
        <w:ind w:firstLine="720"/>
        <w:rPr>
          <w:rFonts w:asciiTheme="majorHAnsi" w:hAnsiTheme="majorHAnsi" w:cs="Calibri"/>
          <w:sz w:val="20"/>
          <w:szCs w:val="20"/>
        </w:rPr>
      </w:pPr>
    </w:p>
    <w:p w:rsidR="00E940BE" w:rsidRPr="00F52B87" w:rsidRDefault="00E940BE" w:rsidP="00E940BE">
      <w:pPr>
        <w:ind w:left="720" w:right="720"/>
        <w:jc w:val="center"/>
        <w:rPr>
          <w:rFonts w:asciiTheme="majorHAnsi" w:hAnsiTheme="majorHAnsi"/>
          <w:b/>
          <w:sz w:val="20"/>
          <w:szCs w:val="20"/>
        </w:rPr>
      </w:pPr>
      <w:r w:rsidRPr="00F52B87">
        <w:rPr>
          <w:rFonts w:asciiTheme="majorHAnsi" w:hAnsiTheme="majorHAnsi"/>
          <w:b/>
          <w:sz w:val="20"/>
          <w:szCs w:val="20"/>
        </w:rPr>
        <w:t xml:space="preserve">FRIENDLY SETTLEMENT AGREEMENT </w:t>
      </w:r>
    </w:p>
    <w:p w:rsidR="00E940BE" w:rsidRPr="00F52B87" w:rsidRDefault="00E940BE" w:rsidP="00E940BE">
      <w:pPr>
        <w:tabs>
          <w:tab w:val="center" w:pos="4680"/>
          <w:tab w:val="center" w:pos="5400"/>
        </w:tabs>
        <w:suppressAutoHyphens/>
        <w:jc w:val="center"/>
        <w:rPr>
          <w:rFonts w:asciiTheme="majorHAnsi" w:hAnsiTheme="majorHAnsi"/>
          <w:b/>
          <w:sz w:val="20"/>
          <w:szCs w:val="20"/>
        </w:rPr>
      </w:pPr>
      <w:r w:rsidRPr="00F52B87">
        <w:rPr>
          <w:rFonts w:asciiTheme="majorHAnsi" w:hAnsiTheme="majorHAnsi"/>
          <w:b/>
          <w:sz w:val="20"/>
          <w:szCs w:val="20"/>
        </w:rPr>
        <w:t>CASE No. 12.190</w:t>
      </w:r>
    </w:p>
    <w:p w:rsidR="00E940BE" w:rsidRPr="00F52B87" w:rsidRDefault="00E940BE" w:rsidP="00E940BE">
      <w:pPr>
        <w:tabs>
          <w:tab w:val="center" w:pos="4680"/>
          <w:tab w:val="center" w:pos="5400"/>
        </w:tabs>
        <w:suppressAutoHyphens/>
        <w:jc w:val="center"/>
        <w:rPr>
          <w:rFonts w:asciiTheme="majorHAnsi" w:hAnsiTheme="majorHAnsi"/>
          <w:b/>
          <w:color w:val="000000" w:themeColor="text1"/>
          <w:sz w:val="20"/>
          <w:szCs w:val="20"/>
        </w:rPr>
      </w:pPr>
      <w:r w:rsidRPr="00F52B87">
        <w:rPr>
          <w:rFonts w:asciiTheme="majorHAnsi" w:hAnsiTheme="majorHAnsi"/>
          <w:b/>
          <w:color w:val="000000" w:themeColor="text1"/>
          <w:sz w:val="20"/>
          <w:szCs w:val="20"/>
        </w:rPr>
        <w:t xml:space="preserve"> “JOSÉ LUIS TAPIA AND OTHER MEMBERS OF THE CARABINEROS”</w:t>
      </w:r>
    </w:p>
    <w:p w:rsidR="00E940BE" w:rsidRPr="00F52B87" w:rsidRDefault="00E940BE" w:rsidP="00E940BE">
      <w:pPr>
        <w:ind w:left="720" w:right="720"/>
        <w:jc w:val="center"/>
        <w:rPr>
          <w:rFonts w:asciiTheme="majorHAnsi" w:hAnsiTheme="majorHAnsi"/>
          <w:b/>
          <w:sz w:val="20"/>
          <w:szCs w:val="20"/>
        </w:rPr>
      </w:pPr>
    </w:p>
    <w:p w:rsidR="00E940BE" w:rsidRPr="00F52B87" w:rsidRDefault="00E940BE" w:rsidP="00E03326">
      <w:pPr>
        <w:ind w:left="720" w:right="720"/>
        <w:rPr>
          <w:rFonts w:asciiTheme="majorHAnsi" w:hAnsiTheme="majorHAnsi"/>
          <w:b/>
          <w:sz w:val="20"/>
          <w:szCs w:val="20"/>
        </w:rPr>
      </w:pPr>
      <w:r w:rsidRPr="00F52B87">
        <w:rPr>
          <w:rFonts w:asciiTheme="majorHAnsi" w:hAnsiTheme="majorHAnsi"/>
          <w:b/>
          <w:sz w:val="20"/>
          <w:szCs w:val="20"/>
        </w:rPr>
        <w:t>I.</w:t>
      </w:r>
      <w:r w:rsidRPr="00F52B87">
        <w:rPr>
          <w:rFonts w:asciiTheme="majorHAnsi" w:hAnsiTheme="majorHAnsi"/>
          <w:b/>
          <w:sz w:val="20"/>
          <w:szCs w:val="20"/>
        </w:rPr>
        <w:tab/>
        <w:t xml:space="preserve">DESCRIPTION OF THE PARTIES </w:t>
      </w:r>
    </w:p>
    <w:p w:rsidR="00E940BE" w:rsidRPr="00F52B87" w:rsidRDefault="00E940BE" w:rsidP="00E03326">
      <w:pPr>
        <w:ind w:left="720" w:right="720"/>
        <w:rPr>
          <w:rFonts w:asciiTheme="majorHAnsi" w:hAnsiTheme="majorHAnsi"/>
          <w:b/>
          <w:sz w:val="20"/>
          <w:szCs w:val="20"/>
        </w:rPr>
      </w:pPr>
    </w:p>
    <w:p w:rsidR="00E940BE" w:rsidRPr="00F52B87" w:rsidRDefault="00E940BE" w:rsidP="00E03326">
      <w:pPr>
        <w:pStyle w:val="ListParagraph"/>
        <w:numPr>
          <w:ilvl w:val="0"/>
          <w:numId w:val="60"/>
        </w:numPr>
        <w:pBdr>
          <w:top w:val="nil"/>
          <w:left w:val="nil"/>
          <w:bottom w:val="nil"/>
          <w:right w:val="nil"/>
          <w:between w:val="nil"/>
          <w:bar w:val="nil"/>
        </w:pBdr>
        <w:ind w:left="720" w:right="720" w:firstLine="0"/>
        <w:jc w:val="both"/>
        <w:rPr>
          <w:rFonts w:asciiTheme="majorHAnsi" w:hAnsiTheme="majorHAnsi"/>
          <w:sz w:val="20"/>
          <w:szCs w:val="20"/>
        </w:rPr>
      </w:pPr>
      <w:r w:rsidRPr="00F52B87">
        <w:rPr>
          <w:rFonts w:asciiTheme="majorHAnsi" w:hAnsiTheme="majorHAnsi"/>
          <w:sz w:val="20"/>
          <w:szCs w:val="20"/>
        </w:rPr>
        <w:t xml:space="preserve">The parties to this agreement are: </w:t>
      </w:r>
    </w:p>
    <w:p w:rsidR="00E940BE" w:rsidRPr="00F52B87" w:rsidRDefault="00E940BE" w:rsidP="00E03326">
      <w:pPr>
        <w:pStyle w:val="ListParagraph"/>
        <w:ind w:right="720"/>
        <w:jc w:val="both"/>
        <w:rPr>
          <w:rFonts w:asciiTheme="majorHAnsi" w:hAnsiTheme="majorHAnsi"/>
          <w:sz w:val="20"/>
          <w:szCs w:val="20"/>
        </w:rPr>
      </w:pPr>
    </w:p>
    <w:p w:rsidR="00E940BE" w:rsidRPr="00F52B87" w:rsidRDefault="00E940BE" w:rsidP="00E03326">
      <w:pPr>
        <w:ind w:left="720" w:right="720"/>
        <w:jc w:val="both"/>
        <w:rPr>
          <w:rFonts w:asciiTheme="majorHAnsi" w:hAnsiTheme="majorHAnsi"/>
          <w:sz w:val="20"/>
          <w:szCs w:val="20"/>
        </w:rPr>
      </w:pPr>
      <w:r w:rsidRPr="00F52B87">
        <w:rPr>
          <w:rFonts w:asciiTheme="majorHAnsi" w:hAnsiTheme="majorHAnsi"/>
          <w:b/>
          <w:sz w:val="20"/>
          <w:szCs w:val="20"/>
        </w:rPr>
        <w:t>For the first party</w:t>
      </w:r>
      <w:r w:rsidRPr="00F52B87">
        <w:rPr>
          <w:rFonts w:asciiTheme="majorHAnsi" w:hAnsiTheme="majorHAnsi"/>
          <w:sz w:val="20"/>
          <w:szCs w:val="20"/>
        </w:rPr>
        <w:t xml:space="preserve">, the State of Chile, represented by the Minister of Foreign Affairs, </w:t>
      </w:r>
      <w:proofErr w:type="spellStart"/>
      <w:r w:rsidRPr="00F52B87">
        <w:rPr>
          <w:rFonts w:asciiTheme="majorHAnsi" w:hAnsiTheme="majorHAnsi"/>
          <w:sz w:val="20"/>
          <w:szCs w:val="20"/>
        </w:rPr>
        <w:t>Heraldo</w:t>
      </w:r>
      <w:proofErr w:type="spellEnd"/>
      <w:r w:rsidRPr="00F52B87">
        <w:rPr>
          <w:rFonts w:asciiTheme="majorHAnsi" w:hAnsiTheme="majorHAnsi"/>
          <w:sz w:val="20"/>
          <w:szCs w:val="20"/>
        </w:rPr>
        <w:t xml:space="preserve"> Muñoz Valenzuela, and the General Subdirector of </w:t>
      </w:r>
      <w:proofErr w:type="spellStart"/>
      <w:r w:rsidRPr="00F52B87">
        <w:rPr>
          <w:rFonts w:asciiTheme="majorHAnsi" w:hAnsiTheme="majorHAnsi"/>
          <w:sz w:val="20"/>
          <w:szCs w:val="20"/>
        </w:rPr>
        <w:t>Carabineros</w:t>
      </w:r>
      <w:proofErr w:type="spellEnd"/>
      <w:r w:rsidRPr="00F52B87">
        <w:rPr>
          <w:rFonts w:asciiTheme="majorHAnsi" w:hAnsiTheme="majorHAnsi"/>
          <w:sz w:val="20"/>
          <w:szCs w:val="20"/>
        </w:rPr>
        <w:t xml:space="preserve"> of Chile, Julio Pineda Peña.</w:t>
      </w:r>
    </w:p>
    <w:p w:rsidR="00E940BE" w:rsidRPr="00F52B87" w:rsidRDefault="00E940BE" w:rsidP="00E03326">
      <w:pPr>
        <w:ind w:left="720" w:right="720"/>
        <w:jc w:val="both"/>
        <w:rPr>
          <w:rFonts w:asciiTheme="majorHAnsi" w:hAnsiTheme="majorHAnsi"/>
          <w:sz w:val="20"/>
          <w:szCs w:val="20"/>
        </w:rPr>
      </w:pPr>
      <w:r w:rsidRPr="00F52B87">
        <w:rPr>
          <w:rFonts w:asciiTheme="majorHAnsi" w:hAnsiTheme="majorHAnsi"/>
          <w:b/>
          <w:sz w:val="20"/>
          <w:szCs w:val="20"/>
        </w:rPr>
        <w:t>For the second party</w:t>
      </w:r>
      <w:r w:rsidRPr="00F52B87">
        <w:rPr>
          <w:rFonts w:asciiTheme="majorHAnsi" w:hAnsiTheme="majorHAnsi"/>
          <w:sz w:val="20"/>
          <w:szCs w:val="20"/>
        </w:rPr>
        <w:t xml:space="preserve">, </w:t>
      </w:r>
      <w:proofErr w:type="spellStart"/>
      <w:r w:rsidRPr="00F52B87">
        <w:rPr>
          <w:rFonts w:asciiTheme="majorHAnsi" w:hAnsiTheme="majorHAnsi"/>
          <w:sz w:val="20"/>
          <w:szCs w:val="20"/>
        </w:rPr>
        <w:t>Fabián</w:t>
      </w:r>
      <w:proofErr w:type="spellEnd"/>
      <w:r w:rsidRPr="00F52B87">
        <w:rPr>
          <w:rFonts w:asciiTheme="majorHAnsi" w:hAnsiTheme="majorHAnsi"/>
          <w:sz w:val="20"/>
          <w:szCs w:val="20"/>
        </w:rPr>
        <w:t xml:space="preserve"> Pacheco </w:t>
      </w:r>
      <w:proofErr w:type="spellStart"/>
      <w:r w:rsidRPr="00F52B87">
        <w:rPr>
          <w:rFonts w:asciiTheme="majorHAnsi" w:hAnsiTheme="majorHAnsi"/>
          <w:sz w:val="20"/>
          <w:szCs w:val="20"/>
        </w:rPr>
        <w:t>Ilabaca</w:t>
      </w:r>
      <w:proofErr w:type="spellEnd"/>
      <w:r w:rsidRPr="00F52B87">
        <w:rPr>
          <w:rFonts w:asciiTheme="majorHAnsi" w:hAnsiTheme="majorHAnsi"/>
          <w:sz w:val="20"/>
          <w:szCs w:val="20"/>
        </w:rPr>
        <w:t xml:space="preserve">, attorney representing José Luis Tapia </w:t>
      </w:r>
      <w:proofErr w:type="spellStart"/>
      <w:r w:rsidRPr="00F52B87">
        <w:rPr>
          <w:rFonts w:asciiTheme="majorHAnsi" w:hAnsiTheme="majorHAnsi"/>
          <w:sz w:val="20"/>
          <w:szCs w:val="20"/>
        </w:rPr>
        <w:t>Gonzáles</w:t>
      </w:r>
      <w:proofErr w:type="spellEnd"/>
      <w:r w:rsidRPr="00F52B87">
        <w:rPr>
          <w:rFonts w:asciiTheme="majorHAnsi" w:hAnsiTheme="majorHAnsi"/>
          <w:sz w:val="20"/>
          <w:szCs w:val="20"/>
        </w:rPr>
        <w:t xml:space="preserve">, José Alejandro </w:t>
      </w:r>
      <w:proofErr w:type="spellStart"/>
      <w:r w:rsidRPr="00F52B87">
        <w:rPr>
          <w:rFonts w:asciiTheme="majorHAnsi" w:hAnsiTheme="majorHAnsi"/>
          <w:sz w:val="20"/>
          <w:szCs w:val="20"/>
        </w:rPr>
        <w:t>Villagrán</w:t>
      </w:r>
      <w:proofErr w:type="spellEnd"/>
      <w:r w:rsidRPr="00F52B87">
        <w:rPr>
          <w:rFonts w:asciiTheme="majorHAnsi" w:hAnsiTheme="majorHAnsi"/>
          <w:sz w:val="20"/>
          <w:szCs w:val="20"/>
        </w:rPr>
        <w:t xml:space="preserve"> </w:t>
      </w:r>
      <w:proofErr w:type="spellStart"/>
      <w:r w:rsidRPr="00F52B87">
        <w:rPr>
          <w:rFonts w:asciiTheme="majorHAnsi" w:hAnsiTheme="majorHAnsi"/>
          <w:sz w:val="20"/>
          <w:szCs w:val="20"/>
        </w:rPr>
        <w:t>Guzmán</w:t>
      </w:r>
      <w:proofErr w:type="spellEnd"/>
      <w:r w:rsidRPr="00F52B87">
        <w:rPr>
          <w:rFonts w:asciiTheme="majorHAnsi" w:hAnsiTheme="majorHAnsi"/>
          <w:sz w:val="20"/>
          <w:szCs w:val="20"/>
        </w:rPr>
        <w:t xml:space="preserve">, Luis Eduardo Hernández </w:t>
      </w:r>
      <w:proofErr w:type="spellStart"/>
      <w:r w:rsidRPr="00F52B87">
        <w:rPr>
          <w:rFonts w:asciiTheme="majorHAnsi" w:hAnsiTheme="majorHAnsi"/>
          <w:sz w:val="20"/>
          <w:szCs w:val="20"/>
        </w:rPr>
        <w:t>Mieville</w:t>
      </w:r>
      <w:proofErr w:type="spellEnd"/>
      <w:r w:rsidRPr="00F52B87">
        <w:rPr>
          <w:rFonts w:asciiTheme="majorHAnsi" w:hAnsiTheme="majorHAnsi"/>
          <w:sz w:val="20"/>
          <w:szCs w:val="20"/>
        </w:rPr>
        <w:t xml:space="preserve">, Nelson Enrique </w:t>
      </w:r>
      <w:proofErr w:type="spellStart"/>
      <w:r w:rsidRPr="00F52B87">
        <w:rPr>
          <w:rFonts w:asciiTheme="majorHAnsi" w:hAnsiTheme="majorHAnsi"/>
          <w:sz w:val="20"/>
          <w:szCs w:val="20"/>
        </w:rPr>
        <w:t>Garrido</w:t>
      </w:r>
      <w:proofErr w:type="spellEnd"/>
      <w:r w:rsidRPr="00F52B87">
        <w:rPr>
          <w:rFonts w:asciiTheme="majorHAnsi" w:hAnsiTheme="majorHAnsi"/>
          <w:sz w:val="20"/>
          <w:szCs w:val="20"/>
        </w:rPr>
        <w:t xml:space="preserve"> Reyes, Manuel Augusto Zamora </w:t>
      </w:r>
      <w:proofErr w:type="spellStart"/>
      <w:r w:rsidRPr="00F52B87">
        <w:rPr>
          <w:rFonts w:asciiTheme="majorHAnsi" w:hAnsiTheme="majorHAnsi"/>
          <w:sz w:val="20"/>
          <w:szCs w:val="20"/>
        </w:rPr>
        <w:t>Irarrázaval</w:t>
      </w:r>
      <w:proofErr w:type="spellEnd"/>
      <w:r w:rsidRPr="00F52B87">
        <w:rPr>
          <w:rFonts w:asciiTheme="majorHAnsi" w:hAnsiTheme="majorHAnsi"/>
          <w:sz w:val="20"/>
          <w:szCs w:val="20"/>
        </w:rPr>
        <w:t xml:space="preserve">, David </w:t>
      </w:r>
      <w:proofErr w:type="spellStart"/>
      <w:r w:rsidRPr="00F52B87">
        <w:rPr>
          <w:rFonts w:asciiTheme="majorHAnsi" w:hAnsiTheme="majorHAnsi"/>
          <w:sz w:val="20"/>
          <w:szCs w:val="20"/>
        </w:rPr>
        <w:t>Matías</w:t>
      </w:r>
      <w:proofErr w:type="spellEnd"/>
      <w:r w:rsidRPr="00F52B87">
        <w:rPr>
          <w:rFonts w:asciiTheme="majorHAnsi" w:hAnsiTheme="majorHAnsi"/>
          <w:sz w:val="20"/>
          <w:szCs w:val="20"/>
        </w:rPr>
        <w:t xml:space="preserve"> </w:t>
      </w:r>
      <w:proofErr w:type="spellStart"/>
      <w:r w:rsidRPr="00F52B87">
        <w:rPr>
          <w:rFonts w:asciiTheme="majorHAnsi" w:hAnsiTheme="majorHAnsi"/>
          <w:sz w:val="20"/>
          <w:szCs w:val="20"/>
        </w:rPr>
        <w:t>Álvarez</w:t>
      </w:r>
      <w:proofErr w:type="spellEnd"/>
      <w:r w:rsidRPr="00F52B87">
        <w:rPr>
          <w:rFonts w:asciiTheme="majorHAnsi" w:hAnsiTheme="majorHAnsi"/>
          <w:sz w:val="20"/>
          <w:szCs w:val="20"/>
        </w:rPr>
        <w:t xml:space="preserve"> </w:t>
      </w:r>
      <w:proofErr w:type="spellStart"/>
      <w:r w:rsidRPr="00F52B87">
        <w:rPr>
          <w:rFonts w:asciiTheme="majorHAnsi" w:hAnsiTheme="majorHAnsi"/>
          <w:sz w:val="20"/>
          <w:szCs w:val="20"/>
        </w:rPr>
        <w:t>Álvarez</w:t>
      </w:r>
      <w:proofErr w:type="spellEnd"/>
      <w:r w:rsidRPr="00F52B87">
        <w:rPr>
          <w:rFonts w:asciiTheme="majorHAnsi" w:hAnsiTheme="majorHAnsi"/>
          <w:sz w:val="20"/>
          <w:szCs w:val="20"/>
        </w:rPr>
        <w:t xml:space="preserve">, and Víctor Alejandro Lago Maldonado, in their capacity as petitioners. </w:t>
      </w:r>
    </w:p>
    <w:p w:rsidR="00E940BE" w:rsidRPr="00F52B87" w:rsidRDefault="00E940BE" w:rsidP="00E03326">
      <w:pPr>
        <w:ind w:left="720" w:right="720"/>
        <w:jc w:val="both"/>
        <w:rPr>
          <w:rFonts w:asciiTheme="majorHAnsi" w:hAnsiTheme="majorHAnsi"/>
          <w:sz w:val="20"/>
          <w:szCs w:val="20"/>
        </w:rPr>
      </w:pPr>
    </w:p>
    <w:p w:rsidR="00E940BE" w:rsidRPr="00F52B87" w:rsidRDefault="00E940BE" w:rsidP="00E03326">
      <w:pPr>
        <w:ind w:left="720" w:right="720"/>
        <w:jc w:val="both"/>
        <w:rPr>
          <w:rFonts w:asciiTheme="majorHAnsi" w:hAnsiTheme="majorHAnsi"/>
          <w:b/>
          <w:sz w:val="20"/>
          <w:szCs w:val="20"/>
        </w:rPr>
      </w:pPr>
      <w:r w:rsidRPr="00F52B87">
        <w:rPr>
          <w:rFonts w:asciiTheme="majorHAnsi" w:hAnsiTheme="majorHAnsi"/>
          <w:b/>
          <w:sz w:val="20"/>
          <w:szCs w:val="20"/>
        </w:rPr>
        <w:t xml:space="preserve">II. </w:t>
      </w:r>
      <w:r w:rsidRPr="00F52B87">
        <w:rPr>
          <w:rFonts w:asciiTheme="majorHAnsi" w:hAnsiTheme="majorHAnsi"/>
          <w:b/>
          <w:sz w:val="20"/>
          <w:szCs w:val="20"/>
        </w:rPr>
        <w:tab/>
        <w:t xml:space="preserve">FACTS </w:t>
      </w:r>
    </w:p>
    <w:p w:rsidR="00E940BE" w:rsidRPr="00F52B87" w:rsidRDefault="00E940BE" w:rsidP="00E03326">
      <w:pPr>
        <w:ind w:left="720" w:right="720"/>
        <w:jc w:val="both"/>
        <w:rPr>
          <w:rFonts w:asciiTheme="majorHAnsi" w:hAnsiTheme="majorHAnsi"/>
          <w:b/>
          <w:sz w:val="20"/>
          <w:szCs w:val="20"/>
        </w:rPr>
      </w:pPr>
    </w:p>
    <w:p w:rsidR="00E940BE" w:rsidRPr="00F52B87" w:rsidRDefault="00E940BE" w:rsidP="00E03326">
      <w:pPr>
        <w:ind w:left="720" w:right="720"/>
        <w:jc w:val="both"/>
        <w:rPr>
          <w:rFonts w:asciiTheme="majorHAnsi" w:eastAsia="Times New Roman" w:hAnsiTheme="majorHAnsi"/>
          <w:sz w:val="20"/>
          <w:szCs w:val="20"/>
          <w:lang w:eastAsia="es-BO"/>
        </w:rPr>
      </w:pPr>
      <w:r w:rsidRPr="00F52B87">
        <w:rPr>
          <w:rFonts w:asciiTheme="majorHAnsi" w:hAnsiTheme="majorHAnsi"/>
          <w:sz w:val="20"/>
          <w:szCs w:val="20"/>
        </w:rPr>
        <w:t xml:space="preserve">2. </w:t>
      </w:r>
      <w:r w:rsidRPr="00F52B87">
        <w:rPr>
          <w:rFonts w:asciiTheme="majorHAnsi" w:hAnsiTheme="majorHAnsi"/>
          <w:sz w:val="20"/>
          <w:szCs w:val="20"/>
        </w:rPr>
        <w:tab/>
        <w:t xml:space="preserve">On June </w:t>
      </w:r>
      <w:r w:rsidRPr="00F52B87">
        <w:rPr>
          <w:rFonts w:asciiTheme="majorHAnsi" w:eastAsia="Times New Roman" w:hAnsiTheme="majorHAnsi"/>
          <w:sz w:val="20"/>
          <w:szCs w:val="20"/>
          <w:lang w:eastAsia="es-BO"/>
        </w:rPr>
        <w:t xml:space="preserve">18, 1999, the Inter-American Commission on Human Rights (hereinafter “the Inter-American Commission,” “the Commission,” or “the IACHR’) received a petition against the State of Chile (hereinafter “the State”), filed by Luis Antonio Acevedo Villavicencio and Leopoldo Sánchez </w:t>
      </w:r>
      <w:proofErr w:type="spellStart"/>
      <w:r w:rsidRPr="00F52B87">
        <w:rPr>
          <w:rFonts w:asciiTheme="majorHAnsi" w:eastAsia="Times New Roman" w:hAnsiTheme="majorHAnsi"/>
          <w:sz w:val="20"/>
          <w:szCs w:val="20"/>
          <w:lang w:eastAsia="es-BO"/>
        </w:rPr>
        <w:t>Grunert</w:t>
      </w:r>
      <w:proofErr w:type="spellEnd"/>
      <w:r w:rsidRPr="00F52B87">
        <w:rPr>
          <w:rFonts w:asciiTheme="majorHAnsi" w:eastAsia="Times New Roman" w:hAnsiTheme="majorHAnsi"/>
          <w:sz w:val="20"/>
          <w:szCs w:val="20"/>
          <w:lang w:eastAsia="es-BO"/>
        </w:rPr>
        <w:t xml:space="preserve">,  alleging that the State violated the rights of José Luis Tapia </w:t>
      </w:r>
      <w:proofErr w:type="spellStart"/>
      <w:r w:rsidRPr="00F52B87">
        <w:rPr>
          <w:rFonts w:asciiTheme="majorHAnsi" w:eastAsia="Times New Roman" w:hAnsiTheme="majorHAnsi"/>
          <w:sz w:val="20"/>
          <w:szCs w:val="20"/>
          <w:lang w:eastAsia="es-BO"/>
        </w:rPr>
        <w:t>Gonzáles</w:t>
      </w:r>
      <w:proofErr w:type="spellEnd"/>
      <w:r w:rsidRPr="00F52B87">
        <w:rPr>
          <w:rFonts w:asciiTheme="majorHAnsi" w:eastAsia="Times New Roman" w:hAnsiTheme="majorHAnsi"/>
          <w:sz w:val="20"/>
          <w:szCs w:val="20"/>
          <w:lang w:eastAsia="es-BO"/>
        </w:rPr>
        <w:t xml:space="preserve">, José Alejandro </w:t>
      </w:r>
      <w:proofErr w:type="spellStart"/>
      <w:r w:rsidRPr="00F52B87">
        <w:rPr>
          <w:rFonts w:asciiTheme="majorHAnsi" w:eastAsia="Times New Roman" w:hAnsiTheme="majorHAnsi"/>
          <w:sz w:val="20"/>
          <w:szCs w:val="20"/>
          <w:lang w:eastAsia="es-BO"/>
        </w:rPr>
        <w:t>Villagrán</w:t>
      </w:r>
      <w:proofErr w:type="spellEnd"/>
      <w:r w:rsidRPr="00F52B87">
        <w:rPr>
          <w:rFonts w:asciiTheme="majorHAnsi" w:eastAsia="Times New Roman" w:hAnsiTheme="majorHAnsi"/>
          <w:sz w:val="20"/>
          <w:szCs w:val="20"/>
          <w:lang w:eastAsia="es-BO"/>
        </w:rPr>
        <w:t xml:space="preserve"> </w:t>
      </w:r>
      <w:proofErr w:type="spellStart"/>
      <w:r w:rsidRPr="00F52B87">
        <w:rPr>
          <w:rFonts w:asciiTheme="majorHAnsi" w:eastAsia="Times New Roman" w:hAnsiTheme="majorHAnsi"/>
          <w:sz w:val="20"/>
          <w:szCs w:val="20"/>
          <w:lang w:eastAsia="es-BO"/>
        </w:rPr>
        <w:t>Guzmán</w:t>
      </w:r>
      <w:proofErr w:type="spellEnd"/>
      <w:r w:rsidRPr="00F52B87">
        <w:rPr>
          <w:rFonts w:asciiTheme="majorHAnsi" w:eastAsia="Times New Roman" w:hAnsiTheme="majorHAnsi"/>
          <w:sz w:val="20"/>
          <w:szCs w:val="20"/>
          <w:lang w:eastAsia="es-BO"/>
        </w:rPr>
        <w:t xml:space="preserve">, Luis Eduardo Hernández </w:t>
      </w:r>
      <w:proofErr w:type="spellStart"/>
      <w:r w:rsidRPr="00F52B87">
        <w:rPr>
          <w:rFonts w:asciiTheme="majorHAnsi" w:eastAsia="Times New Roman" w:hAnsiTheme="majorHAnsi"/>
          <w:sz w:val="20"/>
          <w:szCs w:val="20"/>
          <w:lang w:eastAsia="es-BO"/>
        </w:rPr>
        <w:t>Mieville</w:t>
      </w:r>
      <w:proofErr w:type="spellEnd"/>
      <w:r w:rsidRPr="00F52B87">
        <w:rPr>
          <w:rFonts w:asciiTheme="majorHAnsi" w:eastAsia="Times New Roman" w:hAnsiTheme="majorHAnsi"/>
          <w:sz w:val="20"/>
          <w:szCs w:val="20"/>
          <w:lang w:eastAsia="es-BO"/>
        </w:rPr>
        <w:t xml:space="preserve">, Nelson Enrique </w:t>
      </w:r>
      <w:proofErr w:type="spellStart"/>
      <w:r w:rsidRPr="00F52B87">
        <w:rPr>
          <w:rFonts w:asciiTheme="majorHAnsi" w:eastAsia="Times New Roman" w:hAnsiTheme="majorHAnsi"/>
          <w:sz w:val="20"/>
          <w:szCs w:val="20"/>
          <w:lang w:eastAsia="es-BO"/>
        </w:rPr>
        <w:t>Garrido</w:t>
      </w:r>
      <w:proofErr w:type="spellEnd"/>
      <w:r w:rsidRPr="00F52B87">
        <w:rPr>
          <w:rFonts w:asciiTheme="majorHAnsi" w:eastAsia="Times New Roman" w:hAnsiTheme="majorHAnsi"/>
          <w:sz w:val="20"/>
          <w:szCs w:val="20"/>
          <w:lang w:eastAsia="es-BO"/>
        </w:rPr>
        <w:t xml:space="preserve"> Reyes, Manuel Augusto Zamora </w:t>
      </w:r>
      <w:proofErr w:type="spellStart"/>
      <w:r w:rsidRPr="00F52B87">
        <w:rPr>
          <w:rFonts w:asciiTheme="majorHAnsi" w:eastAsia="Times New Roman" w:hAnsiTheme="majorHAnsi"/>
          <w:sz w:val="20"/>
          <w:szCs w:val="20"/>
          <w:lang w:eastAsia="es-BO"/>
        </w:rPr>
        <w:t>Irarrázabal</w:t>
      </w:r>
      <w:proofErr w:type="spellEnd"/>
      <w:r w:rsidRPr="00F52B87">
        <w:rPr>
          <w:rFonts w:asciiTheme="majorHAnsi" w:eastAsia="Times New Roman" w:hAnsiTheme="majorHAnsi"/>
          <w:sz w:val="20"/>
          <w:szCs w:val="20"/>
          <w:lang w:eastAsia="es-BO"/>
        </w:rPr>
        <w:t xml:space="preserve">, David </w:t>
      </w:r>
      <w:proofErr w:type="spellStart"/>
      <w:r w:rsidRPr="00F52B87">
        <w:rPr>
          <w:rFonts w:asciiTheme="majorHAnsi" w:eastAsia="Times New Roman" w:hAnsiTheme="majorHAnsi"/>
          <w:sz w:val="20"/>
          <w:szCs w:val="20"/>
          <w:lang w:eastAsia="es-BO"/>
        </w:rPr>
        <w:t>Matías</w:t>
      </w:r>
      <w:proofErr w:type="spellEnd"/>
      <w:r w:rsidRPr="00F52B87">
        <w:rPr>
          <w:rFonts w:asciiTheme="majorHAnsi" w:eastAsia="Times New Roman" w:hAnsiTheme="majorHAnsi"/>
          <w:sz w:val="20"/>
          <w:szCs w:val="20"/>
          <w:lang w:eastAsia="es-BO"/>
        </w:rPr>
        <w:t xml:space="preserve"> </w:t>
      </w:r>
      <w:proofErr w:type="spellStart"/>
      <w:r w:rsidRPr="00F52B87">
        <w:rPr>
          <w:rFonts w:asciiTheme="majorHAnsi" w:eastAsia="Times New Roman" w:hAnsiTheme="majorHAnsi"/>
          <w:sz w:val="20"/>
          <w:szCs w:val="20"/>
          <w:lang w:eastAsia="es-BO"/>
        </w:rPr>
        <w:t>Álvarez</w:t>
      </w:r>
      <w:proofErr w:type="spellEnd"/>
      <w:r w:rsidRPr="00F52B87">
        <w:rPr>
          <w:rFonts w:asciiTheme="majorHAnsi" w:eastAsia="Times New Roman" w:hAnsiTheme="majorHAnsi"/>
          <w:sz w:val="20"/>
          <w:szCs w:val="20"/>
          <w:lang w:eastAsia="es-BO"/>
        </w:rPr>
        <w:t xml:space="preserve"> </w:t>
      </w:r>
      <w:proofErr w:type="spellStart"/>
      <w:r w:rsidRPr="00F52B87">
        <w:rPr>
          <w:rFonts w:asciiTheme="majorHAnsi" w:eastAsia="Times New Roman" w:hAnsiTheme="majorHAnsi"/>
          <w:sz w:val="20"/>
          <w:szCs w:val="20"/>
          <w:lang w:eastAsia="es-BO"/>
        </w:rPr>
        <w:t>Álvarez</w:t>
      </w:r>
      <w:proofErr w:type="spellEnd"/>
      <w:r w:rsidRPr="00F52B87">
        <w:rPr>
          <w:rFonts w:asciiTheme="majorHAnsi" w:eastAsia="Times New Roman" w:hAnsiTheme="majorHAnsi"/>
          <w:sz w:val="20"/>
          <w:szCs w:val="20"/>
          <w:lang w:eastAsia="es-BO"/>
        </w:rPr>
        <w:t xml:space="preserve">, and Víctor Alejandro Lago Maldonado, all former members of </w:t>
      </w:r>
      <w:proofErr w:type="spellStart"/>
      <w:r w:rsidRPr="00F52B87">
        <w:rPr>
          <w:rFonts w:asciiTheme="majorHAnsi" w:eastAsia="Times New Roman" w:hAnsiTheme="majorHAnsi"/>
          <w:sz w:val="20"/>
          <w:szCs w:val="20"/>
          <w:lang w:eastAsia="es-BO"/>
        </w:rPr>
        <w:t>Carabineros</w:t>
      </w:r>
      <w:proofErr w:type="spellEnd"/>
      <w:r w:rsidRPr="00F52B87">
        <w:rPr>
          <w:rFonts w:asciiTheme="majorHAnsi" w:eastAsia="Times New Roman" w:hAnsiTheme="majorHAnsi"/>
          <w:sz w:val="20"/>
          <w:szCs w:val="20"/>
          <w:lang w:eastAsia="es-BO"/>
        </w:rPr>
        <w:t xml:space="preserve"> de Chile and their respective wives </w:t>
      </w:r>
      <w:proofErr w:type="spellStart"/>
      <w:r w:rsidRPr="00F52B87">
        <w:rPr>
          <w:rFonts w:asciiTheme="majorHAnsi" w:eastAsia="Times New Roman" w:hAnsiTheme="majorHAnsi"/>
          <w:sz w:val="20"/>
          <w:szCs w:val="20"/>
          <w:lang w:eastAsia="es-BO"/>
        </w:rPr>
        <w:t>Giny</w:t>
      </w:r>
      <w:proofErr w:type="spellEnd"/>
      <w:r w:rsidRPr="00F52B87">
        <w:rPr>
          <w:rFonts w:asciiTheme="majorHAnsi" w:eastAsia="Times New Roman" w:hAnsiTheme="majorHAnsi"/>
          <w:sz w:val="20"/>
          <w:szCs w:val="20"/>
          <w:lang w:eastAsia="es-BO"/>
        </w:rPr>
        <w:t xml:space="preserve"> Escobar Lara, Rosa Paz Valdés, Sonia Valencia Torres, Claudia Bustamante Torres, Sandra Duran Villegas, Olga del Carmen Becerra Pérez, and Ana María Aguilera </w:t>
      </w:r>
      <w:proofErr w:type="spellStart"/>
      <w:r w:rsidRPr="00F52B87">
        <w:rPr>
          <w:rFonts w:asciiTheme="majorHAnsi" w:eastAsia="Times New Roman" w:hAnsiTheme="majorHAnsi"/>
          <w:sz w:val="20"/>
          <w:szCs w:val="20"/>
          <w:lang w:eastAsia="es-BO"/>
        </w:rPr>
        <w:t>Saldivia</w:t>
      </w:r>
      <w:proofErr w:type="spellEnd"/>
      <w:r w:rsidRPr="00F52B87">
        <w:rPr>
          <w:rFonts w:asciiTheme="majorHAnsi" w:eastAsia="Times New Roman" w:hAnsiTheme="majorHAnsi"/>
          <w:sz w:val="20"/>
          <w:szCs w:val="20"/>
          <w:lang w:eastAsia="es-BO"/>
        </w:rPr>
        <w:t>.</w:t>
      </w:r>
    </w:p>
    <w:p w:rsidR="00E940BE" w:rsidRPr="00F52B87" w:rsidRDefault="00E940BE" w:rsidP="00E03326">
      <w:pPr>
        <w:ind w:left="720" w:right="720"/>
        <w:jc w:val="both"/>
        <w:rPr>
          <w:rFonts w:asciiTheme="majorHAnsi" w:eastAsia="Times New Roman" w:hAnsiTheme="majorHAnsi"/>
          <w:sz w:val="20"/>
          <w:szCs w:val="20"/>
          <w:lang w:eastAsia="es-BO"/>
        </w:rPr>
      </w:pPr>
    </w:p>
    <w:p w:rsidR="00E940BE" w:rsidRPr="00F52B87" w:rsidRDefault="00E940BE" w:rsidP="00E03326">
      <w:pPr>
        <w:ind w:left="720" w:right="720"/>
        <w:jc w:val="both"/>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t xml:space="preserve">3. </w:t>
      </w:r>
      <w:r w:rsidRPr="00F52B87">
        <w:rPr>
          <w:rFonts w:asciiTheme="majorHAnsi" w:eastAsia="Times New Roman" w:hAnsiTheme="majorHAnsi"/>
          <w:sz w:val="20"/>
          <w:szCs w:val="20"/>
          <w:lang w:eastAsia="es-BO"/>
        </w:rPr>
        <w:tab/>
        <w:t xml:space="preserve">In the complaint the former </w:t>
      </w:r>
      <w:proofErr w:type="spellStart"/>
      <w:r w:rsidRPr="00F52B87">
        <w:rPr>
          <w:rFonts w:asciiTheme="majorHAnsi" w:eastAsia="Times New Roman" w:hAnsiTheme="majorHAnsi"/>
          <w:sz w:val="20"/>
          <w:szCs w:val="20"/>
          <w:lang w:eastAsia="es-BO"/>
        </w:rPr>
        <w:t>Carabineros</w:t>
      </w:r>
      <w:proofErr w:type="spellEnd"/>
      <w:r w:rsidRPr="00F52B87">
        <w:rPr>
          <w:rFonts w:asciiTheme="majorHAnsi" w:eastAsia="Times New Roman" w:hAnsiTheme="majorHAnsi"/>
          <w:sz w:val="20"/>
          <w:szCs w:val="20"/>
          <w:lang w:eastAsia="es-BO"/>
        </w:rPr>
        <w:t xml:space="preserve"> alleged that they had been subjected to an evaluation process that led to unwarranted dismissals and that in addition the judicial proceeding that was carried out resulted in a denial of justice, with a negative impact on basic rights and without any judicial guarantees. The State, for its part, noted on that occasion that there was no violation of any provision whatsoever of the American Convention on Human Rights (hereinafter “the American Convention” or “ACHR”) and asked the Commission to dismiss the victims’ claims and find the petition inadmissible. In particular, it was noted that the separation occurred as a consequence of an evaluation process carried out by the competent bodies, in which the victims had an opportunity to appeal the resolution administratively and judicially, including to the Supreme Court of Justice. </w:t>
      </w:r>
    </w:p>
    <w:p w:rsidR="00E940BE" w:rsidRPr="00F52B87" w:rsidRDefault="00E940BE" w:rsidP="00E03326">
      <w:pPr>
        <w:ind w:left="720" w:right="720"/>
        <w:jc w:val="both"/>
        <w:rPr>
          <w:rFonts w:asciiTheme="majorHAnsi" w:eastAsia="Times New Roman" w:hAnsiTheme="majorHAnsi"/>
          <w:sz w:val="20"/>
          <w:szCs w:val="20"/>
          <w:lang w:eastAsia="es-BO"/>
        </w:rPr>
      </w:pPr>
    </w:p>
    <w:p w:rsidR="00E940BE" w:rsidRPr="00F52B87" w:rsidRDefault="00E940BE" w:rsidP="00E03326">
      <w:pPr>
        <w:ind w:left="720" w:right="720"/>
        <w:jc w:val="both"/>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t xml:space="preserve">4. </w:t>
      </w:r>
      <w:r w:rsidRPr="00F52B87">
        <w:rPr>
          <w:rFonts w:asciiTheme="majorHAnsi" w:eastAsia="Times New Roman" w:hAnsiTheme="majorHAnsi"/>
          <w:sz w:val="20"/>
          <w:szCs w:val="20"/>
          <w:lang w:eastAsia="es-BO"/>
        </w:rPr>
        <w:tab/>
        <w:t xml:space="preserve">On February 24, 2004, the Commission issued Admissibility Report No. 21/04, and after analyzing the parties’ positions concluded that, in application of the principle of </w:t>
      </w:r>
      <w:proofErr w:type="spellStart"/>
      <w:r w:rsidRPr="00F52B87">
        <w:rPr>
          <w:rFonts w:asciiTheme="majorHAnsi" w:eastAsia="Times New Roman" w:hAnsiTheme="majorHAnsi"/>
          <w:i/>
          <w:sz w:val="20"/>
          <w:szCs w:val="20"/>
          <w:lang w:eastAsia="es-BO"/>
        </w:rPr>
        <w:t>iura</w:t>
      </w:r>
      <w:proofErr w:type="spellEnd"/>
      <w:r w:rsidRPr="00F52B87">
        <w:rPr>
          <w:rFonts w:asciiTheme="majorHAnsi" w:eastAsia="Times New Roman" w:hAnsiTheme="majorHAnsi"/>
          <w:i/>
          <w:sz w:val="20"/>
          <w:szCs w:val="20"/>
          <w:lang w:eastAsia="es-BO"/>
        </w:rPr>
        <w:t xml:space="preserve"> </w:t>
      </w:r>
      <w:proofErr w:type="spellStart"/>
      <w:r w:rsidRPr="00F52B87">
        <w:rPr>
          <w:rFonts w:asciiTheme="majorHAnsi" w:eastAsia="Times New Roman" w:hAnsiTheme="majorHAnsi"/>
          <w:i/>
          <w:sz w:val="20"/>
          <w:szCs w:val="20"/>
          <w:lang w:eastAsia="es-BO"/>
        </w:rPr>
        <w:t>novit</w:t>
      </w:r>
      <w:proofErr w:type="spellEnd"/>
      <w:r w:rsidRPr="00F52B87">
        <w:rPr>
          <w:rFonts w:asciiTheme="majorHAnsi" w:eastAsia="Times New Roman" w:hAnsiTheme="majorHAnsi"/>
          <w:i/>
          <w:sz w:val="20"/>
          <w:szCs w:val="20"/>
          <w:lang w:eastAsia="es-BO"/>
        </w:rPr>
        <w:t xml:space="preserve"> curia</w:t>
      </w:r>
      <w:r w:rsidRPr="00F52B87">
        <w:rPr>
          <w:rFonts w:asciiTheme="majorHAnsi" w:eastAsia="Times New Roman" w:hAnsiTheme="majorHAnsi"/>
          <w:sz w:val="20"/>
          <w:szCs w:val="20"/>
          <w:lang w:eastAsia="es-BO"/>
        </w:rPr>
        <w:t xml:space="preserve">, the facts described could constitute violations of the rights to judicial guarantees and judicial protection protected at Articles 8 and 25 of the American Convention, and of the obligations to ensure and respect the rights, and the duty to bring domestic legislation into line with the international commitments of the State, as set out in Articles 1(1) and 2 of the American Convention. In that same report the Commission found the petition inadmissible with respect to the wives of the former </w:t>
      </w:r>
      <w:proofErr w:type="spellStart"/>
      <w:r w:rsidRPr="00F52B87">
        <w:rPr>
          <w:rFonts w:asciiTheme="majorHAnsi" w:eastAsia="Times New Roman" w:hAnsiTheme="majorHAnsi"/>
          <w:sz w:val="20"/>
          <w:szCs w:val="20"/>
          <w:lang w:eastAsia="es-BO"/>
        </w:rPr>
        <w:t>Carabineros</w:t>
      </w:r>
      <w:proofErr w:type="spellEnd"/>
      <w:r w:rsidRPr="00F52B87">
        <w:rPr>
          <w:rFonts w:asciiTheme="majorHAnsi" w:eastAsia="Times New Roman" w:hAnsiTheme="majorHAnsi"/>
          <w:sz w:val="20"/>
          <w:szCs w:val="20"/>
          <w:lang w:eastAsia="es-BO"/>
        </w:rPr>
        <w:t xml:space="preserve">, based on Article 47(b) of the Convention, i.e. not having stated facts which, if true, tend to establish a violation of the rights guaranteed by that international instrument. </w:t>
      </w:r>
    </w:p>
    <w:p w:rsidR="00E940BE" w:rsidRPr="00F52B87" w:rsidRDefault="00E940BE" w:rsidP="00E03326">
      <w:pPr>
        <w:ind w:left="720" w:right="720"/>
        <w:jc w:val="both"/>
        <w:rPr>
          <w:rFonts w:asciiTheme="majorHAnsi" w:eastAsia="Times New Roman" w:hAnsiTheme="majorHAnsi"/>
          <w:sz w:val="20"/>
          <w:szCs w:val="20"/>
          <w:lang w:eastAsia="es-BO"/>
        </w:rPr>
      </w:pPr>
    </w:p>
    <w:p w:rsidR="00E940BE" w:rsidRPr="00F52B87" w:rsidRDefault="00E940BE" w:rsidP="00E03326">
      <w:pPr>
        <w:ind w:left="720" w:right="720"/>
        <w:jc w:val="both"/>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t xml:space="preserve">5. </w:t>
      </w:r>
      <w:r w:rsidRPr="00F52B87">
        <w:rPr>
          <w:rFonts w:asciiTheme="majorHAnsi" w:eastAsia="Times New Roman" w:hAnsiTheme="majorHAnsi"/>
          <w:sz w:val="20"/>
          <w:szCs w:val="20"/>
          <w:lang w:eastAsia="es-BO"/>
        </w:rPr>
        <w:tab/>
        <w:t>During the processing of the complaint the alleged victims and the State expressed their will, disposition, and interest in pursuing the friendly settlement procedure set forth at Article 48(1)(f) of the Convention and Article 41 of the IACHR’s Rules of Procedure of the IACHR (hereinafter “the Rules of Procedure”), thereby initiating a process of dialogue and understanding aimed at developing the bases and elements of that agreement, based on respect for the human rights established in the American Convention.</w:t>
      </w:r>
    </w:p>
    <w:p w:rsidR="00E940BE" w:rsidRPr="00F52B87" w:rsidRDefault="00E940BE" w:rsidP="00E03326">
      <w:pPr>
        <w:ind w:left="720" w:right="720"/>
        <w:jc w:val="both"/>
        <w:rPr>
          <w:rFonts w:asciiTheme="majorHAnsi" w:eastAsia="Times New Roman" w:hAnsiTheme="majorHAnsi"/>
          <w:sz w:val="20"/>
          <w:szCs w:val="20"/>
          <w:lang w:eastAsia="es-BO"/>
        </w:rPr>
      </w:pPr>
    </w:p>
    <w:p w:rsidR="00E940BE" w:rsidRPr="00F52B87" w:rsidRDefault="00E940BE" w:rsidP="00E03326">
      <w:pPr>
        <w:ind w:left="720" w:right="720"/>
        <w:jc w:val="both"/>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lastRenderedPageBreak/>
        <w:t xml:space="preserve">6. </w:t>
      </w:r>
      <w:r w:rsidRPr="00F52B87">
        <w:rPr>
          <w:rFonts w:asciiTheme="majorHAnsi" w:eastAsia="Times New Roman" w:hAnsiTheme="majorHAnsi"/>
          <w:sz w:val="20"/>
          <w:szCs w:val="20"/>
          <w:lang w:eastAsia="es-BO"/>
        </w:rPr>
        <w:tab/>
        <w:t xml:space="preserve">On January 20, 2010, in two cases similar to the instant one (No. 12,195. Mario </w:t>
      </w:r>
      <w:proofErr w:type="spellStart"/>
      <w:r w:rsidRPr="00F52B87">
        <w:rPr>
          <w:rFonts w:asciiTheme="majorHAnsi" w:eastAsia="Times New Roman" w:hAnsiTheme="majorHAnsi"/>
          <w:sz w:val="20"/>
          <w:szCs w:val="20"/>
          <w:lang w:eastAsia="es-BO"/>
        </w:rPr>
        <w:t>Jara</w:t>
      </w:r>
      <w:proofErr w:type="spellEnd"/>
      <w:r w:rsidRPr="00F52B87">
        <w:rPr>
          <w:rFonts w:asciiTheme="majorHAnsi" w:eastAsia="Times New Roman" w:hAnsiTheme="majorHAnsi"/>
          <w:sz w:val="20"/>
          <w:szCs w:val="20"/>
          <w:lang w:eastAsia="es-BO"/>
        </w:rPr>
        <w:t xml:space="preserve"> </w:t>
      </w:r>
      <w:proofErr w:type="spellStart"/>
      <w:r w:rsidRPr="00F52B87">
        <w:rPr>
          <w:rFonts w:asciiTheme="majorHAnsi" w:eastAsia="Times New Roman" w:hAnsiTheme="majorHAnsi"/>
          <w:sz w:val="20"/>
          <w:szCs w:val="20"/>
          <w:lang w:eastAsia="es-BO"/>
        </w:rPr>
        <w:t>Oñate</w:t>
      </w:r>
      <w:proofErr w:type="spellEnd"/>
      <w:r w:rsidRPr="00F52B87">
        <w:rPr>
          <w:rStyle w:val="FootnoteReference"/>
          <w:rFonts w:asciiTheme="majorHAnsi" w:eastAsia="Times New Roman" w:hAnsiTheme="majorHAnsi"/>
          <w:sz w:val="20"/>
          <w:szCs w:val="20"/>
          <w:lang w:eastAsia="es-BO"/>
        </w:rPr>
        <w:footnoteReference w:id="2"/>
      </w:r>
      <w:r w:rsidRPr="00F52B87">
        <w:rPr>
          <w:rFonts w:asciiTheme="majorHAnsi" w:eastAsia="Times New Roman" w:hAnsiTheme="majorHAnsi"/>
          <w:sz w:val="20"/>
          <w:szCs w:val="20"/>
          <w:lang w:eastAsia="es-BO"/>
        </w:rPr>
        <w:t xml:space="preserve"> </w:t>
      </w:r>
      <w:r w:rsidRPr="00F52B87">
        <w:rPr>
          <w:rFonts w:asciiTheme="majorHAnsi" w:eastAsia="Times New Roman" w:hAnsiTheme="majorHAnsi"/>
          <w:i/>
          <w:iCs/>
          <w:sz w:val="20"/>
          <w:szCs w:val="20"/>
          <w:lang w:eastAsia="es-BO"/>
        </w:rPr>
        <w:t>et al</w:t>
      </w:r>
      <w:r w:rsidRPr="00F52B87">
        <w:rPr>
          <w:rFonts w:asciiTheme="majorHAnsi" w:eastAsia="Times New Roman" w:hAnsiTheme="majorHAnsi"/>
          <w:sz w:val="20"/>
          <w:szCs w:val="20"/>
          <w:lang w:eastAsia="es-BO"/>
        </w:rPr>
        <w:t xml:space="preserve">., and No. 12,281, Gilda Pizarro Jiménez </w:t>
      </w:r>
      <w:r w:rsidRPr="00F52B87">
        <w:rPr>
          <w:rFonts w:asciiTheme="majorHAnsi" w:eastAsia="Times New Roman" w:hAnsiTheme="majorHAnsi"/>
          <w:i/>
          <w:iCs/>
          <w:sz w:val="20"/>
          <w:szCs w:val="20"/>
          <w:lang w:eastAsia="es-BO"/>
        </w:rPr>
        <w:t>et al</w:t>
      </w:r>
      <w:r w:rsidRPr="00F52B87">
        <w:rPr>
          <w:rFonts w:asciiTheme="majorHAnsi" w:eastAsia="Times New Roman" w:hAnsiTheme="majorHAnsi"/>
          <w:sz w:val="20"/>
          <w:szCs w:val="20"/>
          <w:lang w:eastAsia="es-BO"/>
        </w:rPr>
        <w:t>.</w:t>
      </w:r>
      <w:r w:rsidRPr="00F52B87">
        <w:rPr>
          <w:rStyle w:val="FootnoteReference"/>
          <w:rFonts w:asciiTheme="majorHAnsi" w:eastAsia="Times New Roman" w:hAnsiTheme="majorHAnsi"/>
          <w:sz w:val="20"/>
          <w:szCs w:val="20"/>
          <w:lang w:eastAsia="es-BO"/>
        </w:rPr>
        <w:footnoteReference w:id="3"/>
      </w:r>
      <w:r w:rsidRPr="00F52B87">
        <w:rPr>
          <w:rFonts w:asciiTheme="majorHAnsi" w:eastAsia="Times New Roman" w:hAnsiTheme="majorHAnsi"/>
          <w:sz w:val="20"/>
          <w:szCs w:val="20"/>
          <w:lang w:eastAsia="es-BO"/>
        </w:rPr>
        <w:t xml:space="preserve">, both found admissible by the IACHR) the State signed a friendly settlement agreement, while the negotiation of the instant one was still pending; the instant case is understood to constitute, for all practical purposes, the continuation of the same friendly settlement process initiated with the above-noted cases and, therefore, will not include measures that have already been carried out, such as reviewing the statutory and regulatory provisions applicable in </w:t>
      </w:r>
      <w:proofErr w:type="spellStart"/>
      <w:r w:rsidRPr="00F52B87">
        <w:rPr>
          <w:rFonts w:asciiTheme="majorHAnsi" w:eastAsia="Times New Roman" w:hAnsiTheme="majorHAnsi"/>
          <w:sz w:val="20"/>
          <w:szCs w:val="20"/>
          <w:lang w:eastAsia="es-BO"/>
        </w:rPr>
        <w:t>Carabineros</w:t>
      </w:r>
      <w:proofErr w:type="spellEnd"/>
      <w:r w:rsidRPr="00F52B87">
        <w:rPr>
          <w:rFonts w:asciiTheme="majorHAnsi" w:eastAsia="Times New Roman" w:hAnsiTheme="majorHAnsi"/>
          <w:sz w:val="20"/>
          <w:szCs w:val="20"/>
          <w:lang w:eastAsia="es-BO"/>
        </w:rPr>
        <w:t xml:space="preserve"> in respect of evaluations, public recognition of responsibility, the publication of the agreement, and the letter of apology. </w:t>
      </w:r>
    </w:p>
    <w:p w:rsidR="00E940BE" w:rsidRPr="00F52B87" w:rsidRDefault="00E940BE" w:rsidP="00E03326">
      <w:pPr>
        <w:ind w:left="720" w:right="720"/>
        <w:jc w:val="both"/>
        <w:rPr>
          <w:rFonts w:asciiTheme="majorHAnsi" w:eastAsia="Times New Roman" w:hAnsiTheme="majorHAnsi"/>
          <w:sz w:val="20"/>
          <w:szCs w:val="20"/>
          <w:lang w:eastAsia="es-BO"/>
        </w:rPr>
      </w:pPr>
    </w:p>
    <w:p w:rsidR="00E940BE" w:rsidRPr="00F52B87" w:rsidRDefault="00E940BE" w:rsidP="00E03326">
      <w:pPr>
        <w:ind w:left="720" w:right="720"/>
        <w:jc w:val="both"/>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t xml:space="preserve">7. </w:t>
      </w:r>
      <w:r w:rsidRPr="00F52B87">
        <w:rPr>
          <w:rFonts w:asciiTheme="majorHAnsi" w:eastAsia="Times New Roman" w:hAnsiTheme="majorHAnsi"/>
          <w:sz w:val="20"/>
          <w:szCs w:val="20"/>
          <w:lang w:eastAsia="es-BO"/>
        </w:rPr>
        <w:tab/>
        <w:t>The measures of reparation that are the subject of this agreement are as follows:</w:t>
      </w:r>
    </w:p>
    <w:p w:rsidR="00E940BE" w:rsidRPr="00F52B87" w:rsidRDefault="00E940BE" w:rsidP="00E03326">
      <w:pPr>
        <w:ind w:left="720" w:right="720"/>
        <w:jc w:val="both"/>
        <w:rPr>
          <w:rFonts w:asciiTheme="majorHAnsi" w:eastAsia="Times New Roman" w:hAnsiTheme="majorHAnsi"/>
          <w:sz w:val="20"/>
          <w:szCs w:val="20"/>
          <w:lang w:eastAsia="es-BO"/>
        </w:rPr>
      </w:pPr>
    </w:p>
    <w:p w:rsidR="00E940BE" w:rsidRPr="00F52B87" w:rsidRDefault="00E940BE" w:rsidP="00E03326">
      <w:pPr>
        <w:ind w:left="720" w:right="720"/>
        <w:jc w:val="both"/>
        <w:rPr>
          <w:rFonts w:asciiTheme="majorHAnsi" w:eastAsia="Times New Roman" w:hAnsiTheme="majorHAnsi"/>
          <w:b/>
          <w:sz w:val="20"/>
          <w:szCs w:val="20"/>
          <w:lang w:eastAsia="es-BO"/>
        </w:rPr>
      </w:pPr>
      <w:r w:rsidRPr="00F52B87">
        <w:rPr>
          <w:rFonts w:asciiTheme="majorHAnsi" w:eastAsia="Times New Roman" w:hAnsiTheme="majorHAnsi"/>
          <w:b/>
          <w:sz w:val="20"/>
          <w:szCs w:val="20"/>
          <w:lang w:eastAsia="es-BO"/>
        </w:rPr>
        <w:t xml:space="preserve">I. </w:t>
      </w:r>
      <w:r w:rsidRPr="00F52B87">
        <w:rPr>
          <w:rFonts w:asciiTheme="majorHAnsi" w:eastAsia="Times New Roman" w:hAnsiTheme="majorHAnsi"/>
          <w:b/>
          <w:sz w:val="20"/>
          <w:szCs w:val="20"/>
          <w:lang w:eastAsia="es-BO"/>
        </w:rPr>
        <w:tab/>
        <w:t xml:space="preserve">RECOGNITION OF THE FACTS </w:t>
      </w:r>
    </w:p>
    <w:p w:rsidR="00E940BE" w:rsidRPr="00F52B87" w:rsidRDefault="00E940BE" w:rsidP="00E03326">
      <w:pPr>
        <w:ind w:left="720" w:right="720"/>
        <w:jc w:val="both"/>
        <w:rPr>
          <w:rFonts w:asciiTheme="majorHAnsi" w:eastAsia="Times New Roman" w:hAnsiTheme="majorHAnsi"/>
          <w:b/>
          <w:sz w:val="20"/>
          <w:szCs w:val="20"/>
          <w:lang w:eastAsia="es-BO"/>
        </w:rPr>
      </w:pPr>
    </w:p>
    <w:p w:rsidR="00E940BE" w:rsidRPr="00F52B87" w:rsidRDefault="00E940BE" w:rsidP="00E03326">
      <w:pPr>
        <w:ind w:left="720" w:right="720"/>
        <w:jc w:val="both"/>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t xml:space="preserve">8. </w:t>
      </w:r>
      <w:r w:rsidRPr="00F52B87">
        <w:rPr>
          <w:rFonts w:asciiTheme="majorHAnsi" w:eastAsia="Times New Roman" w:hAnsiTheme="majorHAnsi"/>
          <w:sz w:val="20"/>
          <w:szCs w:val="20"/>
          <w:lang w:eastAsia="es-BO"/>
        </w:rPr>
        <w:tab/>
        <w:t xml:space="preserve">By means of this friendly settlement agreement, the State recognizes the facts set forth in the petition submitted to the Commission. </w:t>
      </w:r>
    </w:p>
    <w:p w:rsidR="00E940BE" w:rsidRPr="00F52B87" w:rsidRDefault="00E940BE" w:rsidP="00E03326">
      <w:pPr>
        <w:ind w:left="720" w:right="720"/>
        <w:jc w:val="both"/>
        <w:rPr>
          <w:rFonts w:asciiTheme="majorHAnsi" w:eastAsia="Times New Roman" w:hAnsiTheme="majorHAnsi"/>
          <w:sz w:val="20"/>
          <w:szCs w:val="20"/>
          <w:lang w:eastAsia="es-BO"/>
        </w:rPr>
      </w:pPr>
    </w:p>
    <w:p w:rsidR="00E940BE" w:rsidRPr="00F52B87" w:rsidRDefault="00E940BE" w:rsidP="00E03326">
      <w:pPr>
        <w:ind w:left="720" w:right="720"/>
        <w:jc w:val="both"/>
        <w:rPr>
          <w:rFonts w:asciiTheme="majorHAnsi" w:eastAsia="Times New Roman" w:hAnsiTheme="majorHAnsi"/>
          <w:b/>
          <w:sz w:val="20"/>
          <w:szCs w:val="20"/>
          <w:lang w:eastAsia="es-BO"/>
        </w:rPr>
      </w:pPr>
      <w:r w:rsidRPr="00F52B87">
        <w:rPr>
          <w:rFonts w:asciiTheme="majorHAnsi" w:eastAsia="Times New Roman" w:hAnsiTheme="majorHAnsi"/>
          <w:b/>
          <w:sz w:val="20"/>
          <w:szCs w:val="20"/>
          <w:lang w:eastAsia="es-BO"/>
        </w:rPr>
        <w:t xml:space="preserve">II. </w:t>
      </w:r>
      <w:r w:rsidRPr="00F52B87">
        <w:rPr>
          <w:rFonts w:asciiTheme="majorHAnsi" w:eastAsia="Times New Roman" w:hAnsiTheme="majorHAnsi"/>
          <w:b/>
          <w:sz w:val="20"/>
          <w:szCs w:val="20"/>
          <w:lang w:eastAsia="es-BO"/>
        </w:rPr>
        <w:tab/>
        <w:t xml:space="preserve">ECONOMIC REPARATION </w:t>
      </w:r>
    </w:p>
    <w:p w:rsidR="00E940BE" w:rsidRPr="00F52B87" w:rsidRDefault="00E940BE" w:rsidP="00E03326">
      <w:pPr>
        <w:ind w:left="720" w:right="720"/>
        <w:jc w:val="both"/>
        <w:rPr>
          <w:rFonts w:asciiTheme="majorHAnsi" w:eastAsia="Times New Roman" w:hAnsiTheme="majorHAnsi"/>
          <w:b/>
          <w:sz w:val="20"/>
          <w:szCs w:val="20"/>
          <w:lang w:eastAsia="es-BO"/>
        </w:rPr>
      </w:pPr>
    </w:p>
    <w:p w:rsidR="00E940BE" w:rsidRPr="00F52B87" w:rsidRDefault="00E940BE" w:rsidP="00E03326">
      <w:pPr>
        <w:ind w:left="720" w:right="720"/>
        <w:jc w:val="both"/>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t xml:space="preserve">9. </w:t>
      </w:r>
      <w:r w:rsidRPr="00F52B87">
        <w:rPr>
          <w:rFonts w:asciiTheme="majorHAnsi" w:eastAsia="Times New Roman" w:hAnsiTheme="majorHAnsi"/>
          <w:sz w:val="20"/>
          <w:szCs w:val="20"/>
          <w:lang w:eastAsia="es-BO"/>
        </w:rPr>
        <w:tab/>
        <w:t xml:space="preserve">The State undertakes to pay the petitioners, as reparation for any possible damage caused, be it material or non-material, an amount equivalent, in pesos, to US$ 17,000 for each of the former </w:t>
      </w:r>
      <w:proofErr w:type="spellStart"/>
      <w:r w:rsidRPr="00F52B87">
        <w:rPr>
          <w:rFonts w:asciiTheme="majorHAnsi" w:eastAsia="Times New Roman" w:hAnsiTheme="majorHAnsi"/>
          <w:sz w:val="20"/>
          <w:szCs w:val="20"/>
          <w:lang w:eastAsia="es-BO"/>
        </w:rPr>
        <w:t>Carabineros</w:t>
      </w:r>
      <w:proofErr w:type="spellEnd"/>
      <w:r w:rsidRPr="00F52B87">
        <w:rPr>
          <w:rFonts w:asciiTheme="majorHAnsi" w:eastAsia="Times New Roman" w:hAnsiTheme="majorHAnsi"/>
          <w:sz w:val="20"/>
          <w:szCs w:val="20"/>
          <w:lang w:eastAsia="es-BO"/>
        </w:rPr>
        <w:t xml:space="preserve"> who are the petitioners, namely: José Luis Tapia </w:t>
      </w:r>
      <w:proofErr w:type="spellStart"/>
      <w:r w:rsidRPr="00F52B87">
        <w:rPr>
          <w:rFonts w:asciiTheme="majorHAnsi" w:eastAsia="Times New Roman" w:hAnsiTheme="majorHAnsi"/>
          <w:sz w:val="20"/>
          <w:szCs w:val="20"/>
          <w:lang w:eastAsia="es-BO"/>
        </w:rPr>
        <w:t>Gonzáles</w:t>
      </w:r>
      <w:proofErr w:type="spellEnd"/>
      <w:r w:rsidRPr="00F52B87">
        <w:rPr>
          <w:rFonts w:asciiTheme="majorHAnsi" w:eastAsia="Times New Roman" w:hAnsiTheme="majorHAnsi"/>
          <w:sz w:val="20"/>
          <w:szCs w:val="20"/>
          <w:lang w:eastAsia="es-BO"/>
        </w:rPr>
        <w:t xml:space="preserve">, José Alejandro </w:t>
      </w:r>
      <w:proofErr w:type="spellStart"/>
      <w:r w:rsidRPr="00F52B87">
        <w:rPr>
          <w:rFonts w:asciiTheme="majorHAnsi" w:eastAsia="Times New Roman" w:hAnsiTheme="majorHAnsi"/>
          <w:sz w:val="20"/>
          <w:szCs w:val="20"/>
          <w:lang w:eastAsia="es-BO"/>
        </w:rPr>
        <w:t>Villagrán</w:t>
      </w:r>
      <w:proofErr w:type="spellEnd"/>
      <w:r w:rsidRPr="00F52B87">
        <w:rPr>
          <w:rFonts w:asciiTheme="majorHAnsi" w:eastAsia="Times New Roman" w:hAnsiTheme="majorHAnsi"/>
          <w:sz w:val="20"/>
          <w:szCs w:val="20"/>
          <w:lang w:eastAsia="es-BO"/>
        </w:rPr>
        <w:t xml:space="preserve"> </w:t>
      </w:r>
      <w:proofErr w:type="spellStart"/>
      <w:r w:rsidRPr="00F52B87">
        <w:rPr>
          <w:rFonts w:asciiTheme="majorHAnsi" w:eastAsia="Times New Roman" w:hAnsiTheme="majorHAnsi"/>
          <w:sz w:val="20"/>
          <w:szCs w:val="20"/>
          <w:lang w:eastAsia="es-BO"/>
        </w:rPr>
        <w:t>Guzmán</w:t>
      </w:r>
      <w:proofErr w:type="spellEnd"/>
      <w:r w:rsidRPr="00F52B87">
        <w:rPr>
          <w:rFonts w:asciiTheme="majorHAnsi" w:eastAsia="Times New Roman" w:hAnsiTheme="majorHAnsi"/>
          <w:sz w:val="20"/>
          <w:szCs w:val="20"/>
          <w:lang w:eastAsia="es-BO"/>
        </w:rPr>
        <w:t xml:space="preserve">, Luis Eduardo Hernández </w:t>
      </w:r>
      <w:proofErr w:type="spellStart"/>
      <w:r w:rsidRPr="00F52B87">
        <w:rPr>
          <w:rFonts w:asciiTheme="majorHAnsi" w:eastAsia="Times New Roman" w:hAnsiTheme="majorHAnsi"/>
          <w:sz w:val="20"/>
          <w:szCs w:val="20"/>
          <w:lang w:eastAsia="es-BO"/>
        </w:rPr>
        <w:t>Mieville</w:t>
      </w:r>
      <w:proofErr w:type="spellEnd"/>
      <w:r w:rsidRPr="00F52B87">
        <w:rPr>
          <w:rFonts w:asciiTheme="majorHAnsi" w:eastAsia="Times New Roman" w:hAnsiTheme="majorHAnsi"/>
          <w:sz w:val="20"/>
          <w:szCs w:val="20"/>
          <w:lang w:eastAsia="es-BO"/>
        </w:rPr>
        <w:t xml:space="preserve">, Nelson Enrique </w:t>
      </w:r>
      <w:proofErr w:type="spellStart"/>
      <w:r w:rsidRPr="00F52B87">
        <w:rPr>
          <w:rFonts w:asciiTheme="majorHAnsi" w:eastAsia="Times New Roman" w:hAnsiTheme="majorHAnsi"/>
          <w:sz w:val="20"/>
          <w:szCs w:val="20"/>
          <w:lang w:eastAsia="es-BO"/>
        </w:rPr>
        <w:t>Garrido</w:t>
      </w:r>
      <w:proofErr w:type="spellEnd"/>
      <w:r w:rsidRPr="00F52B87">
        <w:rPr>
          <w:rFonts w:asciiTheme="majorHAnsi" w:eastAsia="Times New Roman" w:hAnsiTheme="majorHAnsi"/>
          <w:sz w:val="20"/>
          <w:szCs w:val="20"/>
          <w:lang w:eastAsia="es-BO"/>
        </w:rPr>
        <w:t xml:space="preserve"> Reyes, Manuel Augusto Zamora </w:t>
      </w:r>
      <w:proofErr w:type="spellStart"/>
      <w:r w:rsidRPr="00F52B87">
        <w:rPr>
          <w:rFonts w:asciiTheme="majorHAnsi" w:eastAsia="Times New Roman" w:hAnsiTheme="majorHAnsi"/>
          <w:sz w:val="20"/>
          <w:szCs w:val="20"/>
          <w:lang w:eastAsia="es-BO"/>
        </w:rPr>
        <w:t>Irarrázabal</w:t>
      </w:r>
      <w:proofErr w:type="spellEnd"/>
      <w:r w:rsidRPr="00F52B87">
        <w:rPr>
          <w:rFonts w:asciiTheme="majorHAnsi" w:eastAsia="Times New Roman" w:hAnsiTheme="majorHAnsi"/>
          <w:sz w:val="20"/>
          <w:szCs w:val="20"/>
          <w:lang w:eastAsia="es-BO"/>
        </w:rPr>
        <w:t xml:space="preserve">, David </w:t>
      </w:r>
      <w:proofErr w:type="spellStart"/>
      <w:r w:rsidRPr="00F52B87">
        <w:rPr>
          <w:rFonts w:asciiTheme="majorHAnsi" w:eastAsia="Times New Roman" w:hAnsiTheme="majorHAnsi"/>
          <w:sz w:val="20"/>
          <w:szCs w:val="20"/>
          <w:lang w:eastAsia="es-BO"/>
        </w:rPr>
        <w:t>Matías</w:t>
      </w:r>
      <w:proofErr w:type="spellEnd"/>
      <w:r w:rsidRPr="00F52B87">
        <w:rPr>
          <w:rFonts w:asciiTheme="majorHAnsi" w:eastAsia="Times New Roman" w:hAnsiTheme="majorHAnsi"/>
          <w:sz w:val="20"/>
          <w:szCs w:val="20"/>
          <w:lang w:eastAsia="es-BO"/>
        </w:rPr>
        <w:t xml:space="preserve"> </w:t>
      </w:r>
      <w:proofErr w:type="spellStart"/>
      <w:r w:rsidRPr="00F52B87">
        <w:rPr>
          <w:rFonts w:asciiTheme="majorHAnsi" w:eastAsia="Times New Roman" w:hAnsiTheme="majorHAnsi"/>
          <w:sz w:val="20"/>
          <w:szCs w:val="20"/>
          <w:lang w:eastAsia="es-BO"/>
        </w:rPr>
        <w:t>Álvarez</w:t>
      </w:r>
      <w:proofErr w:type="spellEnd"/>
      <w:r w:rsidRPr="00F52B87">
        <w:rPr>
          <w:rFonts w:asciiTheme="majorHAnsi" w:eastAsia="Times New Roman" w:hAnsiTheme="majorHAnsi"/>
          <w:sz w:val="20"/>
          <w:szCs w:val="20"/>
          <w:lang w:eastAsia="es-BO"/>
        </w:rPr>
        <w:t xml:space="preserve"> </w:t>
      </w:r>
      <w:proofErr w:type="spellStart"/>
      <w:r w:rsidRPr="00F52B87">
        <w:rPr>
          <w:rFonts w:asciiTheme="majorHAnsi" w:eastAsia="Times New Roman" w:hAnsiTheme="majorHAnsi"/>
          <w:sz w:val="20"/>
          <w:szCs w:val="20"/>
          <w:lang w:eastAsia="es-BO"/>
        </w:rPr>
        <w:t>Álvarez</w:t>
      </w:r>
      <w:proofErr w:type="spellEnd"/>
      <w:r w:rsidRPr="00F52B87">
        <w:rPr>
          <w:rFonts w:asciiTheme="majorHAnsi" w:eastAsia="Times New Roman" w:hAnsiTheme="majorHAnsi"/>
          <w:sz w:val="20"/>
          <w:szCs w:val="20"/>
          <w:lang w:eastAsia="es-BO"/>
        </w:rPr>
        <w:t>, and Víctor Alejandro Lago Maldonado.</w:t>
      </w:r>
    </w:p>
    <w:p w:rsidR="00E940BE" w:rsidRPr="00F52B87" w:rsidRDefault="00E940BE" w:rsidP="00E03326">
      <w:pPr>
        <w:ind w:left="720" w:right="720"/>
        <w:jc w:val="both"/>
        <w:rPr>
          <w:rFonts w:asciiTheme="majorHAnsi" w:eastAsia="Times New Roman" w:hAnsiTheme="majorHAnsi"/>
          <w:sz w:val="20"/>
          <w:szCs w:val="20"/>
          <w:lang w:eastAsia="es-BO"/>
        </w:rPr>
      </w:pPr>
    </w:p>
    <w:p w:rsidR="00E940BE" w:rsidRPr="00F52B87" w:rsidRDefault="00E940BE" w:rsidP="00E03326">
      <w:pPr>
        <w:ind w:left="720" w:right="720"/>
        <w:jc w:val="both"/>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t xml:space="preserve">The payment of the above-indicated amounts shall be made in the equivalent in Chilean pesos at the moment of the payment. </w:t>
      </w:r>
    </w:p>
    <w:p w:rsidR="00E940BE" w:rsidRPr="00F52B87" w:rsidRDefault="00E940BE" w:rsidP="00E03326">
      <w:pPr>
        <w:ind w:left="720" w:right="720"/>
        <w:jc w:val="both"/>
        <w:rPr>
          <w:rFonts w:asciiTheme="majorHAnsi" w:eastAsia="Times New Roman" w:hAnsiTheme="majorHAnsi"/>
          <w:sz w:val="20"/>
          <w:szCs w:val="20"/>
          <w:lang w:eastAsia="es-BO"/>
        </w:rPr>
      </w:pPr>
    </w:p>
    <w:p w:rsidR="00E940BE" w:rsidRPr="00F52B87" w:rsidRDefault="00E940BE" w:rsidP="00E03326">
      <w:pPr>
        <w:ind w:left="720" w:right="720"/>
        <w:jc w:val="both"/>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t xml:space="preserve">The payment shall be made by personal check to the order of Mr. </w:t>
      </w:r>
      <w:proofErr w:type="spellStart"/>
      <w:r w:rsidRPr="00F52B87">
        <w:rPr>
          <w:rFonts w:asciiTheme="majorHAnsi" w:eastAsia="Times New Roman" w:hAnsiTheme="majorHAnsi"/>
          <w:sz w:val="20"/>
          <w:szCs w:val="20"/>
          <w:lang w:eastAsia="es-BO"/>
        </w:rPr>
        <w:t>Fabián</w:t>
      </w:r>
      <w:proofErr w:type="spellEnd"/>
      <w:r w:rsidRPr="00F52B87">
        <w:rPr>
          <w:rFonts w:asciiTheme="majorHAnsi" w:eastAsia="Times New Roman" w:hAnsiTheme="majorHAnsi"/>
          <w:sz w:val="20"/>
          <w:szCs w:val="20"/>
          <w:lang w:eastAsia="es-BO"/>
        </w:rPr>
        <w:t xml:space="preserve"> Pacheco </w:t>
      </w:r>
      <w:proofErr w:type="spellStart"/>
      <w:r w:rsidRPr="00F52B87">
        <w:rPr>
          <w:rFonts w:asciiTheme="majorHAnsi" w:eastAsia="Times New Roman" w:hAnsiTheme="majorHAnsi"/>
          <w:sz w:val="20"/>
          <w:szCs w:val="20"/>
          <w:lang w:eastAsia="es-BO"/>
        </w:rPr>
        <w:t>Ilabaca</w:t>
      </w:r>
      <w:proofErr w:type="spellEnd"/>
      <w:r w:rsidRPr="00F52B87">
        <w:rPr>
          <w:rFonts w:asciiTheme="majorHAnsi" w:eastAsia="Times New Roman" w:hAnsiTheme="majorHAnsi"/>
          <w:sz w:val="20"/>
          <w:szCs w:val="20"/>
          <w:lang w:eastAsia="es-BO"/>
        </w:rPr>
        <w:t xml:space="preserve">, attorney representing the former </w:t>
      </w:r>
      <w:proofErr w:type="spellStart"/>
      <w:r w:rsidRPr="00F52B87">
        <w:rPr>
          <w:rFonts w:asciiTheme="majorHAnsi" w:eastAsia="Times New Roman" w:hAnsiTheme="majorHAnsi"/>
          <w:sz w:val="20"/>
          <w:szCs w:val="20"/>
          <w:lang w:eastAsia="es-BO"/>
        </w:rPr>
        <w:t>Carabineros</w:t>
      </w:r>
      <w:proofErr w:type="spellEnd"/>
      <w:r w:rsidRPr="00F52B87">
        <w:rPr>
          <w:rFonts w:asciiTheme="majorHAnsi" w:eastAsia="Times New Roman" w:hAnsiTheme="majorHAnsi"/>
          <w:sz w:val="20"/>
          <w:szCs w:val="20"/>
          <w:lang w:eastAsia="es-BO"/>
        </w:rPr>
        <w:t xml:space="preserve"> who are the petitioners, within three months of the date of the signing of this agreement. That document shall be delivered to him by </w:t>
      </w:r>
      <w:proofErr w:type="spellStart"/>
      <w:r w:rsidRPr="00F52B87">
        <w:rPr>
          <w:rFonts w:asciiTheme="majorHAnsi" w:eastAsia="Times New Roman" w:hAnsiTheme="majorHAnsi"/>
          <w:sz w:val="20"/>
          <w:szCs w:val="20"/>
          <w:lang w:eastAsia="es-BO"/>
        </w:rPr>
        <w:t>Carabineros</w:t>
      </w:r>
      <w:proofErr w:type="spellEnd"/>
      <w:r w:rsidRPr="00F52B87">
        <w:rPr>
          <w:rFonts w:asciiTheme="majorHAnsi" w:eastAsia="Times New Roman" w:hAnsiTheme="majorHAnsi"/>
          <w:sz w:val="20"/>
          <w:szCs w:val="20"/>
          <w:lang w:eastAsia="es-BO"/>
        </w:rPr>
        <w:t xml:space="preserve"> de Chile, after showing a national ID card and power of attorney for receiving the payment; and he will be obligated to subsequently make electronic transfers or deposits to the bank accounts of each of them. </w:t>
      </w:r>
    </w:p>
    <w:p w:rsidR="00E940BE" w:rsidRPr="00F52B87" w:rsidRDefault="00E940BE" w:rsidP="00E03326">
      <w:pPr>
        <w:ind w:left="720" w:right="720"/>
        <w:jc w:val="both"/>
        <w:rPr>
          <w:rFonts w:asciiTheme="majorHAnsi" w:eastAsia="Times New Roman" w:hAnsiTheme="majorHAnsi"/>
          <w:sz w:val="20"/>
          <w:szCs w:val="20"/>
          <w:lang w:eastAsia="es-BO"/>
        </w:rPr>
      </w:pPr>
    </w:p>
    <w:p w:rsidR="00E940BE" w:rsidRPr="00F52B87" w:rsidRDefault="00E940BE" w:rsidP="00E03326">
      <w:pPr>
        <w:ind w:left="720" w:right="720"/>
        <w:jc w:val="both"/>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t xml:space="preserve">Mr. </w:t>
      </w:r>
      <w:proofErr w:type="spellStart"/>
      <w:r w:rsidRPr="00F52B87">
        <w:rPr>
          <w:rFonts w:asciiTheme="majorHAnsi" w:eastAsia="Times New Roman" w:hAnsiTheme="majorHAnsi"/>
          <w:sz w:val="20"/>
          <w:szCs w:val="20"/>
          <w:lang w:eastAsia="es-BO"/>
        </w:rPr>
        <w:t>Fabián</w:t>
      </w:r>
      <w:proofErr w:type="spellEnd"/>
      <w:r w:rsidRPr="00F52B87">
        <w:rPr>
          <w:rFonts w:asciiTheme="majorHAnsi" w:eastAsia="Times New Roman" w:hAnsiTheme="majorHAnsi"/>
          <w:sz w:val="20"/>
          <w:szCs w:val="20"/>
          <w:lang w:eastAsia="es-BO"/>
        </w:rPr>
        <w:t xml:space="preserve"> Pacheco </w:t>
      </w:r>
      <w:proofErr w:type="spellStart"/>
      <w:r w:rsidRPr="00F52B87">
        <w:rPr>
          <w:rFonts w:asciiTheme="majorHAnsi" w:eastAsia="Times New Roman" w:hAnsiTheme="majorHAnsi"/>
          <w:sz w:val="20"/>
          <w:szCs w:val="20"/>
          <w:lang w:eastAsia="es-BO"/>
        </w:rPr>
        <w:t>Ilabaca</w:t>
      </w:r>
      <w:proofErr w:type="spellEnd"/>
      <w:r w:rsidRPr="00F52B87">
        <w:rPr>
          <w:rFonts w:asciiTheme="majorHAnsi" w:eastAsia="Times New Roman" w:hAnsiTheme="majorHAnsi"/>
          <w:sz w:val="20"/>
          <w:szCs w:val="20"/>
          <w:lang w:eastAsia="es-BO"/>
        </w:rPr>
        <w:t xml:space="preserve"> should deliver to </w:t>
      </w:r>
      <w:proofErr w:type="spellStart"/>
      <w:r w:rsidRPr="00F52B87">
        <w:rPr>
          <w:rFonts w:asciiTheme="majorHAnsi" w:eastAsia="Times New Roman" w:hAnsiTheme="majorHAnsi"/>
          <w:sz w:val="20"/>
          <w:szCs w:val="20"/>
          <w:lang w:eastAsia="es-BO"/>
        </w:rPr>
        <w:t>Carabineros</w:t>
      </w:r>
      <w:proofErr w:type="spellEnd"/>
      <w:r w:rsidRPr="00F52B87">
        <w:rPr>
          <w:rFonts w:asciiTheme="majorHAnsi" w:eastAsia="Times New Roman" w:hAnsiTheme="majorHAnsi"/>
          <w:sz w:val="20"/>
          <w:szCs w:val="20"/>
          <w:lang w:eastAsia="es-BO"/>
        </w:rPr>
        <w:t xml:space="preserve"> de Chile the vouchers for the electronic bank transfers or deposits he makes, along with a document certifying its receipt by the petitioners, stating their agreement. </w:t>
      </w:r>
    </w:p>
    <w:p w:rsidR="00E940BE" w:rsidRPr="00F52B87" w:rsidRDefault="00E940BE" w:rsidP="00E03326">
      <w:pPr>
        <w:ind w:left="720" w:right="720"/>
        <w:jc w:val="both"/>
        <w:rPr>
          <w:rFonts w:asciiTheme="majorHAnsi" w:eastAsia="Times New Roman" w:hAnsiTheme="majorHAnsi"/>
          <w:sz w:val="20"/>
          <w:szCs w:val="20"/>
          <w:lang w:eastAsia="es-BO"/>
        </w:rPr>
      </w:pPr>
    </w:p>
    <w:p w:rsidR="00E940BE" w:rsidRPr="00F52B87" w:rsidRDefault="00E940BE" w:rsidP="00E03326">
      <w:pPr>
        <w:ind w:left="720" w:right="720"/>
        <w:jc w:val="both"/>
        <w:rPr>
          <w:rFonts w:asciiTheme="majorHAnsi" w:eastAsia="Times New Roman" w:hAnsiTheme="majorHAnsi"/>
          <w:b/>
          <w:sz w:val="20"/>
          <w:szCs w:val="20"/>
          <w:lang w:eastAsia="es-BO"/>
        </w:rPr>
      </w:pPr>
      <w:r w:rsidRPr="00F52B87">
        <w:rPr>
          <w:rFonts w:asciiTheme="majorHAnsi" w:eastAsia="Times New Roman" w:hAnsiTheme="majorHAnsi"/>
          <w:b/>
          <w:sz w:val="20"/>
          <w:szCs w:val="20"/>
          <w:lang w:eastAsia="es-BO"/>
        </w:rPr>
        <w:t xml:space="preserve">III. </w:t>
      </w:r>
      <w:r w:rsidRPr="00F52B87">
        <w:rPr>
          <w:rFonts w:asciiTheme="majorHAnsi" w:eastAsia="Times New Roman" w:hAnsiTheme="majorHAnsi"/>
          <w:b/>
          <w:sz w:val="20"/>
          <w:szCs w:val="20"/>
          <w:lang w:eastAsia="es-BO"/>
        </w:rPr>
        <w:tab/>
        <w:t xml:space="preserve">MONITORING COMMISSION </w:t>
      </w:r>
    </w:p>
    <w:p w:rsidR="00E940BE" w:rsidRPr="00F52B87" w:rsidRDefault="00E940BE" w:rsidP="00E03326">
      <w:pPr>
        <w:ind w:left="720" w:right="720"/>
        <w:jc w:val="both"/>
        <w:rPr>
          <w:rFonts w:asciiTheme="majorHAnsi" w:eastAsia="Times New Roman" w:hAnsiTheme="majorHAnsi"/>
          <w:b/>
          <w:sz w:val="20"/>
          <w:szCs w:val="20"/>
          <w:lang w:eastAsia="es-BO"/>
        </w:rPr>
      </w:pPr>
    </w:p>
    <w:p w:rsidR="00E940BE" w:rsidRPr="00F52B87" w:rsidRDefault="00E940BE" w:rsidP="00E03326">
      <w:pPr>
        <w:ind w:left="720" w:right="720"/>
        <w:jc w:val="both"/>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t xml:space="preserve">10. </w:t>
      </w:r>
      <w:r w:rsidRPr="00F52B87">
        <w:rPr>
          <w:rFonts w:asciiTheme="majorHAnsi" w:eastAsia="Times New Roman" w:hAnsiTheme="majorHAnsi"/>
          <w:sz w:val="20"/>
          <w:szCs w:val="20"/>
          <w:lang w:eastAsia="es-BO"/>
        </w:rPr>
        <w:tab/>
        <w:t xml:space="preserve">For the purposes of monitoring the performance of the commitments assumed in this agreement, the parties agree to constitute a “Monitoring Commission” coordinated by the Human Rights Bureau of the Ministry of Foreign Affairs and the Office of the Undersecretary for Human Rights of the Ministry of Justice and Human Rights, through their respective representatives. This Commission will also be made up of a representative of </w:t>
      </w:r>
      <w:proofErr w:type="spellStart"/>
      <w:r w:rsidRPr="00F52B87">
        <w:rPr>
          <w:rFonts w:asciiTheme="majorHAnsi" w:eastAsia="Times New Roman" w:hAnsiTheme="majorHAnsi"/>
          <w:sz w:val="20"/>
          <w:szCs w:val="20"/>
          <w:lang w:eastAsia="es-BO"/>
        </w:rPr>
        <w:t>Carabineros</w:t>
      </w:r>
      <w:proofErr w:type="spellEnd"/>
      <w:r w:rsidRPr="00F52B87">
        <w:rPr>
          <w:rFonts w:asciiTheme="majorHAnsi" w:eastAsia="Times New Roman" w:hAnsiTheme="majorHAnsi"/>
          <w:sz w:val="20"/>
          <w:szCs w:val="20"/>
          <w:lang w:eastAsia="es-BO"/>
        </w:rPr>
        <w:t xml:space="preserve"> de Chile and the attorney representing the victims. The methodology and frequency of the meetings of this Commission shall be determined by consensus by its members. The Commission shall deliver a progress report on the obligations assumed in this report to the </w:t>
      </w:r>
      <w:r w:rsidRPr="00F52B87">
        <w:rPr>
          <w:rFonts w:asciiTheme="majorHAnsi" w:eastAsia="Times New Roman" w:hAnsiTheme="majorHAnsi"/>
          <w:sz w:val="20"/>
          <w:szCs w:val="20"/>
          <w:lang w:eastAsia="es-BO"/>
        </w:rPr>
        <w:lastRenderedPageBreak/>
        <w:t>Executive Secretariat of the IACHR when it considers it appropriate or when asked to do so by said inter-American organ.</w:t>
      </w:r>
    </w:p>
    <w:p w:rsidR="00E940BE" w:rsidRPr="00F52B87" w:rsidRDefault="00E940BE" w:rsidP="00E03326">
      <w:pPr>
        <w:ind w:left="720" w:right="720"/>
        <w:jc w:val="both"/>
        <w:rPr>
          <w:rFonts w:asciiTheme="majorHAnsi" w:eastAsia="Times New Roman" w:hAnsiTheme="majorHAnsi"/>
          <w:sz w:val="20"/>
          <w:szCs w:val="20"/>
          <w:lang w:eastAsia="es-BO"/>
        </w:rPr>
      </w:pPr>
    </w:p>
    <w:p w:rsidR="00E940BE" w:rsidRPr="00F52B87" w:rsidRDefault="00E940BE" w:rsidP="00E03326">
      <w:pPr>
        <w:ind w:left="720" w:right="720"/>
        <w:jc w:val="both"/>
        <w:rPr>
          <w:rFonts w:asciiTheme="majorHAnsi" w:eastAsia="Times New Roman" w:hAnsiTheme="majorHAnsi"/>
          <w:b/>
          <w:sz w:val="20"/>
          <w:szCs w:val="20"/>
          <w:lang w:eastAsia="es-BO"/>
        </w:rPr>
      </w:pPr>
      <w:r w:rsidRPr="00F52B87">
        <w:rPr>
          <w:rFonts w:asciiTheme="majorHAnsi" w:eastAsia="Times New Roman" w:hAnsiTheme="majorHAnsi"/>
          <w:b/>
          <w:sz w:val="20"/>
          <w:szCs w:val="20"/>
          <w:lang w:eastAsia="es-BO"/>
        </w:rPr>
        <w:t xml:space="preserve">IV. </w:t>
      </w:r>
      <w:r w:rsidRPr="00F52B87">
        <w:rPr>
          <w:rFonts w:asciiTheme="majorHAnsi" w:eastAsia="Times New Roman" w:hAnsiTheme="majorHAnsi"/>
          <w:b/>
          <w:sz w:val="20"/>
          <w:szCs w:val="20"/>
          <w:lang w:eastAsia="es-BO"/>
        </w:rPr>
        <w:tab/>
        <w:t xml:space="preserve">FAILURE TO PERFORM ON COMMITMENTS ASSUMED </w:t>
      </w:r>
    </w:p>
    <w:p w:rsidR="00E940BE" w:rsidRPr="00F52B87" w:rsidRDefault="00E940BE" w:rsidP="00E03326">
      <w:pPr>
        <w:ind w:left="720" w:right="720"/>
        <w:jc w:val="both"/>
        <w:rPr>
          <w:rFonts w:asciiTheme="majorHAnsi" w:eastAsia="Times New Roman" w:hAnsiTheme="majorHAnsi"/>
          <w:b/>
          <w:sz w:val="20"/>
          <w:szCs w:val="20"/>
          <w:lang w:eastAsia="es-BO"/>
        </w:rPr>
      </w:pPr>
    </w:p>
    <w:p w:rsidR="00E940BE" w:rsidRPr="00F52B87" w:rsidRDefault="00E940BE" w:rsidP="00E03326">
      <w:pPr>
        <w:ind w:left="720" w:right="720"/>
        <w:jc w:val="both"/>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t xml:space="preserve">11. </w:t>
      </w:r>
      <w:r w:rsidRPr="00F52B87">
        <w:rPr>
          <w:rFonts w:asciiTheme="majorHAnsi" w:eastAsia="Times New Roman" w:hAnsiTheme="majorHAnsi"/>
          <w:sz w:val="20"/>
          <w:szCs w:val="20"/>
          <w:lang w:eastAsia="es-BO"/>
        </w:rPr>
        <w:tab/>
        <w:t xml:space="preserve">The failure to perform on the commitments assumed will give either party the right to put an end to this friendly settlement agreement, so informing the IACHR, and authorizing it to continue processing the petition as provided for in its Rules of Procedure. </w:t>
      </w:r>
    </w:p>
    <w:p w:rsidR="00E940BE" w:rsidRPr="00F52B87" w:rsidRDefault="00E940BE" w:rsidP="00E03326">
      <w:pPr>
        <w:ind w:left="720" w:right="720"/>
        <w:jc w:val="both"/>
        <w:rPr>
          <w:rFonts w:asciiTheme="majorHAnsi" w:eastAsia="Times New Roman" w:hAnsiTheme="majorHAnsi"/>
          <w:sz w:val="20"/>
          <w:szCs w:val="20"/>
          <w:lang w:eastAsia="es-BO"/>
        </w:rPr>
      </w:pPr>
    </w:p>
    <w:p w:rsidR="00E940BE" w:rsidRPr="00F52B87" w:rsidRDefault="00E940BE" w:rsidP="00E03326">
      <w:pPr>
        <w:ind w:left="720" w:right="720"/>
        <w:jc w:val="both"/>
        <w:rPr>
          <w:rFonts w:asciiTheme="majorHAnsi" w:eastAsia="Times New Roman" w:hAnsiTheme="majorHAnsi"/>
          <w:b/>
          <w:sz w:val="20"/>
          <w:szCs w:val="20"/>
          <w:lang w:eastAsia="es-BO"/>
        </w:rPr>
      </w:pPr>
      <w:r w:rsidRPr="00F52B87">
        <w:rPr>
          <w:rFonts w:asciiTheme="majorHAnsi" w:eastAsia="Times New Roman" w:hAnsiTheme="majorHAnsi"/>
          <w:b/>
          <w:sz w:val="20"/>
          <w:szCs w:val="20"/>
          <w:lang w:eastAsia="es-BO"/>
        </w:rPr>
        <w:t xml:space="preserve">V. </w:t>
      </w:r>
      <w:r w:rsidRPr="00F52B87">
        <w:rPr>
          <w:rFonts w:asciiTheme="majorHAnsi" w:eastAsia="Times New Roman" w:hAnsiTheme="majorHAnsi"/>
          <w:b/>
          <w:sz w:val="20"/>
          <w:szCs w:val="20"/>
          <w:lang w:eastAsia="es-BO"/>
        </w:rPr>
        <w:tab/>
        <w:t xml:space="preserve">WAIVER OF CLAIMS FOR COSTS AND FEES </w:t>
      </w:r>
    </w:p>
    <w:p w:rsidR="00E940BE" w:rsidRPr="00F52B87" w:rsidRDefault="00E940BE" w:rsidP="00E03326">
      <w:pPr>
        <w:ind w:left="720" w:right="720"/>
        <w:jc w:val="both"/>
        <w:rPr>
          <w:rFonts w:asciiTheme="majorHAnsi" w:eastAsia="Times New Roman" w:hAnsiTheme="majorHAnsi"/>
          <w:b/>
          <w:sz w:val="20"/>
          <w:szCs w:val="20"/>
          <w:lang w:eastAsia="es-BO"/>
        </w:rPr>
      </w:pPr>
    </w:p>
    <w:p w:rsidR="00E940BE" w:rsidRPr="00F52B87" w:rsidRDefault="00E940BE" w:rsidP="00E03326">
      <w:pPr>
        <w:ind w:left="720" w:right="720"/>
        <w:jc w:val="both"/>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t xml:space="preserve">12. </w:t>
      </w:r>
      <w:r w:rsidRPr="00F52B87">
        <w:rPr>
          <w:rFonts w:asciiTheme="majorHAnsi" w:eastAsia="Times New Roman" w:hAnsiTheme="majorHAnsi"/>
          <w:sz w:val="20"/>
          <w:szCs w:val="20"/>
          <w:lang w:eastAsia="es-BO"/>
        </w:rPr>
        <w:tab/>
        <w:t xml:space="preserve">It is clearly established that, in order to facilitate reaching a friendly settlement in this case, the victims state that they waive their right to claim that the State should cover their costs and fees. </w:t>
      </w:r>
    </w:p>
    <w:p w:rsidR="00E940BE" w:rsidRPr="00F52B87" w:rsidRDefault="00E940BE" w:rsidP="00E03326">
      <w:pPr>
        <w:ind w:left="720" w:right="720"/>
        <w:jc w:val="both"/>
        <w:rPr>
          <w:rFonts w:asciiTheme="majorHAnsi" w:eastAsia="Times New Roman" w:hAnsiTheme="majorHAnsi"/>
          <w:sz w:val="20"/>
          <w:szCs w:val="20"/>
          <w:lang w:eastAsia="es-BO"/>
        </w:rPr>
      </w:pPr>
    </w:p>
    <w:p w:rsidR="00E940BE" w:rsidRPr="00F52B87" w:rsidRDefault="00E940BE" w:rsidP="00E03326">
      <w:pPr>
        <w:ind w:left="720" w:right="720"/>
        <w:jc w:val="both"/>
        <w:rPr>
          <w:rFonts w:asciiTheme="majorHAnsi" w:eastAsia="Times New Roman" w:hAnsiTheme="majorHAnsi"/>
          <w:b/>
          <w:sz w:val="20"/>
          <w:szCs w:val="20"/>
          <w:lang w:eastAsia="es-BO"/>
        </w:rPr>
      </w:pPr>
      <w:r w:rsidRPr="00F52B87">
        <w:rPr>
          <w:rFonts w:asciiTheme="majorHAnsi" w:eastAsia="Times New Roman" w:hAnsiTheme="majorHAnsi"/>
          <w:b/>
          <w:sz w:val="20"/>
          <w:szCs w:val="20"/>
          <w:lang w:eastAsia="es-BO"/>
        </w:rPr>
        <w:t xml:space="preserve">VI. </w:t>
      </w:r>
      <w:r w:rsidRPr="00F52B87">
        <w:rPr>
          <w:rFonts w:asciiTheme="majorHAnsi" w:eastAsia="Times New Roman" w:hAnsiTheme="majorHAnsi"/>
          <w:b/>
          <w:sz w:val="20"/>
          <w:szCs w:val="20"/>
          <w:lang w:eastAsia="es-BO"/>
        </w:rPr>
        <w:tab/>
        <w:t>INTERPRETATION</w:t>
      </w:r>
    </w:p>
    <w:p w:rsidR="00E940BE" w:rsidRPr="00F52B87" w:rsidRDefault="00E940BE" w:rsidP="00E03326">
      <w:pPr>
        <w:ind w:left="720" w:right="720"/>
        <w:jc w:val="both"/>
        <w:rPr>
          <w:rFonts w:asciiTheme="majorHAnsi" w:eastAsia="Times New Roman" w:hAnsiTheme="majorHAnsi"/>
          <w:b/>
          <w:sz w:val="20"/>
          <w:szCs w:val="20"/>
          <w:lang w:eastAsia="es-BO"/>
        </w:rPr>
      </w:pPr>
    </w:p>
    <w:p w:rsidR="00E940BE" w:rsidRPr="00F52B87" w:rsidRDefault="00E940BE" w:rsidP="00E03326">
      <w:pPr>
        <w:ind w:left="720" w:right="720"/>
        <w:jc w:val="both"/>
        <w:rPr>
          <w:rFonts w:asciiTheme="majorHAnsi" w:eastAsia="Times New Roman" w:hAnsiTheme="majorHAnsi"/>
          <w:sz w:val="20"/>
          <w:szCs w:val="20"/>
          <w:lang w:eastAsia="es-BO"/>
        </w:rPr>
      </w:pPr>
      <w:r w:rsidRPr="00F52B87">
        <w:rPr>
          <w:rFonts w:asciiTheme="majorHAnsi" w:eastAsia="Times New Roman" w:hAnsiTheme="majorHAnsi"/>
          <w:sz w:val="20"/>
          <w:szCs w:val="20"/>
          <w:lang w:eastAsia="es-BO"/>
        </w:rPr>
        <w:t xml:space="preserve">13. </w:t>
      </w:r>
      <w:r w:rsidRPr="00F52B87">
        <w:rPr>
          <w:rFonts w:asciiTheme="majorHAnsi" w:eastAsia="Times New Roman" w:hAnsiTheme="majorHAnsi"/>
          <w:sz w:val="20"/>
          <w:szCs w:val="20"/>
          <w:lang w:eastAsia="es-BO"/>
        </w:rPr>
        <w:tab/>
        <w:t xml:space="preserve">The parties agree that the meaning and scope of this agreement shall be interpreted in keeping with Articles 29 and 30 of the ACHR, where relevant, and the principle of good faith. In cases of doubt or discrepancy between the parties regarding the content of this Agreement the IACHR shall decide on its interpretation. It shall also be up to the IACHR to verify its implementation. </w:t>
      </w:r>
    </w:p>
    <w:p w:rsidR="00E940BE" w:rsidRPr="00F52B87" w:rsidRDefault="00E940BE" w:rsidP="00E03326">
      <w:pPr>
        <w:ind w:left="720" w:right="720"/>
        <w:jc w:val="both"/>
        <w:rPr>
          <w:rFonts w:asciiTheme="majorHAnsi" w:eastAsia="Times New Roman" w:hAnsiTheme="majorHAnsi"/>
          <w:sz w:val="20"/>
          <w:szCs w:val="20"/>
          <w:lang w:eastAsia="es-BO"/>
        </w:rPr>
      </w:pPr>
    </w:p>
    <w:p w:rsidR="00E940BE" w:rsidRPr="00F52B87" w:rsidRDefault="00E940BE" w:rsidP="00E03326">
      <w:pPr>
        <w:ind w:left="720" w:right="720"/>
        <w:jc w:val="both"/>
        <w:rPr>
          <w:rFonts w:asciiTheme="majorHAnsi" w:hAnsiTheme="majorHAnsi"/>
          <w:b/>
          <w:sz w:val="20"/>
          <w:szCs w:val="20"/>
        </w:rPr>
      </w:pPr>
      <w:r w:rsidRPr="00F52B87">
        <w:rPr>
          <w:rFonts w:asciiTheme="majorHAnsi" w:hAnsiTheme="majorHAnsi"/>
          <w:b/>
          <w:sz w:val="20"/>
          <w:szCs w:val="20"/>
        </w:rPr>
        <w:t xml:space="preserve">VII. </w:t>
      </w:r>
      <w:r w:rsidRPr="00F52B87">
        <w:rPr>
          <w:rFonts w:asciiTheme="majorHAnsi" w:hAnsiTheme="majorHAnsi"/>
          <w:b/>
          <w:sz w:val="20"/>
          <w:szCs w:val="20"/>
        </w:rPr>
        <w:tab/>
        <w:t>HOMOLOGATION</w:t>
      </w:r>
    </w:p>
    <w:p w:rsidR="00E940BE" w:rsidRPr="00F52B87" w:rsidRDefault="00E940BE" w:rsidP="00E03326">
      <w:pPr>
        <w:ind w:left="720" w:right="720"/>
        <w:jc w:val="both"/>
        <w:rPr>
          <w:rFonts w:asciiTheme="majorHAnsi" w:hAnsiTheme="majorHAnsi"/>
          <w:b/>
          <w:sz w:val="20"/>
          <w:szCs w:val="20"/>
        </w:rPr>
      </w:pPr>
    </w:p>
    <w:p w:rsidR="00E940BE" w:rsidRPr="00F52B87" w:rsidRDefault="00E940BE" w:rsidP="00E03326">
      <w:pPr>
        <w:ind w:left="720" w:right="720"/>
        <w:jc w:val="both"/>
        <w:rPr>
          <w:rFonts w:asciiTheme="majorHAnsi" w:hAnsiTheme="majorHAnsi"/>
          <w:sz w:val="20"/>
          <w:szCs w:val="20"/>
        </w:rPr>
      </w:pPr>
      <w:r w:rsidRPr="00F52B87">
        <w:rPr>
          <w:rFonts w:asciiTheme="majorHAnsi" w:hAnsiTheme="majorHAnsi"/>
          <w:sz w:val="20"/>
          <w:szCs w:val="20"/>
        </w:rPr>
        <w:t xml:space="preserve">14. </w:t>
      </w:r>
      <w:r w:rsidRPr="00F52B87">
        <w:rPr>
          <w:rFonts w:asciiTheme="majorHAnsi" w:hAnsiTheme="majorHAnsi"/>
          <w:sz w:val="20"/>
          <w:szCs w:val="20"/>
        </w:rPr>
        <w:tab/>
        <w:t>The State of Chile and the petitioners, once the commitments assumed in this agreement are carried out in their entirety, shall present this friendly settlement agreement to the IACHR for its ratification and publication in keeping with the provisions of Article 49 of the ACHR and Article 40(5) of the Rules of Procedure.</w:t>
      </w:r>
    </w:p>
    <w:p w:rsidR="00E940BE" w:rsidRPr="00F52B87" w:rsidRDefault="00E940BE" w:rsidP="00E940BE">
      <w:pPr>
        <w:rPr>
          <w:rFonts w:asciiTheme="majorHAnsi" w:hAnsiTheme="majorHAnsi"/>
          <w:sz w:val="20"/>
          <w:szCs w:val="20"/>
        </w:rPr>
      </w:pPr>
    </w:p>
    <w:p w:rsidR="00E940BE" w:rsidRPr="00F52B87" w:rsidRDefault="00E940BE" w:rsidP="00E940BE">
      <w:pPr>
        <w:rPr>
          <w:rFonts w:asciiTheme="majorHAnsi" w:hAnsiTheme="majorHAnsi"/>
          <w:sz w:val="20"/>
          <w:szCs w:val="20"/>
        </w:rPr>
      </w:pPr>
    </w:p>
    <w:p w:rsidR="00E940BE" w:rsidRPr="00F52B87" w:rsidRDefault="00E940BE" w:rsidP="00E940BE">
      <w:pPr>
        <w:pStyle w:val="ListParagraph"/>
        <w:numPr>
          <w:ilvl w:val="0"/>
          <w:numId w:val="58"/>
        </w:numPr>
        <w:pBdr>
          <w:top w:val="nil"/>
          <w:left w:val="nil"/>
          <w:bottom w:val="nil"/>
          <w:right w:val="nil"/>
          <w:between w:val="nil"/>
          <w:bar w:val="nil"/>
        </w:pBdr>
        <w:rPr>
          <w:rFonts w:asciiTheme="majorHAnsi" w:hAnsiTheme="majorHAnsi"/>
          <w:b/>
          <w:sz w:val="20"/>
          <w:szCs w:val="20"/>
        </w:rPr>
      </w:pPr>
      <w:r w:rsidRPr="00F52B87">
        <w:rPr>
          <w:rFonts w:asciiTheme="majorHAnsi" w:hAnsiTheme="majorHAnsi"/>
          <w:b/>
          <w:sz w:val="20"/>
          <w:szCs w:val="20"/>
        </w:rPr>
        <w:t>DETERMINATION OF COMPATIBILITY AND COMPLIANCE</w:t>
      </w:r>
    </w:p>
    <w:p w:rsidR="00E940BE" w:rsidRPr="00F52B87" w:rsidRDefault="00E940BE" w:rsidP="00E940BE">
      <w:pPr>
        <w:pStyle w:val="ListParagraph"/>
        <w:ind w:left="1440"/>
        <w:rPr>
          <w:rFonts w:asciiTheme="majorHAnsi" w:hAnsiTheme="majorHAnsi"/>
          <w:b/>
          <w:sz w:val="20"/>
          <w:szCs w:val="20"/>
        </w:rPr>
      </w:pPr>
    </w:p>
    <w:p w:rsidR="00E940BE" w:rsidRPr="00F52B87" w:rsidRDefault="00E940BE" w:rsidP="00E940BE">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r w:rsidRPr="00F52B87">
        <w:rPr>
          <w:rFonts w:asciiTheme="majorHAnsi" w:hAnsiTheme="majorHAnsi" w:cs="Calibri"/>
          <w:sz w:val="20"/>
          <w:szCs w:val="20"/>
        </w:rPr>
        <w:t>The IACHR reiterates that according to Articles 48(1</w:t>
      </w:r>
      <w:proofErr w:type="gramStart"/>
      <w:r w:rsidRPr="00F52B87">
        <w:rPr>
          <w:rFonts w:asciiTheme="majorHAnsi" w:hAnsiTheme="majorHAnsi" w:cs="Calibri"/>
          <w:sz w:val="20"/>
          <w:szCs w:val="20"/>
        </w:rPr>
        <w:t>)(</w:t>
      </w:r>
      <w:proofErr w:type="gramEnd"/>
      <w:r w:rsidRPr="00F52B87">
        <w:rPr>
          <w:rFonts w:asciiTheme="majorHAnsi" w:hAnsiTheme="majorHAnsi" w:cs="Calibri"/>
          <w:sz w:val="20"/>
          <w:szCs w:val="20"/>
        </w:rPr>
        <w:t xml:space="preserve">f) and 49 of the American Convention, this procedure has the aim “reaching a friendly settlement of the matter on the basis of respect for the human rights recognized in this Convention.” Agreeing to pursue this procedure expresses the good faith of the State as regards carrying out the purposes and objectives of the Convention in keeping with the principle of </w:t>
      </w:r>
      <w:proofErr w:type="spellStart"/>
      <w:r w:rsidRPr="00F52B87">
        <w:rPr>
          <w:rFonts w:asciiTheme="majorHAnsi" w:hAnsiTheme="majorHAnsi" w:cs="Calibri"/>
          <w:i/>
          <w:sz w:val="20"/>
          <w:szCs w:val="20"/>
        </w:rPr>
        <w:t>pacta</w:t>
      </w:r>
      <w:proofErr w:type="spellEnd"/>
      <w:r w:rsidRPr="00F52B87">
        <w:rPr>
          <w:rFonts w:asciiTheme="majorHAnsi" w:hAnsiTheme="majorHAnsi" w:cs="Calibri"/>
          <w:i/>
          <w:sz w:val="20"/>
          <w:szCs w:val="20"/>
        </w:rPr>
        <w:t xml:space="preserve"> </w:t>
      </w:r>
      <w:proofErr w:type="spellStart"/>
      <w:r w:rsidRPr="00F52B87">
        <w:rPr>
          <w:rFonts w:asciiTheme="majorHAnsi" w:hAnsiTheme="majorHAnsi" w:cs="Calibri"/>
          <w:i/>
          <w:sz w:val="20"/>
          <w:szCs w:val="20"/>
        </w:rPr>
        <w:t>sunt</w:t>
      </w:r>
      <w:proofErr w:type="spellEnd"/>
      <w:r w:rsidRPr="00F52B87">
        <w:rPr>
          <w:rFonts w:asciiTheme="majorHAnsi" w:hAnsiTheme="majorHAnsi" w:cs="Calibri"/>
          <w:i/>
          <w:sz w:val="20"/>
          <w:szCs w:val="20"/>
        </w:rPr>
        <w:t xml:space="preserve"> </w:t>
      </w:r>
      <w:proofErr w:type="spellStart"/>
      <w:r w:rsidRPr="00F52B87">
        <w:rPr>
          <w:rFonts w:asciiTheme="majorHAnsi" w:hAnsiTheme="majorHAnsi" w:cs="Calibri"/>
          <w:i/>
          <w:sz w:val="20"/>
          <w:szCs w:val="20"/>
        </w:rPr>
        <w:t>servanda</w:t>
      </w:r>
      <w:proofErr w:type="spellEnd"/>
      <w:r w:rsidRPr="00F52B87">
        <w:rPr>
          <w:rFonts w:asciiTheme="majorHAnsi" w:hAnsiTheme="majorHAnsi" w:cs="Calibri"/>
          <w:sz w:val="20"/>
          <w:szCs w:val="20"/>
        </w:rPr>
        <w:t>, by which states should carry out their treaty obligations in good faith.</w:t>
      </w:r>
      <w:r w:rsidRPr="00F52B87">
        <w:rPr>
          <w:rStyle w:val="FootnoteReference"/>
          <w:rFonts w:asciiTheme="majorHAnsi" w:hAnsiTheme="majorHAnsi" w:cs="Calibri"/>
          <w:sz w:val="20"/>
          <w:szCs w:val="20"/>
        </w:rPr>
        <w:footnoteReference w:id="4"/>
      </w:r>
      <w:r w:rsidRPr="00F52B87">
        <w:rPr>
          <w:rFonts w:asciiTheme="majorHAnsi" w:hAnsiTheme="majorHAnsi" w:cs="Calibri"/>
          <w:sz w:val="20"/>
          <w:szCs w:val="20"/>
        </w:rPr>
        <w:t xml:space="preserve"> It also reiterates that the friendly settlement procedure provided for in the Convention makes it possible to conclude individual cases in a non-contentious manner, and in cases relating to several countries, has proven to offer an important vehicle for settlement that can be used by both parties. </w:t>
      </w:r>
    </w:p>
    <w:p w:rsidR="00E940BE" w:rsidRPr="00F52B87" w:rsidRDefault="00E940BE" w:rsidP="00E940BE">
      <w:pPr>
        <w:pStyle w:val="ListParagraph"/>
        <w:tabs>
          <w:tab w:val="left" w:pos="0"/>
          <w:tab w:val="left" w:pos="180"/>
        </w:tabs>
        <w:ind w:left="0"/>
        <w:jc w:val="both"/>
        <w:rPr>
          <w:rFonts w:asciiTheme="majorHAnsi" w:hAnsiTheme="majorHAnsi" w:cs="Calibri"/>
          <w:sz w:val="20"/>
          <w:szCs w:val="20"/>
          <w:highlight w:val="yellow"/>
        </w:rPr>
      </w:pPr>
    </w:p>
    <w:p w:rsidR="00E940BE" w:rsidRPr="00F52B87" w:rsidRDefault="00E940BE" w:rsidP="00E940BE">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r w:rsidRPr="00F52B87">
        <w:rPr>
          <w:rFonts w:asciiTheme="majorHAnsi" w:hAnsiTheme="majorHAnsi" w:cs="Calibri"/>
          <w:sz w:val="20"/>
          <w:szCs w:val="20"/>
        </w:rPr>
        <w:t xml:space="preserve">The Inter-American Commission has closely followed the development of the friendly settlement achieved in the instant case and highly values the efforts made by both parties during the negotiation of the agreement to achieve this friendly settlement, which is compatible with the object and purpose of the Convention. </w:t>
      </w:r>
    </w:p>
    <w:p w:rsidR="00E940BE" w:rsidRPr="00F52B87" w:rsidRDefault="00E940BE" w:rsidP="00E940BE">
      <w:pPr>
        <w:pStyle w:val="ListParagraph"/>
        <w:tabs>
          <w:tab w:val="left" w:pos="0"/>
          <w:tab w:val="left" w:pos="180"/>
        </w:tabs>
        <w:ind w:left="0"/>
        <w:jc w:val="both"/>
        <w:rPr>
          <w:rFonts w:asciiTheme="majorHAnsi" w:hAnsiTheme="majorHAnsi" w:cs="Calibri"/>
          <w:sz w:val="20"/>
          <w:szCs w:val="20"/>
        </w:rPr>
      </w:pPr>
    </w:p>
    <w:p w:rsidR="00E940BE" w:rsidRPr="00F52B87" w:rsidRDefault="00E940BE" w:rsidP="00E940BE">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r w:rsidRPr="00F52B87">
        <w:rPr>
          <w:rFonts w:asciiTheme="majorHAnsi" w:hAnsiTheme="majorHAnsi" w:cs="Calibri"/>
          <w:sz w:val="20"/>
          <w:szCs w:val="20"/>
        </w:rPr>
        <w:t xml:space="preserve">The IACHR observes that in light of the information provided by the parties until now, the Commission must analyze the implementation of the commitments set forth in the friendly settlement agreement in relation to the measures of reparation. </w:t>
      </w:r>
    </w:p>
    <w:p w:rsidR="00E940BE" w:rsidRPr="00F52B87" w:rsidRDefault="00E940BE" w:rsidP="00E940BE">
      <w:pPr>
        <w:pStyle w:val="ListParagraph"/>
        <w:tabs>
          <w:tab w:val="left" w:pos="0"/>
          <w:tab w:val="left" w:pos="180"/>
        </w:tabs>
        <w:ind w:left="0"/>
        <w:jc w:val="both"/>
        <w:rPr>
          <w:rFonts w:asciiTheme="majorHAnsi" w:hAnsiTheme="majorHAnsi" w:cs="Calibri"/>
          <w:sz w:val="20"/>
          <w:szCs w:val="20"/>
        </w:rPr>
      </w:pPr>
    </w:p>
    <w:p w:rsidR="00E940BE" w:rsidRPr="00F52B87" w:rsidRDefault="00E940BE" w:rsidP="00E940BE">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r w:rsidRPr="00F52B87">
        <w:rPr>
          <w:rFonts w:asciiTheme="majorHAnsi" w:hAnsiTheme="majorHAnsi" w:cs="Calibri"/>
          <w:sz w:val="20"/>
          <w:szCs w:val="20"/>
        </w:rPr>
        <w:lastRenderedPageBreak/>
        <w:t xml:space="preserve">The Commission values the recognition made by the State of the facts set forth in the petition, as established in point I of the agreement. According to what was indicated by the State in a report of March 27, 2019, at the same meeting where the friendly settlement agreement was signed, the State recognized the facts alleged and offered apologies on behalf of the State. In this respect, the Commission considers that this provision of the agreement has been complied with in full, and so declares. </w:t>
      </w:r>
    </w:p>
    <w:p w:rsidR="00E940BE" w:rsidRPr="00F52B87" w:rsidRDefault="00E940BE" w:rsidP="00E940BE">
      <w:pPr>
        <w:pStyle w:val="ListParagraph"/>
        <w:tabs>
          <w:tab w:val="left" w:pos="0"/>
          <w:tab w:val="left" w:pos="180"/>
        </w:tabs>
        <w:ind w:left="0"/>
        <w:jc w:val="both"/>
        <w:rPr>
          <w:rFonts w:asciiTheme="majorHAnsi" w:hAnsiTheme="majorHAnsi" w:cs="Calibri"/>
          <w:sz w:val="20"/>
          <w:szCs w:val="20"/>
          <w:highlight w:val="yellow"/>
        </w:rPr>
      </w:pPr>
    </w:p>
    <w:p w:rsidR="00E940BE" w:rsidRPr="00F52B87" w:rsidRDefault="00E940BE" w:rsidP="00E940BE">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theme="minorHAnsi"/>
          <w:sz w:val="20"/>
          <w:szCs w:val="20"/>
        </w:rPr>
      </w:pPr>
      <w:r w:rsidRPr="00F52B87">
        <w:rPr>
          <w:rFonts w:asciiTheme="majorHAnsi" w:hAnsiTheme="majorHAnsi" w:cs="Calibri"/>
          <w:sz w:val="20"/>
          <w:szCs w:val="20"/>
        </w:rPr>
        <w:t xml:space="preserve">As regards point II of the agreement, related to economic reparation for material and non-material harm to each of the victims for the facts alleged, on May 2, 2018, </w:t>
      </w:r>
      <w:proofErr w:type="spellStart"/>
      <w:r w:rsidRPr="00F52B87">
        <w:rPr>
          <w:rFonts w:asciiTheme="majorHAnsi" w:hAnsiTheme="majorHAnsi" w:cs="Calibri"/>
          <w:sz w:val="20"/>
          <w:szCs w:val="20"/>
        </w:rPr>
        <w:t>Carabineros</w:t>
      </w:r>
      <w:proofErr w:type="spellEnd"/>
      <w:r w:rsidRPr="00F52B87">
        <w:rPr>
          <w:rFonts w:asciiTheme="majorHAnsi" w:hAnsiTheme="majorHAnsi" w:cs="Calibri"/>
          <w:sz w:val="20"/>
          <w:szCs w:val="20"/>
        </w:rPr>
        <w:t xml:space="preserve"> de Chile reported that payment was delivered to the attorney by means of Check No. 499084 of March </w:t>
      </w:r>
      <w:r w:rsidRPr="00F52B87">
        <w:rPr>
          <w:rFonts w:asciiTheme="majorHAnsi" w:hAnsiTheme="majorHAnsi" w:cstheme="minorHAnsi"/>
          <w:sz w:val="20"/>
          <w:szCs w:val="20"/>
        </w:rPr>
        <w:t xml:space="preserve">21, 2018, in the amount of $72,540,020 Chilean pesos. On April 1, 2019, the State sent the Commission the certificates of agreement from each of the beneficiaries and the checks disbursed by the representative to each of them. Taking into consideration the information provided by the State and the confirmation by the petitioner, the Commission considers that this point of the agreement has been fully complied with, and it so finds. </w:t>
      </w:r>
    </w:p>
    <w:p w:rsidR="00E940BE" w:rsidRPr="00F52B87" w:rsidRDefault="00E940BE" w:rsidP="00E940BE">
      <w:pPr>
        <w:pStyle w:val="ListParagraph"/>
        <w:tabs>
          <w:tab w:val="left" w:pos="0"/>
          <w:tab w:val="left" w:pos="180"/>
        </w:tabs>
        <w:ind w:left="0"/>
        <w:jc w:val="both"/>
        <w:rPr>
          <w:rFonts w:asciiTheme="majorHAnsi" w:hAnsiTheme="majorHAnsi" w:cs="Calibri"/>
          <w:sz w:val="20"/>
          <w:szCs w:val="20"/>
        </w:rPr>
      </w:pPr>
    </w:p>
    <w:p w:rsidR="00E940BE" w:rsidRPr="00F52B87" w:rsidRDefault="00E940BE" w:rsidP="00E940BE">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r w:rsidRPr="00F52B87">
        <w:rPr>
          <w:rFonts w:asciiTheme="majorHAnsi" w:hAnsiTheme="majorHAnsi" w:cs="Calibri"/>
          <w:sz w:val="20"/>
          <w:szCs w:val="20"/>
        </w:rPr>
        <w:t xml:space="preserve">With respect to the creation of the “Monitoring Commission” established at point III of the agreement, the Commission did not receive information on its workings, but as the commitments assumed in the friendly settlement agreement have been carried out, it considers that this point of the agreement has also met with full compliance, and it so finds. </w:t>
      </w:r>
    </w:p>
    <w:p w:rsidR="00E940BE" w:rsidRPr="00F52B87" w:rsidRDefault="00E940BE" w:rsidP="00E940BE">
      <w:pPr>
        <w:pStyle w:val="ListParagraph"/>
        <w:tabs>
          <w:tab w:val="left" w:pos="0"/>
          <w:tab w:val="left" w:pos="180"/>
        </w:tabs>
        <w:ind w:left="0"/>
        <w:rPr>
          <w:rFonts w:asciiTheme="majorHAnsi" w:hAnsiTheme="majorHAnsi" w:cs="Calibri"/>
          <w:sz w:val="20"/>
          <w:szCs w:val="20"/>
        </w:rPr>
      </w:pPr>
    </w:p>
    <w:p w:rsidR="00E940BE" w:rsidRPr="00F52B87" w:rsidRDefault="00E940BE" w:rsidP="00E940BE">
      <w:pPr>
        <w:pStyle w:val="ListParagraph"/>
        <w:numPr>
          <w:ilvl w:val="0"/>
          <w:numId w:val="57"/>
        </w:numPr>
        <w:pBdr>
          <w:top w:val="nil"/>
          <w:left w:val="nil"/>
          <w:bottom w:val="nil"/>
          <w:right w:val="nil"/>
          <w:between w:val="nil"/>
          <w:bar w:val="nil"/>
        </w:pBdr>
        <w:tabs>
          <w:tab w:val="left" w:pos="0"/>
          <w:tab w:val="left" w:pos="180"/>
        </w:tabs>
        <w:ind w:left="0" w:firstLine="720"/>
        <w:jc w:val="both"/>
        <w:rPr>
          <w:rFonts w:asciiTheme="majorHAnsi" w:hAnsiTheme="majorHAnsi" w:cs="Calibri"/>
          <w:sz w:val="20"/>
          <w:szCs w:val="20"/>
        </w:rPr>
      </w:pPr>
      <w:r w:rsidRPr="00F52B87">
        <w:rPr>
          <w:rFonts w:asciiTheme="majorHAnsi" w:hAnsiTheme="majorHAnsi" w:cs="Calibri"/>
          <w:sz w:val="20"/>
          <w:szCs w:val="20"/>
        </w:rPr>
        <w:t xml:space="preserve">For the foregoing reasons, the IACHR considers that points I, II, and III of the friendly settlement agreement have met with full compliance, and it so finds. In addition, the Commission considers that points IV to VII are declaratory in nature and related to the methodology agreed upon by the parties, thus it is not up to the Commission to issue any pronouncement about them. In view of the foregoing, the IACHR finds that the friendly settlement agreement has been implemented in its entirety. </w:t>
      </w:r>
    </w:p>
    <w:p w:rsidR="00E940BE" w:rsidRPr="00F52B87" w:rsidRDefault="00E940BE" w:rsidP="00E940BE">
      <w:pPr>
        <w:pStyle w:val="ListParagraph"/>
        <w:tabs>
          <w:tab w:val="left" w:pos="0"/>
          <w:tab w:val="left" w:pos="180"/>
        </w:tabs>
        <w:ind w:left="0"/>
        <w:jc w:val="both"/>
        <w:rPr>
          <w:rFonts w:asciiTheme="majorHAnsi" w:hAnsiTheme="majorHAnsi" w:cs="Calibri"/>
          <w:sz w:val="20"/>
          <w:szCs w:val="20"/>
          <w:highlight w:val="yellow"/>
        </w:rPr>
      </w:pPr>
    </w:p>
    <w:p w:rsidR="00E940BE" w:rsidRPr="00F52B87" w:rsidRDefault="00E940BE" w:rsidP="00E940BE">
      <w:pPr>
        <w:tabs>
          <w:tab w:val="left" w:pos="360"/>
        </w:tabs>
        <w:ind w:left="720" w:hanging="720"/>
        <w:jc w:val="both"/>
        <w:rPr>
          <w:rFonts w:asciiTheme="majorHAnsi" w:hAnsiTheme="majorHAnsi" w:cs="Calibri"/>
          <w:b/>
          <w:sz w:val="20"/>
          <w:szCs w:val="20"/>
        </w:rPr>
      </w:pPr>
      <w:r w:rsidRPr="00F52B87">
        <w:rPr>
          <w:rFonts w:asciiTheme="majorHAnsi" w:hAnsiTheme="majorHAnsi" w:cs="Calibri"/>
          <w:b/>
          <w:sz w:val="20"/>
          <w:szCs w:val="20"/>
        </w:rPr>
        <w:tab/>
      </w:r>
      <w:r w:rsidRPr="00F52B87">
        <w:rPr>
          <w:rFonts w:asciiTheme="majorHAnsi" w:hAnsiTheme="majorHAnsi" w:cs="Calibri"/>
          <w:b/>
          <w:sz w:val="20"/>
          <w:szCs w:val="20"/>
        </w:rPr>
        <w:tab/>
        <w:t>IV.</w:t>
      </w:r>
      <w:r w:rsidRPr="00F52B87">
        <w:rPr>
          <w:rFonts w:asciiTheme="majorHAnsi" w:hAnsiTheme="majorHAnsi" w:cs="Calibri"/>
          <w:b/>
          <w:sz w:val="20"/>
          <w:szCs w:val="20"/>
        </w:rPr>
        <w:tab/>
        <w:t xml:space="preserve">CONCLUSIONS </w:t>
      </w:r>
    </w:p>
    <w:p w:rsidR="00E940BE" w:rsidRPr="00F52B87" w:rsidRDefault="00E940BE" w:rsidP="00E940BE">
      <w:pPr>
        <w:pStyle w:val="ListParagraph"/>
        <w:tabs>
          <w:tab w:val="left" w:pos="360"/>
        </w:tabs>
        <w:ind w:left="360"/>
        <w:jc w:val="both"/>
        <w:rPr>
          <w:rFonts w:asciiTheme="majorHAnsi" w:hAnsiTheme="majorHAnsi" w:cs="Calibri"/>
          <w:b/>
          <w:sz w:val="20"/>
          <w:szCs w:val="20"/>
          <w:highlight w:val="yellow"/>
        </w:rPr>
      </w:pPr>
    </w:p>
    <w:p w:rsidR="00E940BE" w:rsidRPr="00F52B87" w:rsidRDefault="00E940BE" w:rsidP="00E940BE">
      <w:pPr>
        <w:pStyle w:val="ListParagraph"/>
        <w:numPr>
          <w:ilvl w:val="0"/>
          <w:numId w:val="59"/>
        </w:numPr>
        <w:pBdr>
          <w:top w:val="nil"/>
          <w:left w:val="nil"/>
          <w:bottom w:val="nil"/>
          <w:right w:val="nil"/>
          <w:between w:val="nil"/>
          <w:bar w:val="nil"/>
        </w:pBdr>
        <w:tabs>
          <w:tab w:val="left" w:pos="360"/>
        </w:tabs>
        <w:ind w:left="0" w:firstLine="720"/>
        <w:jc w:val="both"/>
        <w:rPr>
          <w:rFonts w:asciiTheme="majorHAnsi" w:hAnsiTheme="majorHAnsi" w:cs="Calibri"/>
          <w:b/>
          <w:sz w:val="20"/>
          <w:szCs w:val="20"/>
        </w:rPr>
      </w:pPr>
      <w:r w:rsidRPr="00F52B87">
        <w:rPr>
          <w:rFonts w:asciiTheme="majorHAnsi" w:hAnsiTheme="majorHAnsi"/>
          <w:sz w:val="20"/>
          <w:szCs w:val="20"/>
        </w:rPr>
        <w:t>Based on the foregoing considerations, and pursuant to the procedure set out in Articles 48(1</w:t>
      </w:r>
      <w:proofErr w:type="gramStart"/>
      <w:r w:rsidRPr="00F52B87">
        <w:rPr>
          <w:rFonts w:asciiTheme="majorHAnsi" w:hAnsiTheme="majorHAnsi"/>
          <w:sz w:val="20"/>
          <w:szCs w:val="20"/>
        </w:rPr>
        <w:t>)(</w:t>
      </w:r>
      <w:proofErr w:type="gramEnd"/>
      <w:r w:rsidRPr="00F52B87">
        <w:rPr>
          <w:rFonts w:asciiTheme="majorHAnsi" w:hAnsiTheme="majorHAnsi"/>
          <w:sz w:val="20"/>
          <w:szCs w:val="20"/>
        </w:rPr>
        <w:t xml:space="preserve">f) and 49 of the American Convention, the Commission wishes to reiterate its profound appreciation for the efforts made by the parties and its satisfaction that a friendly settlement was reached in the instant case, based on respect for human rights and compatible with the object and purpose of the American Convention. </w:t>
      </w:r>
    </w:p>
    <w:p w:rsidR="00E940BE" w:rsidRPr="00F52B87" w:rsidRDefault="00E940BE" w:rsidP="00E940BE">
      <w:pPr>
        <w:tabs>
          <w:tab w:val="left" w:pos="360"/>
        </w:tabs>
        <w:jc w:val="both"/>
        <w:rPr>
          <w:rFonts w:asciiTheme="majorHAnsi" w:hAnsiTheme="majorHAnsi" w:cs="Calibri"/>
          <w:b/>
          <w:sz w:val="20"/>
          <w:szCs w:val="20"/>
        </w:rPr>
      </w:pPr>
    </w:p>
    <w:p w:rsidR="00E940BE" w:rsidRPr="00F52B87" w:rsidRDefault="00E940BE" w:rsidP="00E940BE">
      <w:pPr>
        <w:pStyle w:val="ListParagraph"/>
        <w:numPr>
          <w:ilvl w:val="0"/>
          <w:numId w:val="59"/>
        </w:numPr>
        <w:pBdr>
          <w:top w:val="nil"/>
          <w:left w:val="nil"/>
          <w:bottom w:val="nil"/>
          <w:right w:val="nil"/>
          <w:between w:val="nil"/>
          <w:bar w:val="nil"/>
        </w:pBdr>
        <w:tabs>
          <w:tab w:val="left" w:pos="360"/>
        </w:tabs>
        <w:ind w:left="0" w:firstLine="720"/>
        <w:jc w:val="both"/>
        <w:rPr>
          <w:rFonts w:asciiTheme="majorHAnsi" w:hAnsiTheme="majorHAnsi" w:cs="Calibri"/>
          <w:b/>
          <w:sz w:val="20"/>
          <w:szCs w:val="20"/>
        </w:rPr>
      </w:pPr>
      <w:r w:rsidRPr="00F52B87">
        <w:rPr>
          <w:rFonts w:asciiTheme="majorHAnsi" w:hAnsiTheme="majorHAnsi"/>
          <w:sz w:val="20"/>
          <w:szCs w:val="20"/>
        </w:rPr>
        <w:t xml:space="preserve">In light of the considerations and conclusions set forth in this report, </w:t>
      </w:r>
    </w:p>
    <w:p w:rsidR="00E940BE" w:rsidRPr="00F52B87" w:rsidRDefault="00E940BE" w:rsidP="00E940BE">
      <w:pPr>
        <w:tabs>
          <w:tab w:val="left" w:pos="360"/>
        </w:tabs>
        <w:jc w:val="both"/>
        <w:rPr>
          <w:rFonts w:asciiTheme="majorHAnsi" w:hAnsiTheme="majorHAnsi" w:cs="Calibri"/>
          <w:b/>
          <w:sz w:val="20"/>
          <w:szCs w:val="20"/>
        </w:rPr>
      </w:pPr>
    </w:p>
    <w:p w:rsidR="00E03326" w:rsidRDefault="00E03326" w:rsidP="00E940BE">
      <w:pPr>
        <w:tabs>
          <w:tab w:val="left" w:pos="720"/>
          <w:tab w:val="left" w:pos="1440"/>
        </w:tabs>
        <w:jc w:val="center"/>
        <w:rPr>
          <w:rFonts w:asciiTheme="majorHAnsi" w:hAnsiTheme="majorHAnsi"/>
          <w:b/>
          <w:bCs/>
          <w:sz w:val="20"/>
          <w:szCs w:val="20"/>
        </w:rPr>
      </w:pPr>
    </w:p>
    <w:p w:rsidR="00E940BE" w:rsidRPr="00F52B87" w:rsidRDefault="00E940BE" w:rsidP="00E940BE">
      <w:pPr>
        <w:tabs>
          <w:tab w:val="left" w:pos="720"/>
          <w:tab w:val="left" w:pos="1440"/>
        </w:tabs>
        <w:jc w:val="center"/>
        <w:rPr>
          <w:rFonts w:asciiTheme="majorHAnsi" w:hAnsiTheme="majorHAnsi"/>
          <w:b/>
          <w:bCs/>
          <w:sz w:val="20"/>
          <w:szCs w:val="20"/>
        </w:rPr>
      </w:pPr>
      <w:r w:rsidRPr="00F52B87">
        <w:rPr>
          <w:rFonts w:asciiTheme="majorHAnsi" w:hAnsiTheme="majorHAnsi"/>
          <w:b/>
          <w:bCs/>
          <w:sz w:val="20"/>
          <w:szCs w:val="20"/>
        </w:rPr>
        <w:t>THE INTER-AMERICAN COMMISSION ON HUMAN RIGHTS</w:t>
      </w:r>
    </w:p>
    <w:p w:rsidR="00E940BE" w:rsidRPr="00F52B87" w:rsidRDefault="00E940BE" w:rsidP="00E940BE">
      <w:pPr>
        <w:tabs>
          <w:tab w:val="left" w:pos="720"/>
          <w:tab w:val="left" w:pos="1440"/>
        </w:tabs>
        <w:jc w:val="center"/>
        <w:rPr>
          <w:rFonts w:asciiTheme="majorHAnsi" w:hAnsiTheme="majorHAnsi"/>
          <w:b/>
          <w:bCs/>
          <w:sz w:val="20"/>
          <w:szCs w:val="20"/>
        </w:rPr>
      </w:pPr>
    </w:p>
    <w:p w:rsidR="00E940BE" w:rsidRPr="00F52B87" w:rsidRDefault="00E940BE" w:rsidP="00E940BE">
      <w:pPr>
        <w:jc w:val="both"/>
        <w:rPr>
          <w:rFonts w:asciiTheme="majorHAnsi" w:hAnsiTheme="majorHAnsi"/>
          <w:b/>
          <w:bCs/>
          <w:sz w:val="20"/>
          <w:szCs w:val="20"/>
        </w:rPr>
      </w:pPr>
      <w:r w:rsidRPr="00F52B87">
        <w:rPr>
          <w:rFonts w:asciiTheme="majorHAnsi" w:hAnsiTheme="majorHAnsi"/>
          <w:b/>
          <w:bCs/>
          <w:sz w:val="20"/>
          <w:szCs w:val="20"/>
        </w:rPr>
        <w:t>DECIDES:</w:t>
      </w:r>
    </w:p>
    <w:p w:rsidR="00E940BE" w:rsidRPr="00F52B87" w:rsidRDefault="00E940BE" w:rsidP="00E940BE">
      <w:pPr>
        <w:jc w:val="both"/>
        <w:rPr>
          <w:rFonts w:asciiTheme="majorHAnsi" w:hAnsiTheme="majorHAnsi"/>
          <w:b/>
          <w:bCs/>
          <w:sz w:val="20"/>
          <w:szCs w:val="20"/>
        </w:rPr>
      </w:pPr>
    </w:p>
    <w:p w:rsidR="00E940BE" w:rsidRPr="00F52B87" w:rsidRDefault="00E940BE" w:rsidP="00E940BE">
      <w:pPr>
        <w:numPr>
          <w:ilvl w:val="0"/>
          <w:numId w:val="56"/>
        </w:numPr>
        <w:jc w:val="both"/>
        <w:rPr>
          <w:rFonts w:asciiTheme="majorHAnsi" w:hAnsiTheme="majorHAnsi"/>
          <w:sz w:val="20"/>
          <w:szCs w:val="20"/>
        </w:rPr>
      </w:pPr>
      <w:r w:rsidRPr="00F52B87">
        <w:rPr>
          <w:rFonts w:asciiTheme="majorHAnsi" w:hAnsiTheme="majorHAnsi"/>
          <w:sz w:val="20"/>
          <w:szCs w:val="20"/>
        </w:rPr>
        <w:t>To approve the terms of the agreement signed by the parties on March 8, 2018.</w:t>
      </w:r>
    </w:p>
    <w:p w:rsidR="00E940BE" w:rsidRPr="00F52B87" w:rsidRDefault="00E940BE" w:rsidP="00E940BE">
      <w:pPr>
        <w:ind w:left="720"/>
        <w:jc w:val="both"/>
        <w:rPr>
          <w:rFonts w:asciiTheme="majorHAnsi" w:hAnsiTheme="majorHAnsi"/>
          <w:sz w:val="20"/>
          <w:szCs w:val="20"/>
          <w:highlight w:val="yellow"/>
        </w:rPr>
      </w:pPr>
    </w:p>
    <w:p w:rsidR="00E940BE" w:rsidRPr="00F52B87" w:rsidRDefault="00E940BE" w:rsidP="00E940BE">
      <w:pPr>
        <w:numPr>
          <w:ilvl w:val="0"/>
          <w:numId w:val="56"/>
        </w:numPr>
        <w:tabs>
          <w:tab w:val="left" w:pos="1440"/>
        </w:tabs>
        <w:jc w:val="both"/>
        <w:rPr>
          <w:rFonts w:asciiTheme="majorHAnsi" w:hAnsiTheme="majorHAnsi"/>
          <w:sz w:val="20"/>
          <w:szCs w:val="20"/>
        </w:rPr>
      </w:pPr>
      <w:r w:rsidRPr="00F52B87">
        <w:rPr>
          <w:rFonts w:asciiTheme="majorHAnsi" w:hAnsiTheme="majorHAnsi"/>
          <w:sz w:val="20"/>
          <w:szCs w:val="20"/>
        </w:rPr>
        <w:t xml:space="preserve">To find that there has been compliance with points I, II and III, according to the analysis in this report. </w:t>
      </w:r>
    </w:p>
    <w:p w:rsidR="00E940BE" w:rsidRPr="00F52B87" w:rsidRDefault="00E940BE" w:rsidP="00E940BE">
      <w:pPr>
        <w:pStyle w:val="ListParagraph"/>
        <w:rPr>
          <w:rFonts w:asciiTheme="majorHAnsi" w:hAnsiTheme="majorHAnsi"/>
          <w:sz w:val="20"/>
          <w:szCs w:val="20"/>
        </w:rPr>
      </w:pPr>
    </w:p>
    <w:p w:rsidR="00E940BE" w:rsidRPr="00F52B87" w:rsidRDefault="00E940BE" w:rsidP="00E940BE">
      <w:pPr>
        <w:numPr>
          <w:ilvl w:val="0"/>
          <w:numId w:val="56"/>
        </w:numPr>
        <w:tabs>
          <w:tab w:val="left" w:pos="1440"/>
        </w:tabs>
        <w:jc w:val="both"/>
        <w:rPr>
          <w:rFonts w:asciiTheme="majorHAnsi" w:hAnsiTheme="majorHAnsi"/>
          <w:sz w:val="20"/>
          <w:szCs w:val="20"/>
        </w:rPr>
      </w:pPr>
      <w:r w:rsidRPr="00F52B87">
        <w:rPr>
          <w:rFonts w:asciiTheme="majorHAnsi" w:hAnsiTheme="majorHAnsi"/>
          <w:sz w:val="20"/>
          <w:szCs w:val="20"/>
        </w:rPr>
        <w:t xml:space="preserve">To find that the friendly settlement agreement has been complied in full. </w:t>
      </w:r>
    </w:p>
    <w:p w:rsidR="00E940BE" w:rsidRPr="00F52B87" w:rsidRDefault="00E940BE" w:rsidP="00E940BE">
      <w:pPr>
        <w:tabs>
          <w:tab w:val="left" w:pos="1440"/>
          <w:tab w:val="num" w:pos="3240"/>
        </w:tabs>
        <w:ind w:left="720"/>
        <w:jc w:val="both"/>
        <w:rPr>
          <w:rFonts w:asciiTheme="majorHAnsi" w:hAnsiTheme="majorHAnsi"/>
          <w:sz w:val="20"/>
          <w:szCs w:val="20"/>
        </w:rPr>
      </w:pPr>
    </w:p>
    <w:p w:rsidR="00E940BE" w:rsidRPr="00F52B87" w:rsidRDefault="00E940BE" w:rsidP="00E940BE">
      <w:pPr>
        <w:pStyle w:val="ListParagraph"/>
        <w:numPr>
          <w:ilvl w:val="0"/>
          <w:numId w:val="56"/>
        </w:numPr>
        <w:pBdr>
          <w:top w:val="nil"/>
          <w:left w:val="nil"/>
          <w:bottom w:val="nil"/>
          <w:right w:val="nil"/>
          <w:between w:val="nil"/>
          <w:bar w:val="nil"/>
        </w:pBdr>
        <w:jc w:val="both"/>
        <w:rPr>
          <w:rFonts w:asciiTheme="majorHAnsi" w:hAnsiTheme="majorHAnsi"/>
          <w:sz w:val="20"/>
          <w:szCs w:val="20"/>
        </w:rPr>
      </w:pPr>
      <w:r w:rsidRPr="00F52B87">
        <w:rPr>
          <w:rFonts w:asciiTheme="majorHAnsi" w:hAnsiTheme="majorHAnsi"/>
          <w:sz w:val="20"/>
          <w:szCs w:val="20"/>
        </w:rPr>
        <w:t xml:space="preserve">To make this report public and to include it in its Annual Report to the General Assembly of the OAS. </w:t>
      </w:r>
    </w:p>
    <w:p w:rsidR="00E940BE" w:rsidRPr="00F52B87" w:rsidRDefault="00E940BE" w:rsidP="00E940BE">
      <w:pPr>
        <w:ind w:left="720"/>
        <w:jc w:val="both"/>
        <w:rPr>
          <w:rFonts w:asciiTheme="majorHAnsi" w:hAnsiTheme="majorHAnsi"/>
          <w:sz w:val="20"/>
          <w:szCs w:val="20"/>
          <w:highlight w:val="yellow"/>
        </w:rPr>
      </w:pPr>
    </w:p>
    <w:p w:rsidR="001D1A4B" w:rsidRPr="00F52B87" w:rsidRDefault="00E940BE" w:rsidP="000434C9">
      <w:pPr>
        <w:pStyle w:val="ListParagraph"/>
        <w:pBdr>
          <w:top w:val="nil"/>
          <w:left w:val="nil"/>
          <w:bottom w:val="nil"/>
          <w:right w:val="nil"/>
          <w:between w:val="nil"/>
          <w:bar w:val="nil"/>
        </w:pBdr>
        <w:tabs>
          <w:tab w:val="left" w:pos="360"/>
        </w:tabs>
        <w:ind w:left="0" w:firstLine="720"/>
        <w:jc w:val="both"/>
        <w:rPr>
          <w:rFonts w:eastAsia="Calibri"/>
          <w:sz w:val="20"/>
          <w:szCs w:val="20"/>
        </w:rPr>
      </w:pPr>
      <w:r w:rsidRPr="004F7290">
        <w:rPr>
          <w:rFonts w:asciiTheme="majorHAnsi" w:hAnsiTheme="majorHAnsi"/>
          <w:sz w:val="20"/>
          <w:szCs w:val="20"/>
        </w:rPr>
        <w:t>Approved by the Inter-American Comm</w:t>
      </w:r>
      <w:r w:rsidR="008B2A70" w:rsidRPr="004F7290">
        <w:rPr>
          <w:rFonts w:asciiTheme="majorHAnsi" w:hAnsiTheme="majorHAnsi"/>
          <w:sz w:val="20"/>
          <w:szCs w:val="20"/>
        </w:rPr>
        <w:t>ission on Human Rights on the 16</w:t>
      </w:r>
      <w:r w:rsidR="00E03326" w:rsidRPr="00E03326">
        <w:rPr>
          <w:rFonts w:asciiTheme="majorHAnsi" w:hAnsiTheme="majorHAnsi"/>
          <w:sz w:val="20"/>
          <w:szCs w:val="20"/>
          <w:vertAlign w:val="superscript"/>
        </w:rPr>
        <w:t>th</w:t>
      </w:r>
      <w:r w:rsidRPr="004F7290">
        <w:rPr>
          <w:rFonts w:asciiTheme="majorHAnsi" w:hAnsiTheme="majorHAnsi"/>
          <w:sz w:val="20"/>
          <w:szCs w:val="20"/>
        </w:rPr>
        <w:t xml:space="preserve"> day of April, 2019. (Signed) Esmeralda E. </w:t>
      </w:r>
      <w:proofErr w:type="spellStart"/>
      <w:r w:rsidRPr="004F7290">
        <w:rPr>
          <w:rFonts w:asciiTheme="majorHAnsi" w:hAnsiTheme="majorHAnsi"/>
          <w:sz w:val="20"/>
          <w:szCs w:val="20"/>
        </w:rPr>
        <w:t>Arosemena</w:t>
      </w:r>
      <w:proofErr w:type="spellEnd"/>
      <w:r w:rsidRPr="004F7290">
        <w:rPr>
          <w:rFonts w:asciiTheme="majorHAnsi" w:hAnsiTheme="majorHAnsi"/>
          <w:sz w:val="20"/>
          <w:szCs w:val="20"/>
        </w:rPr>
        <w:t xml:space="preserve"> Bernal de </w:t>
      </w:r>
      <w:proofErr w:type="spellStart"/>
      <w:r w:rsidRPr="004F7290">
        <w:rPr>
          <w:rFonts w:asciiTheme="majorHAnsi" w:hAnsiTheme="majorHAnsi"/>
          <w:sz w:val="20"/>
          <w:szCs w:val="20"/>
        </w:rPr>
        <w:t>Troitiño</w:t>
      </w:r>
      <w:proofErr w:type="spellEnd"/>
      <w:r w:rsidRPr="004F7290">
        <w:rPr>
          <w:rFonts w:asciiTheme="majorHAnsi" w:hAnsiTheme="majorHAnsi"/>
          <w:sz w:val="20"/>
          <w:szCs w:val="20"/>
        </w:rPr>
        <w:t>, President; Joel Hernández, First Vice-President; Francisco José Eguiguren, Margarette May Macaulay</w:t>
      </w:r>
      <w:r w:rsidR="00D8380D" w:rsidRPr="004F7290">
        <w:rPr>
          <w:rFonts w:asciiTheme="majorHAnsi" w:hAnsiTheme="majorHAnsi"/>
          <w:sz w:val="20"/>
          <w:szCs w:val="20"/>
        </w:rPr>
        <w:t>, Luis Ernesto Vargas</w:t>
      </w:r>
      <w:r w:rsidRPr="004F7290">
        <w:rPr>
          <w:rFonts w:asciiTheme="majorHAnsi" w:hAnsiTheme="majorHAnsi"/>
          <w:sz w:val="20"/>
          <w:szCs w:val="20"/>
        </w:rPr>
        <w:t xml:space="preserve"> and </w:t>
      </w:r>
      <w:proofErr w:type="spellStart"/>
      <w:r w:rsidRPr="004F7290">
        <w:rPr>
          <w:rFonts w:asciiTheme="majorHAnsi" w:hAnsiTheme="majorHAnsi"/>
          <w:sz w:val="20"/>
          <w:szCs w:val="20"/>
        </w:rPr>
        <w:t>Flávia</w:t>
      </w:r>
      <w:proofErr w:type="spellEnd"/>
      <w:r w:rsidRPr="004F7290">
        <w:rPr>
          <w:rFonts w:asciiTheme="majorHAnsi" w:hAnsiTheme="majorHAnsi"/>
          <w:sz w:val="20"/>
          <w:szCs w:val="20"/>
        </w:rPr>
        <w:t xml:space="preserve"> </w:t>
      </w:r>
      <w:proofErr w:type="spellStart"/>
      <w:r w:rsidRPr="004F7290">
        <w:rPr>
          <w:rFonts w:asciiTheme="majorHAnsi" w:hAnsiTheme="majorHAnsi"/>
          <w:sz w:val="20"/>
          <w:szCs w:val="20"/>
        </w:rPr>
        <w:t>Piovesan</w:t>
      </w:r>
      <w:proofErr w:type="spellEnd"/>
      <w:r w:rsidRPr="004F7290">
        <w:rPr>
          <w:rFonts w:asciiTheme="majorHAnsi" w:hAnsiTheme="majorHAnsi"/>
          <w:sz w:val="20"/>
          <w:szCs w:val="20"/>
        </w:rPr>
        <w:t>, Members of the Commission.</w:t>
      </w:r>
    </w:p>
    <w:sectPr w:rsidR="001D1A4B" w:rsidRPr="00F52B87" w:rsidSect="00E940BE">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D2C" w:rsidRDefault="00E66D2C" w:rsidP="00573330">
      <w:r>
        <w:separator/>
      </w:r>
    </w:p>
  </w:endnote>
  <w:endnote w:type="continuationSeparator" w:id="0">
    <w:p w:rsidR="00E66D2C" w:rsidRDefault="00E66D2C" w:rsidP="0057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45" w:rsidRDefault="00DE6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88" w:rsidRPr="00287BBD" w:rsidRDefault="00001288">
    <w:pPr>
      <w:pStyle w:val="Footer"/>
      <w:jc w:val="center"/>
      <w:rPr>
        <w:noProof/>
        <w:sz w:val="16"/>
        <w:szCs w:val="16"/>
      </w:rPr>
    </w:pPr>
    <w:r w:rsidRPr="00287BBD">
      <w:rPr>
        <w:noProof/>
        <w:sz w:val="16"/>
        <w:szCs w:val="16"/>
      </w:rPr>
      <w:fldChar w:fldCharType="begin"/>
    </w:r>
    <w:r w:rsidRPr="00287BBD">
      <w:rPr>
        <w:noProof/>
        <w:sz w:val="16"/>
        <w:szCs w:val="16"/>
      </w:rPr>
      <w:instrText xml:space="preserve"> PAGE   \* MERGEFORMAT </w:instrText>
    </w:r>
    <w:r w:rsidRPr="00287BBD">
      <w:rPr>
        <w:noProof/>
        <w:sz w:val="16"/>
        <w:szCs w:val="16"/>
      </w:rPr>
      <w:fldChar w:fldCharType="separate"/>
    </w:r>
    <w:r w:rsidR="00DE6E45">
      <w:rPr>
        <w:noProof/>
        <w:sz w:val="16"/>
        <w:szCs w:val="16"/>
      </w:rPr>
      <w:t>3</w:t>
    </w:r>
    <w:r w:rsidRPr="00287BBD">
      <w:rPr>
        <w:noProof/>
        <w:sz w:val="16"/>
        <w:szCs w:val="16"/>
      </w:rPr>
      <w:fldChar w:fldCharType="end"/>
    </w:r>
  </w:p>
  <w:p w:rsidR="00001288" w:rsidRPr="00287BBD" w:rsidRDefault="00001288">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88" w:rsidRPr="00287BBD" w:rsidRDefault="00001288">
    <w:pPr>
      <w:pStyle w:val="Footer"/>
      <w:jc w:val="center"/>
      <w:rPr>
        <w:noProof/>
        <w:sz w:val="16"/>
        <w:szCs w:val="16"/>
      </w:rPr>
    </w:pPr>
  </w:p>
  <w:p w:rsidR="00001288" w:rsidRPr="00287BBD" w:rsidRDefault="00001288">
    <w:pPr>
      <w:pStyle w:val="Footer"/>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7607C4" w:rsidRDefault="00B643F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607C4" w:rsidRDefault="00E66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D2C" w:rsidRPr="00287BBD" w:rsidRDefault="00E66D2C">
      <w:pPr>
        <w:rPr>
          <w:rFonts w:ascii="Cambria" w:hAnsi="Cambria" w:cs="Cambria"/>
          <w:noProof/>
          <w:sz w:val="16"/>
          <w:szCs w:val="16"/>
        </w:rPr>
      </w:pPr>
      <w:r w:rsidRPr="00287BBD">
        <w:rPr>
          <w:rFonts w:ascii="Cambria" w:hAnsi="Cambria" w:cs="Cambria"/>
          <w:noProof/>
          <w:sz w:val="16"/>
          <w:szCs w:val="16"/>
        </w:rPr>
        <w:separator/>
      </w:r>
    </w:p>
  </w:footnote>
  <w:footnote w:type="continuationSeparator" w:id="0">
    <w:p w:rsidR="00E66D2C" w:rsidRPr="00287BBD" w:rsidRDefault="00E66D2C" w:rsidP="000F35ED">
      <w:pPr>
        <w:rPr>
          <w:rFonts w:ascii="Cambria" w:hAnsi="Cambria" w:cs="Cambria"/>
          <w:noProof/>
          <w:sz w:val="16"/>
          <w:szCs w:val="16"/>
        </w:rPr>
      </w:pPr>
      <w:r w:rsidRPr="00287BBD">
        <w:rPr>
          <w:rFonts w:ascii="Cambria" w:hAnsi="Cambria" w:cs="Cambria"/>
          <w:noProof/>
          <w:sz w:val="16"/>
          <w:szCs w:val="16"/>
        </w:rPr>
        <w:separator/>
      </w:r>
    </w:p>
    <w:p w:rsidR="00E66D2C" w:rsidRPr="00287BBD" w:rsidRDefault="00E66D2C" w:rsidP="000F35ED">
      <w:pPr>
        <w:pStyle w:val="Footer"/>
        <w:rPr>
          <w:noProof/>
          <w:sz w:val="16"/>
          <w:szCs w:val="16"/>
        </w:rPr>
      </w:pPr>
      <w:r w:rsidRPr="00287BBD">
        <w:rPr>
          <w:noProof/>
          <w:sz w:val="16"/>
          <w:szCs w:val="16"/>
        </w:rPr>
        <w:t>[… continuación]</w:t>
      </w:r>
    </w:p>
  </w:footnote>
  <w:footnote w:id="1">
    <w:p w:rsidR="00E940BE" w:rsidRPr="00345075" w:rsidRDefault="00E940BE" w:rsidP="00E940BE">
      <w:pPr>
        <w:pStyle w:val="FootnoteText"/>
        <w:jc w:val="both"/>
        <w:rPr>
          <w:rFonts w:ascii="Cambria" w:hAnsi="Cambria"/>
          <w:sz w:val="16"/>
          <w:szCs w:val="16"/>
        </w:rPr>
      </w:pPr>
      <w:r w:rsidRPr="00345075">
        <w:rPr>
          <w:rStyle w:val="FootnoteReference"/>
          <w:rFonts w:ascii="Cambria" w:hAnsi="Cambria"/>
          <w:sz w:val="16"/>
          <w:szCs w:val="16"/>
        </w:rPr>
        <w:footnoteRef/>
      </w:r>
      <w:r w:rsidRPr="00345075">
        <w:rPr>
          <w:rFonts w:ascii="Cambria" w:hAnsi="Cambria"/>
          <w:sz w:val="16"/>
          <w:szCs w:val="16"/>
        </w:rPr>
        <w:t xml:space="preserve"> </w:t>
      </w:r>
      <w:r>
        <w:rPr>
          <w:rFonts w:ascii="Cambria" w:hAnsi="Cambria"/>
          <w:sz w:val="16"/>
          <w:szCs w:val="16"/>
        </w:rPr>
        <w:t xml:space="preserve">Commissioner </w:t>
      </w:r>
      <w:r w:rsidRPr="00345075">
        <w:rPr>
          <w:rFonts w:ascii="Cambria" w:eastAsia="Cambria" w:hAnsi="Cambria"/>
          <w:sz w:val="16"/>
          <w:szCs w:val="16"/>
        </w:rPr>
        <w:t xml:space="preserve">Antonia Urrejola Noguera, </w:t>
      </w:r>
      <w:r>
        <w:rPr>
          <w:rFonts w:ascii="Cambria" w:eastAsia="Cambria" w:hAnsi="Cambria"/>
          <w:sz w:val="16"/>
          <w:szCs w:val="16"/>
        </w:rPr>
        <w:t xml:space="preserve">of Chilean nationality, did not participate in the deliberations or decision in the instant case, in keeping with Article </w:t>
      </w:r>
      <w:r w:rsidRPr="00345075">
        <w:rPr>
          <w:rFonts w:ascii="Cambria" w:eastAsia="Cambria" w:hAnsi="Cambria"/>
          <w:sz w:val="16"/>
          <w:szCs w:val="16"/>
        </w:rPr>
        <w:t>17</w:t>
      </w:r>
      <w:r>
        <w:rPr>
          <w:rFonts w:ascii="Cambria" w:eastAsia="Cambria" w:hAnsi="Cambria"/>
          <w:sz w:val="16"/>
          <w:szCs w:val="16"/>
        </w:rPr>
        <w:t>(</w:t>
      </w:r>
      <w:r w:rsidRPr="00345075">
        <w:rPr>
          <w:rFonts w:ascii="Cambria" w:eastAsia="Cambria" w:hAnsi="Cambria"/>
          <w:sz w:val="16"/>
          <w:szCs w:val="16"/>
        </w:rPr>
        <w:t>2</w:t>
      </w:r>
      <w:proofErr w:type="gramStart"/>
      <w:r>
        <w:rPr>
          <w:rFonts w:ascii="Cambria" w:eastAsia="Cambria" w:hAnsi="Cambria"/>
          <w:sz w:val="16"/>
          <w:szCs w:val="16"/>
        </w:rPr>
        <w:t>)(</w:t>
      </w:r>
      <w:proofErr w:type="gramEnd"/>
      <w:r w:rsidRPr="00345075">
        <w:rPr>
          <w:rFonts w:ascii="Cambria" w:eastAsia="Cambria" w:hAnsi="Cambria"/>
          <w:sz w:val="16"/>
          <w:szCs w:val="16"/>
        </w:rPr>
        <w:t xml:space="preserve">a) </w:t>
      </w:r>
      <w:r>
        <w:rPr>
          <w:rFonts w:ascii="Cambria" w:eastAsia="Cambria" w:hAnsi="Cambria"/>
          <w:sz w:val="16"/>
          <w:szCs w:val="16"/>
        </w:rPr>
        <w:t xml:space="preserve">of the IACHR’s Rules of Procedure. </w:t>
      </w:r>
    </w:p>
  </w:footnote>
  <w:footnote w:id="2">
    <w:p w:rsidR="00E940BE" w:rsidRPr="00345075" w:rsidRDefault="00E940BE" w:rsidP="00E940BE">
      <w:pPr>
        <w:pStyle w:val="FootnoteText"/>
        <w:jc w:val="both"/>
        <w:rPr>
          <w:rFonts w:ascii="Cambria" w:hAnsi="Cambria"/>
          <w:sz w:val="16"/>
          <w:szCs w:val="16"/>
        </w:rPr>
      </w:pPr>
      <w:r w:rsidRPr="00345075">
        <w:rPr>
          <w:rStyle w:val="FootnoteReference"/>
          <w:rFonts w:ascii="Cambria" w:hAnsi="Cambria"/>
          <w:sz w:val="16"/>
          <w:szCs w:val="16"/>
        </w:rPr>
        <w:footnoteRef/>
      </w:r>
      <w:r w:rsidRPr="00345075">
        <w:rPr>
          <w:rFonts w:ascii="Cambria" w:hAnsi="Cambria"/>
          <w:sz w:val="16"/>
          <w:szCs w:val="16"/>
        </w:rPr>
        <w:t xml:space="preserve"> </w:t>
      </w:r>
      <w:r>
        <w:rPr>
          <w:rFonts w:ascii="Cambria" w:hAnsi="Cambria"/>
          <w:sz w:val="16"/>
          <w:szCs w:val="16"/>
        </w:rPr>
        <w:t xml:space="preserve">The friendly settlement agreement reached in Case </w:t>
      </w:r>
      <w:r w:rsidRPr="00345075">
        <w:rPr>
          <w:rFonts w:ascii="Cambria" w:eastAsia="Times New Roman" w:hAnsi="Cambria" w:cs="Times New Roman"/>
          <w:sz w:val="16"/>
          <w:szCs w:val="16"/>
          <w:lang w:eastAsia="es-BO"/>
        </w:rPr>
        <w:t>12</w:t>
      </w:r>
      <w:r>
        <w:rPr>
          <w:rFonts w:ascii="Cambria" w:eastAsia="Times New Roman" w:hAnsi="Cambria" w:cs="Times New Roman"/>
          <w:sz w:val="16"/>
          <w:szCs w:val="16"/>
          <w:lang w:eastAsia="es-BO"/>
        </w:rPr>
        <w:t>,</w:t>
      </w:r>
      <w:r w:rsidRPr="00345075">
        <w:rPr>
          <w:rFonts w:ascii="Cambria" w:eastAsia="Times New Roman" w:hAnsi="Cambria" w:cs="Times New Roman"/>
          <w:sz w:val="16"/>
          <w:szCs w:val="16"/>
          <w:lang w:eastAsia="es-BO"/>
        </w:rPr>
        <w:t xml:space="preserve">195. Mario </w:t>
      </w:r>
      <w:proofErr w:type="spellStart"/>
      <w:r w:rsidRPr="00345075">
        <w:rPr>
          <w:rFonts w:ascii="Cambria" w:eastAsia="Times New Roman" w:hAnsi="Cambria" w:cs="Times New Roman"/>
          <w:sz w:val="16"/>
          <w:szCs w:val="16"/>
          <w:lang w:eastAsia="es-BO"/>
        </w:rPr>
        <w:t>Jara</w:t>
      </w:r>
      <w:proofErr w:type="spellEnd"/>
      <w:r w:rsidRPr="00345075">
        <w:rPr>
          <w:rFonts w:ascii="Cambria" w:eastAsia="Times New Roman" w:hAnsi="Cambria" w:cs="Times New Roman"/>
          <w:sz w:val="16"/>
          <w:szCs w:val="16"/>
          <w:lang w:eastAsia="es-BO"/>
        </w:rPr>
        <w:t xml:space="preserve"> </w:t>
      </w:r>
      <w:proofErr w:type="spellStart"/>
      <w:r w:rsidRPr="00345075">
        <w:rPr>
          <w:rFonts w:ascii="Cambria" w:eastAsia="Times New Roman" w:hAnsi="Cambria" w:cs="Times New Roman"/>
          <w:sz w:val="16"/>
          <w:szCs w:val="16"/>
          <w:lang w:eastAsia="es-BO"/>
        </w:rPr>
        <w:t>Oñate</w:t>
      </w:r>
      <w:proofErr w:type="spellEnd"/>
      <w:r>
        <w:rPr>
          <w:rFonts w:ascii="Cambria" w:eastAsia="Times New Roman" w:hAnsi="Cambria" w:cs="Times New Roman"/>
          <w:sz w:val="16"/>
          <w:szCs w:val="16"/>
          <w:lang w:eastAsia="es-BO"/>
        </w:rPr>
        <w:t xml:space="preserve"> et al., </w:t>
      </w:r>
      <w:r w:rsidRPr="00345075">
        <w:rPr>
          <w:rFonts w:ascii="Cambria" w:eastAsia="Times New Roman" w:hAnsi="Cambria" w:cs="Times New Roman"/>
          <w:sz w:val="16"/>
          <w:szCs w:val="16"/>
          <w:lang w:eastAsia="es-BO"/>
        </w:rPr>
        <w:t xml:space="preserve">Chile, </w:t>
      </w:r>
      <w:r>
        <w:rPr>
          <w:rFonts w:ascii="Cambria" w:eastAsia="Times New Roman" w:hAnsi="Cambria" w:cs="Times New Roman"/>
          <w:sz w:val="16"/>
          <w:szCs w:val="16"/>
          <w:lang w:eastAsia="es-BO"/>
        </w:rPr>
        <w:t xml:space="preserve">was ratified by the IACHR in Report </w:t>
      </w:r>
      <w:r w:rsidRPr="00345075">
        <w:rPr>
          <w:rFonts w:ascii="Cambria" w:eastAsia="Times New Roman" w:hAnsi="Cambria" w:cs="Times New Roman"/>
          <w:sz w:val="16"/>
          <w:szCs w:val="16"/>
          <w:lang w:eastAsia="es-BO"/>
        </w:rPr>
        <w:t>No. 163/10</w:t>
      </w:r>
      <w:r>
        <w:rPr>
          <w:rFonts w:ascii="Cambria" w:eastAsia="Times New Roman" w:hAnsi="Cambria" w:cs="Times New Roman"/>
          <w:sz w:val="16"/>
          <w:szCs w:val="16"/>
          <w:lang w:eastAsia="es-BO"/>
        </w:rPr>
        <w:t>, of November</w:t>
      </w:r>
      <w:r w:rsidRPr="00345075">
        <w:rPr>
          <w:rFonts w:ascii="Cambria" w:eastAsia="Times New Roman" w:hAnsi="Cambria" w:cs="Times New Roman"/>
          <w:sz w:val="16"/>
          <w:szCs w:val="16"/>
          <w:lang w:eastAsia="es-BO"/>
        </w:rPr>
        <w:t xml:space="preserve"> 1</w:t>
      </w:r>
      <w:r>
        <w:rPr>
          <w:rFonts w:ascii="Cambria" w:eastAsia="Times New Roman" w:hAnsi="Cambria" w:cs="Times New Roman"/>
          <w:sz w:val="16"/>
          <w:szCs w:val="16"/>
          <w:lang w:eastAsia="es-BO"/>
        </w:rPr>
        <w:t>,</w:t>
      </w:r>
      <w:r w:rsidRPr="00345075">
        <w:rPr>
          <w:rFonts w:ascii="Cambria" w:eastAsia="Times New Roman" w:hAnsi="Cambria" w:cs="Times New Roman"/>
          <w:sz w:val="16"/>
          <w:szCs w:val="16"/>
          <w:lang w:eastAsia="es-BO"/>
        </w:rPr>
        <w:t xml:space="preserve"> 2010. </w:t>
      </w:r>
      <w:r>
        <w:rPr>
          <w:rFonts w:ascii="Cambria" w:eastAsia="Times New Roman" w:hAnsi="Cambria" w:cs="Times New Roman"/>
          <w:sz w:val="16"/>
          <w:szCs w:val="16"/>
          <w:lang w:eastAsia="es-BO"/>
        </w:rPr>
        <w:t xml:space="preserve">Supervision of that report ended because it was found to have been fully implemented in the 2011 Annual Report, paras. </w:t>
      </w:r>
      <w:r w:rsidRPr="00345075">
        <w:rPr>
          <w:rFonts w:ascii="Cambria" w:eastAsia="Times New Roman" w:hAnsi="Cambria" w:cs="Times New Roman"/>
          <w:sz w:val="16"/>
          <w:szCs w:val="16"/>
          <w:lang w:eastAsia="es-BO"/>
        </w:rPr>
        <w:t>346-354.</w:t>
      </w:r>
    </w:p>
  </w:footnote>
  <w:footnote w:id="3">
    <w:p w:rsidR="00E940BE" w:rsidRPr="00345075" w:rsidRDefault="00E940BE" w:rsidP="00E940BE">
      <w:pPr>
        <w:pStyle w:val="FootnoteText"/>
        <w:jc w:val="both"/>
        <w:rPr>
          <w:rFonts w:ascii="Cambria" w:hAnsi="Cambria"/>
          <w:sz w:val="16"/>
          <w:szCs w:val="16"/>
        </w:rPr>
      </w:pPr>
      <w:r w:rsidRPr="00345075">
        <w:rPr>
          <w:rStyle w:val="FootnoteReference"/>
          <w:rFonts w:ascii="Cambria" w:hAnsi="Cambria"/>
          <w:sz w:val="16"/>
          <w:szCs w:val="16"/>
        </w:rPr>
        <w:footnoteRef/>
      </w:r>
      <w:r w:rsidRPr="00345075">
        <w:rPr>
          <w:rFonts w:ascii="Cambria" w:hAnsi="Cambria"/>
          <w:sz w:val="16"/>
          <w:szCs w:val="16"/>
        </w:rPr>
        <w:t xml:space="preserve"> </w:t>
      </w:r>
      <w:r>
        <w:rPr>
          <w:rFonts w:ascii="Cambria" w:hAnsi="Cambria"/>
          <w:sz w:val="16"/>
          <w:szCs w:val="16"/>
        </w:rPr>
        <w:t xml:space="preserve">The friendly settlement agreement reached in Case </w:t>
      </w:r>
      <w:r w:rsidRPr="00345075">
        <w:rPr>
          <w:rFonts w:ascii="Cambria" w:eastAsia="Times New Roman" w:hAnsi="Cambria" w:cs="Times New Roman"/>
          <w:sz w:val="16"/>
          <w:szCs w:val="16"/>
          <w:lang w:eastAsia="es-BO"/>
        </w:rPr>
        <w:t>12</w:t>
      </w:r>
      <w:r>
        <w:rPr>
          <w:rFonts w:ascii="Cambria" w:eastAsia="Times New Roman" w:hAnsi="Cambria" w:cs="Times New Roman"/>
          <w:sz w:val="16"/>
          <w:szCs w:val="16"/>
          <w:lang w:eastAsia="es-BO"/>
        </w:rPr>
        <w:t>,</w:t>
      </w:r>
      <w:r w:rsidRPr="00345075">
        <w:rPr>
          <w:rFonts w:ascii="Cambria" w:eastAsia="Times New Roman" w:hAnsi="Cambria" w:cs="Times New Roman"/>
          <w:sz w:val="16"/>
          <w:szCs w:val="16"/>
          <w:lang w:eastAsia="es-BO"/>
        </w:rPr>
        <w:t xml:space="preserve">281, Gilda Pizarro Jiménez </w:t>
      </w:r>
      <w:r>
        <w:rPr>
          <w:rFonts w:ascii="Cambria" w:eastAsia="Times New Roman" w:hAnsi="Cambria" w:cs="Times New Roman"/>
          <w:sz w:val="16"/>
          <w:szCs w:val="16"/>
          <w:lang w:eastAsia="es-BO"/>
        </w:rPr>
        <w:t xml:space="preserve">et al., </w:t>
      </w:r>
      <w:r w:rsidRPr="00345075">
        <w:rPr>
          <w:rFonts w:ascii="Cambria" w:eastAsia="Times New Roman" w:hAnsi="Cambria" w:cs="Times New Roman"/>
          <w:sz w:val="16"/>
          <w:szCs w:val="16"/>
          <w:lang w:eastAsia="es-BO"/>
        </w:rPr>
        <w:t xml:space="preserve">Chile, </w:t>
      </w:r>
      <w:r>
        <w:rPr>
          <w:rFonts w:ascii="Cambria" w:eastAsia="Times New Roman" w:hAnsi="Cambria" w:cs="Times New Roman"/>
          <w:sz w:val="16"/>
          <w:szCs w:val="16"/>
          <w:lang w:eastAsia="es-BO"/>
        </w:rPr>
        <w:t xml:space="preserve">was ratified by the IACHR in Report No. </w:t>
      </w:r>
      <w:r w:rsidRPr="00345075">
        <w:rPr>
          <w:rFonts w:ascii="Cambria" w:eastAsia="Times New Roman" w:hAnsi="Cambria" w:cs="Times New Roman"/>
          <w:sz w:val="16"/>
          <w:szCs w:val="16"/>
          <w:lang w:eastAsia="es-BO"/>
        </w:rPr>
        <w:t xml:space="preserve">162/10 </w:t>
      </w:r>
      <w:r>
        <w:rPr>
          <w:rFonts w:ascii="Cambria" w:eastAsia="Times New Roman" w:hAnsi="Cambria" w:cs="Times New Roman"/>
          <w:sz w:val="16"/>
          <w:szCs w:val="16"/>
          <w:lang w:eastAsia="es-BO"/>
        </w:rPr>
        <w:t xml:space="preserve">of November </w:t>
      </w:r>
      <w:r w:rsidRPr="00345075">
        <w:rPr>
          <w:rFonts w:ascii="Cambria" w:eastAsia="Times New Roman" w:hAnsi="Cambria" w:cs="Times New Roman"/>
          <w:sz w:val="16"/>
          <w:szCs w:val="16"/>
          <w:lang w:eastAsia="es-BO"/>
        </w:rPr>
        <w:t>1</w:t>
      </w:r>
      <w:r>
        <w:rPr>
          <w:rFonts w:ascii="Cambria" w:eastAsia="Times New Roman" w:hAnsi="Cambria" w:cs="Times New Roman"/>
          <w:sz w:val="16"/>
          <w:szCs w:val="16"/>
          <w:lang w:eastAsia="es-BO"/>
        </w:rPr>
        <w:t>,</w:t>
      </w:r>
      <w:r w:rsidRPr="00345075">
        <w:rPr>
          <w:rFonts w:ascii="Cambria" w:eastAsia="Times New Roman" w:hAnsi="Cambria" w:cs="Times New Roman"/>
          <w:sz w:val="16"/>
          <w:szCs w:val="16"/>
          <w:lang w:eastAsia="es-BO"/>
        </w:rPr>
        <w:t xml:space="preserve"> 2010. </w:t>
      </w:r>
      <w:r>
        <w:rPr>
          <w:rFonts w:ascii="Cambria" w:eastAsia="Times New Roman" w:hAnsi="Cambria" w:cs="Times New Roman"/>
          <w:sz w:val="16"/>
          <w:szCs w:val="16"/>
          <w:lang w:eastAsia="es-BO"/>
        </w:rPr>
        <w:t xml:space="preserve">Supervision of that reported ended because it was found to have been fully implemented in the </w:t>
      </w:r>
      <w:r w:rsidRPr="00345075">
        <w:rPr>
          <w:rFonts w:ascii="Cambria" w:eastAsia="Times New Roman" w:hAnsi="Cambria" w:cs="Times New Roman"/>
          <w:sz w:val="16"/>
          <w:szCs w:val="16"/>
          <w:lang w:eastAsia="es-BO"/>
        </w:rPr>
        <w:t>2011</w:t>
      </w:r>
      <w:r>
        <w:rPr>
          <w:rFonts w:ascii="Cambria" w:eastAsia="Times New Roman" w:hAnsi="Cambria" w:cs="Times New Roman"/>
          <w:sz w:val="16"/>
          <w:szCs w:val="16"/>
          <w:lang w:eastAsia="es-BO"/>
        </w:rPr>
        <w:t xml:space="preserve"> Annual Report</w:t>
      </w:r>
      <w:r w:rsidRPr="00345075">
        <w:rPr>
          <w:rFonts w:ascii="Cambria" w:eastAsia="Times New Roman" w:hAnsi="Cambria" w:cs="Times New Roman"/>
          <w:sz w:val="16"/>
          <w:szCs w:val="16"/>
          <w:lang w:eastAsia="es-BO"/>
        </w:rPr>
        <w:t xml:space="preserve">, </w:t>
      </w:r>
      <w:r>
        <w:rPr>
          <w:rFonts w:ascii="Cambria" w:eastAsia="Times New Roman" w:hAnsi="Cambria" w:cs="Times New Roman"/>
          <w:sz w:val="16"/>
          <w:szCs w:val="16"/>
          <w:lang w:eastAsia="es-BO"/>
        </w:rPr>
        <w:t xml:space="preserve">paras. </w:t>
      </w:r>
      <w:r w:rsidRPr="00345075">
        <w:rPr>
          <w:rFonts w:ascii="Cambria" w:eastAsia="Times New Roman" w:hAnsi="Cambria" w:cs="Times New Roman"/>
          <w:sz w:val="16"/>
          <w:szCs w:val="16"/>
          <w:lang w:eastAsia="es-BO"/>
        </w:rPr>
        <w:t>337-345.</w:t>
      </w:r>
    </w:p>
  </w:footnote>
  <w:footnote w:id="4">
    <w:p w:rsidR="00E940BE" w:rsidRPr="00345075" w:rsidRDefault="00E940BE" w:rsidP="00E940BE">
      <w:pPr>
        <w:pStyle w:val="FootnoteText"/>
        <w:jc w:val="both"/>
        <w:rPr>
          <w:rFonts w:ascii="Cambria" w:hAnsi="Cambria"/>
          <w:sz w:val="16"/>
          <w:szCs w:val="16"/>
        </w:rPr>
      </w:pPr>
      <w:r w:rsidRPr="00345075">
        <w:rPr>
          <w:rStyle w:val="FootnoteReference"/>
          <w:rFonts w:ascii="Cambria" w:hAnsi="Cambria"/>
          <w:sz w:val="16"/>
          <w:szCs w:val="16"/>
        </w:rPr>
        <w:footnoteRef/>
      </w:r>
      <w:r w:rsidRPr="00345075">
        <w:rPr>
          <w:rFonts w:ascii="Cambria" w:hAnsi="Cambria"/>
          <w:sz w:val="16"/>
          <w:szCs w:val="16"/>
        </w:rPr>
        <w:t xml:space="preserve"> Vienna Convention on the Law of Treaties, U.N. Doc A/CONF.39/27 (1969), Ar</w:t>
      </w:r>
      <w:r>
        <w:rPr>
          <w:rFonts w:ascii="Cambria" w:hAnsi="Cambria"/>
          <w:sz w:val="16"/>
          <w:szCs w:val="16"/>
        </w:rPr>
        <w:t xml:space="preserve">ticle </w:t>
      </w:r>
      <w:r w:rsidRPr="00345075">
        <w:rPr>
          <w:rFonts w:ascii="Cambria" w:hAnsi="Cambria"/>
          <w:sz w:val="16"/>
          <w:szCs w:val="16"/>
        </w:rPr>
        <w:t>26:</w:t>
      </w:r>
      <w:r>
        <w:rPr>
          <w:rFonts w:ascii="Cambria" w:hAnsi="Cambria"/>
          <w:b/>
          <w:sz w:val="16"/>
          <w:szCs w:val="16"/>
        </w:rPr>
        <w:t xml:space="preserve"> </w:t>
      </w:r>
      <w:proofErr w:type="spellStart"/>
      <w:r w:rsidRPr="00345075">
        <w:rPr>
          <w:rFonts w:ascii="Cambria" w:hAnsi="Cambria"/>
          <w:b/>
          <w:sz w:val="16"/>
          <w:szCs w:val="16"/>
        </w:rPr>
        <w:t>Pacta</w:t>
      </w:r>
      <w:proofErr w:type="spellEnd"/>
      <w:r w:rsidRPr="00345075">
        <w:rPr>
          <w:rFonts w:ascii="Cambria" w:hAnsi="Cambria"/>
          <w:b/>
          <w:sz w:val="16"/>
          <w:szCs w:val="16"/>
        </w:rPr>
        <w:t xml:space="preserve"> </w:t>
      </w:r>
      <w:proofErr w:type="spellStart"/>
      <w:r w:rsidRPr="00345075">
        <w:rPr>
          <w:rFonts w:ascii="Cambria" w:hAnsi="Cambria"/>
          <w:b/>
          <w:sz w:val="16"/>
          <w:szCs w:val="16"/>
        </w:rPr>
        <w:t>sunt</w:t>
      </w:r>
      <w:proofErr w:type="spellEnd"/>
      <w:r w:rsidRPr="00345075">
        <w:rPr>
          <w:rFonts w:ascii="Cambria" w:hAnsi="Cambria"/>
          <w:b/>
          <w:sz w:val="16"/>
          <w:szCs w:val="16"/>
        </w:rPr>
        <w:t xml:space="preserve"> </w:t>
      </w:r>
      <w:proofErr w:type="spellStart"/>
      <w:r w:rsidRPr="00345075">
        <w:rPr>
          <w:rFonts w:ascii="Cambria" w:hAnsi="Cambria"/>
          <w:b/>
          <w:sz w:val="16"/>
          <w:szCs w:val="16"/>
        </w:rPr>
        <w:t>servanda</w:t>
      </w:r>
      <w:proofErr w:type="spellEnd"/>
      <w:r w:rsidRPr="00345075">
        <w:rPr>
          <w:rFonts w:ascii="Cambria" w:hAnsi="Cambria"/>
          <w:b/>
          <w:sz w:val="16"/>
          <w:szCs w:val="16"/>
        </w:rPr>
        <w:t xml:space="preserve">. </w:t>
      </w:r>
      <w:r>
        <w:rPr>
          <w:rFonts w:ascii="Cambria" w:hAnsi="Cambria"/>
          <w:i/>
          <w:sz w:val="16"/>
          <w:szCs w:val="16"/>
        </w:rPr>
        <w:t>“Every treaty in force is binding upon the parties to it and must be performed by them in good faith.”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45" w:rsidRDefault="00DE6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88" w:rsidRPr="00287BBD" w:rsidRDefault="00001288" w:rsidP="00A50FCF">
    <w:pPr>
      <w:pStyle w:val="Header"/>
      <w:tabs>
        <w:tab w:val="clear" w:pos="4320"/>
        <w:tab w:val="clear" w:pos="8640"/>
      </w:tabs>
      <w:jc w:val="center"/>
      <w:rPr>
        <w:rFonts w:cs="Times New Roman"/>
        <w:noProof/>
        <w:sz w:val="22"/>
        <w:szCs w:val="22"/>
      </w:rPr>
    </w:pPr>
  </w:p>
  <w:p w:rsidR="00001288" w:rsidRPr="00287BBD" w:rsidRDefault="00E66D2C" w:rsidP="00A50FCF">
    <w:pPr>
      <w:pStyle w:val="Header"/>
      <w:tabs>
        <w:tab w:val="clear" w:pos="4320"/>
        <w:tab w:val="clear" w:pos="8640"/>
      </w:tabs>
      <w:jc w:val="center"/>
      <w:rPr>
        <w:rFonts w:cs="Times New Roman"/>
        <w:noProof/>
        <w:sz w:val="22"/>
        <w:szCs w:val="22"/>
      </w:rPr>
    </w:pPr>
    <w:r>
      <w:rPr>
        <w:rFonts w:cs="Times New Roman"/>
        <w:noProof/>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45" w:rsidRDefault="00DE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 w15:restartNumberingAfterBreak="0">
    <w:nsid w:val="0C1A7417"/>
    <w:multiLevelType w:val="hybridMultilevel"/>
    <w:tmpl w:val="A0345170"/>
    <w:lvl w:ilvl="0" w:tplc="A098928A">
      <w:start w:val="1"/>
      <w:numFmt w:val="decimal"/>
      <w:lvlText w:val="%1."/>
      <w:lvlJc w:val="left"/>
      <w:pPr>
        <w:ind w:left="720" w:hanging="360"/>
      </w:pPr>
      <w:rPr>
        <w:rFonts w:hint="default"/>
        <w:vanish w:val="0"/>
      </w:rPr>
    </w:lvl>
    <w:lvl w:ilvl="1" w:tplc="A0DE0DF4">
      <w:start w:val="1"/>
      <w:numFmt w:val="lowerLetter"/>
      <w:lvlText w:val="%2."/>
      <w:lvlJc w:val="left"/>
      <w:pPr>
        <w:ind w:left="1440" w:hanging="360"/>
      </w:pPr>
    </w:lvl>
    <w:lvl w:ilvl="2" w:tplc="9CA2946A">
      <w:start w:val="1"/>
      <w:numFmt w:val="lowerRoman"/>
      <w:lvlText w:val="%3."/>
      <w:lvlJc w:val="right"/>
      <w:pPr>
        <w:ind w:left="2160" w:hanging="180"/>
      </w:pPr>
    </w:lvl>
    <w:lvl w:ilvl="3" w:tplc="3036DDAC">
      <w:start w:val="1"/>
      <w:numFmt w:val="decimal"/>
      <w:lvlText w:val="%4."/>
      <w:lvlJc w:val="left"/>
      <w:pPr>
        <w:ind w:left="2880" w:hanging="360"/>
      </w:pPr>
    </w:lvl>
    <w:lvl w:ilvl="4" w:tplc="B074F2B6">
      <w:start w:val="1"/>
      <w:numFmt w:val="lowerLetter"/>
      <w:lvlText w:val="%5."/>
      <w:lvlJc w:val="left"/>
      <w:pPr>
        <w:ind w:left="3600" w:hanging="360"/>
      </w:pPr>
    </w:lvl>
    <w:lvl w:ilvl="5" w:tplc="D5B63C64">
      <w:start w:val="1"/>
      <w:numFmt w:val="lowerRoman"/>
      <w:lvlText w:val="%6."/>
      <w:lvlJc w:val="right"/>
      <w:pPr>
        <w:ind w:left="4320" w:hanging="180"/>
      </w:pPr>
    </w:lvl>
    <w:lvl w:ilvl="6" w:tplc="1E86490A">
      <w:start w:val="1"/>
      <w:numFmt w:val="decimal"/>
      <w:lvlText w:val="%7."/>
      <w:lvlJc w:val="left"/>
      <w:pPr>
        <w:ind w:left="5040" w:hanging="360"/>
      </w:pPr>
    </w:lvl>
    <w:lvl w:ilvl="7" w:tplc="6EC6195E">
      <w:start w:val="1"/>
      <w:numFmt w:val="lowerLetter"/>
      <w:lvlText w:val="%8."/>
      <w:lvlJc w:val="left"/>
      <w:pPr>
        <w:ind w:left="5760" w:hanging="360"/>
      </w:pPr>
    </w:lvl>
    <w:lvl w:ilvl="8" w:tplc="B0E6D324">
      <w:start w:val="1"/>
      <w:numFmt w:val="lowerRoman"/>
      <w:lvlText w:val="%9."/>
      <w:lvlJc w:val="right"/>
      <w:pPr>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5" w15:restartNumberingAfterBreak="0">
    <w:nsid w:val="18A104BF"/>
    <w:multiLevelType w:val="hybridMultilevel"/>
    <w:tmpl w:val="B906D366"/>
    <w:lvl w:ilvl="0" w:tplc="87402346">
      <w:start w:val="1"/>
      <w:numFmt w:val="upperRoman"/>
      <w:lvlText w:val="%1."/>
      <w:lvlJc w:val="left"/>
      <w:pPr>
        <w:ind w:left="1080" w:hanging="720"/>
      </w:pPr>
      <w:rPr>
        <w:rFonts w:hint="default"/>
        <w:b/>
        <w:bCs/>
        <w:vanish w:val="0"/>
        <w:color w:val="auto"/>
      </w:rPr>
    </w:lvl>
    <w:lvl w:ilvl="1" w:tplc="7A02FDDE">
      <w:start w:val="1"/>
      <w:numFmt w:val="lowerLetter"/>
      <w:lvlText w:val="%2."/>
      <w:lvlJc w:val="left"/>
      <w:pPr>
        <w:ind w:left="1440" w:hanging="360"/>
      </w:pPr>
    </w:lvl>
    <w:lvl w:ilvl="2" w:tplc="E3EC8D56">
      <w:start w:val="1"/>
      <w:numFmt w:val="lowerRoman"/>
      <w:lvlText w:val="%3."/>
      <w:lvlJc w:val="right"/>
      <w:pPr>
        <w:ind w:left="2160" w:hanging="180"/>
      </w:pPr>
    </w:lvl>
    <w:lvl w:ilvl="3" w:tplc="8BC0A4BC">
      <w:start w:val="1"/>
      <w:numFmt w:val="decimal"/>
      <w:lvlText w:val="%4."/>
      <w:lvlJc w:val="left"/>
      <w:pPr>
        <w:ind w:left="2880" w:hanging="360"/>
      </w:pPr>
    </w:lvl>
    <w:lvl w:ilvl="4" w:tplc="34504024">
      <w:start w:val="1"/>
      <w:numFmt w:val="lowerLetter"/>
      <w:lvlText w:val="%5."/>
      <w:lvlJc w:val="left"/>
      <w:pPr>
        <w:ind w:left="3600" w:hanging="360"/>
      </w:pPr>
    </w:lvl>
    <w:lvl w:ilvl="5" w:tplc="0F34AB62">
      <w:start w:val="1"/>
      <w:numFmt w:val="lowerRoman"/>
      <w:lvlText w:val="%6."/>
      <w:lvlJc w:val="right"/>
      <w:pPr>
        <w:ind w:left="4320" w:hanging="180"/>
      </w:pPr>
    </w:lvl>
    <w:lvl w:ilvl="6" w:tplc="61D48B70">
      <w:start w:val="1"/>
      <w:numFmt w:val="decimal"/>
      <w:lvlText w:val="%7."/>
      <w:lvlJc w:val="left"/>
      <w:pPr>
        <w:ind w:left="5040" w:hanging="360"/>
      </w:pPr>
    </w:lvl>
    <w:lvl w:ilvl="7" w:tplc="C0DC39E4">
      <w:start w:val="1"/>
      <w:numFmt w:val="lowerLetter"/>
      <w:lvlText w:val="%8."/>
      <w:lvlJc w:val="left"/>
      <w:pPr>
        <w:ind w:left="5760" w:hanging="360"/>
      </w:pPr>
    </w:lvl>
    <w:lvl w:ilvl="8" w:tplc="6198922C">
      <w:start w:val="1"/>
      <w:numFmt w:val="lowerRoman"/>
      <w:lvlText w:val="%9."/>
      <w:lvlJc w:val="right"/>
      <w:pPr>
        <w:ind w:left="648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4" w15:restartNumberingAfterBreak="0">
    <w:nsid w:val="25DF140B"/>
    <w:multiLevelType w:val="hybridMultilevel"/>
    <w:tmpl w:val="9A30BE48"/>
    <w:lvl w:ilvl="0" w:tplc="0C0A000F">
      <w:start w:val="1"/>
      <w:numFmt w:val="decimal"/>
      <w:lvlText w:val="%1."/>
      <w:lvlJc w:val="left"/>
      <w:pPr>
        <w:ind w:left="16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7"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1" w15:restartNumberingAfterBreak="0">
    <w:nsid w:val="45244761"/>
    <w:multiLevelType w:val="hybridMultilevel"/>
    <w:tmpl w:val="D7AEE56A"/>
    <w:lvl w:ilvl="0" w:tplc="EAAAFBAC">
      <w:start w:val="1"/>
      <w:numFmt w:val="decimal"/>
      <w:lvlText w:val="%1."/>
      <w:lvlJc w:val="left"/>
      <w:pPr>
        <w:ind w:left="2160" w:hanging="1440"/>
      </w:pPr>
      <w:rPr>
        <w:rFonts w:hint="default"/>
        <w:sz w:val="20"/>
        <w:szCs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4" w15:restartNumberingAfterBreak="0">
    <w:nsid w:val="49871599"/>
    <w:multiLevelType w:val="hybridMultilevel"/>
    <w:tmpl w:val="AE3CE064"/>
    <w:lvl w:ilvl="0" w:tplc="201C422C">
      <w:start w:val="1"/>
      <w:numFmt w:val="decimal"/>
      <w:lvlText w:val="%1."/>
      <w:lvlJc w:val="left"/>
      <w:pPr>
        <w:ind w:left="720" w:hanging="360"/>
      </w:pPr>
      <w:rPr>
        <w:rFonts w:hint="default"/>
        <w:b w:val="0"/>
        <w:bCs w:val="0"/>
        <w:vanish w:val="0"/>
        <w:sz w:val="20"/>
        <w:szCs w:val="20"/>
      </w:rPr>
    </w:lvl>
    <w:lvl w:ilvl="1" w:tplc="41B07BE6">
      <w:start w:val="1"/>
      <w:numFmt w:val="lowerLetter"/>
      <w:lvlText w:val="%2."/>
      <w:lvlJc w:val="left"/>
      <w:pPr>
        <w:ind w:left="1440" w:hanging="360"/>
      </w:pPr>
    </w:lvl>
    <w:lvl w:ilvl="2" w:tplc="C2AA8E6A">
      <w:start w:val="1"/>
      <w:numFmt w:val="lowerRoman"/>
      <w:lvlText w:val="%3."/>
      <w:lvlJc w:val="right"/>
      <w:pPr>
        <w:ind w:left="2160" w:hanging="180"/>
      </w:pPr>
    </w:lvl>
    <w:lvl w:ilvl="3" w:tplc="EA7068D4">
      <w:start w:val="1"/>
      <w:numFmt w:val="decimal"/>
      <w:lvlText w:val="%4."/>
      <w:lvlJc w:val="left"/>
      <w:pPr>
        <w:ind w:left="2880" w:hanging="360"/>
      </w:pPr>
    </w:lvl>
    <w:lvl w:ilvl="4" w:tplc="1786E014">
      <w:start w:val="1"/>
      <w:numFmt w:val="lowerLetter"/>
      <w:lvlText w:val="%5."/>
      <w:lvlJc w:val="left"/>
      <w:pPr>
        <w:ind w:left="3600" w:hanging="360"/>
      </w:pPr>
    </w:lvl>
    <w:lvl w:ilvl="5" w:tplc="13CAB07C">
      <w:start w:val="1"/>
      <w:numFmt w:val="lowerRoman"/>
      <w:lvlText w:val="%6."/>
      <w:lvlJc w:val="right"/>
      <w:pPr>
        <w:ind w:left="4320" w:hanging="180"/>
      </w:pPr>
    </w:lvl>
    <w:lvl w:ilvl="6" w:tplc="323A5224">
      <w:start w:val="1"/>
      <w:numFmt w:val="decimal"/>
      <w:lvlText w:val="%7."/>
      <w:lvlJc w:val="left"/>
      <w:pPr>
        <w:ind w:left="5040" w:hanging="360"/>
      </w:pPr>
    </w:lvl>
    <w:lvl w:ilvl="7" w:tplc="844E0386">
      <w:start w:val="1"/>
      <w:numFmt w:val="lowerLetter"/>
      <w:lvlText w:val="%8."/>
      <w:lvlJc w:val="left"/>
      <w:pPr>
        <w:ind w:left="5760" w:hanging="360"/>
      </w:pPr>
    </w:lvl>
    <w:lvl w:ilvl="8" w:tplc="AA8643CA">
      <w:start w:val="1"/>
      <w:numFmt w:val="lowerRoman"/>
      <w:lvlText w:val="%9."/>
      <w:lvlJc w:val="right"/>
      <w:pPr>
        <w:ind w:left="6480" w:hanging="180"/>
      </w:pPr>
    </w:lvl>
  </w:abstractNum>
  <w:abstractNum w:abstractNumId="35" w15:restartNumberingAfterBreak="0">
    <w:nsid w:val="4B955F13"/>
    <w:multiLevelType w:val="hybridMultilevel"/>
    <w:tmpl w:val="8F4020B6"/>
    <w:lvl w:ilvl="0" w:tplc="5262E4FC">
      <w:start w:val="1"/>
      <w:numFmt w:val="upperRoman"/>
      <w:lvlText w:val="%1."/>
      <w:lvlJc w:val="left"/>
      <w:pPr>
        <w:ind w:left="1440" w:hanging="720"/>
      </w:pPr>
      <w:rPr>
        <w:rFonts w:eastAsia="Arial Unicode M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b/>
        <w:bCs/>
        <w:color w:val="000000"/>
        <w:position w:val="0"/>
        <w:sz w:val="22"/>
        <w:szCs w:val="22"/>
        <w:u w:val="single"/>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1" w15:restartNumberingAfterBreak="0">
    <w:nsid w:val="544520C8"/>
    <w:multiLevelType w:val="hybridMultilevel"/>
    <w:tmpl w:val="1C2886B0"/>
    <w:lvl w:ilvl="0" w:tplc="7C24CFA6">
      <w:start w:val="1"/>
      <w:numFmt w:val="decimal"/>
      <w:lvlText w:val="%1."/>
      <w:lvlJc w:val="left"/>
      <w:pPr>
        <w:ind w:left="720" w:hanging="360"/>
      </w:pPr>
      <w:rPr>
        <w:rFonts w:hint="default"/>
        <w:vanish w:val="0"/>
      </w:rPr>
    </w:lvl>
    <w:lvl w:ilvl="1" w:tplc="44BC76A2">
      <w:start w:val="1"/>
      <w:numFmt w:val="lowerLetter"/>
      <w:lvlText w:val="%2."/>
      <w:lvlJc w:val="left"/>
      <w:pPr>
        <w:ind w:left="1440" w:hanging="360"/>
      </w:pPr>
    </w:lvl>
    <w:lvl w:ilvl="2" w:tplc="9AE4BB94">
      <w:start w:val="1"/>
      <w:numFmt w:val="lowerRoman"/>
      <w:lvlText w:val="%3."/>
      <w:lvlJc w:val="right"/>
      <w:pPr>
        <w:ind w:left="2160" w:hanging="180"/>
      </w:pPr>
    </w:lvl>
    <w:lvl w:ilvl="3" w:tplc="B9824DA2">
      <w:start w:val="1"/>
      <w:numFmt w:val="decimal"/>
      <w:lvlText w:val="%4."/>
      <w:lvlJc w:val="left"/>
      <w:pPr>
        <w:ind w:left="2880" w:hanging="360"/>
      </w:pPr>
    </w:lvl>
    <w:lvl w:ilvl="4" w:tplc="9F2E4554">
      <w:start w:val="1"/>
      <w:numFmt w:val="lowerLetter"/>
      <w:lvlText w:val="%5."/>
      <w:lvlJc w:val="left"/>
      <w:pPr>
        <w:ind w:left="3600" w:hanging="360"/>
      </w:pPr>
    </w:lvl>
    <w:lvl w:ilvl="5" w:tplc="F71231BC">
      <w:start w:val="1"/>
      <w:numFmt w:val="lowerRoman"/>
      <w:lvlText w:val="%6."/>
      <w:lvlJc w:val="right"/>
      <w:pPr>
        <w:ind w:left="4320" w:hanging="180"/>
      </w:pPr>
    </w:lvl>
    <w:lvl w:ilvl="6" w:tplc="7C02B42E">
      <w:start w:val="1"/>
      <w:numFmt w:val="decimal"/>
      <w:lvlText w:val="%7."/>
      <w:lvlJc w:val="left"/>
      <w:pPr>
        <w:ind w:left="5040" w:hanging="360"/>
      </w:pPr>
    </w:lvl>
    <w:lvl w:ilvl="7" w:tplc="D7FC9AC2">
      <w:start w:val="1"/>
      <w:numFmt w:val="lowerLetter"/>
      <w:lvlText w:val="%8."/>
      <w:lvlJc w:val="left"/>
      <w:pPr>
        <w:ind w:left="5760" w:hanging="360"/>
      </w:pPr>
    </w:lvl>
    <w:lvl w:ilvl="8" w:tplc="A106D2A2">
      <w:start w:val="1"/>
      <w:numFmt w:val="lowerRoman"/>
      <w:lvlText w:val="%9."/>
      <w:lvlJc w:val="right"/>
      <w:pPr>
        <w:ind w:left="6480" w:hanging="180"/>
      </w:p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5" w15:restartNumberingAfterBreak="0">
    <w:nsid w:val="600B401D"/>
    <w:multiLevelType w:val="hybridMultilevel"/>
    <w:tmpl w:val="6C4C092C"/>
    <w:lvl w:ilvl="0" w:tplc="DE7CDCF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0" w15:restartNumberingAfterBreak="0">
    <w:nsid w:val="70786ED7"/>
    <w:multiLevelType w:val="hybridMultilevel"/>
    <w:tmpl w:val="0004DB54"/>
    <w:lvl w:ilvl="0" w:tplc="2E386DD8">
      <w:start w:val="1"/>
      <w:numFmt w:val="upperRoman"/>
      <w:pStyle w:val="Heading1"/>
      <w:lvlText w:val="%1."/>
      <w:lvlJc w:val="left"/>
      <w:pPr>
        <w:ind w:left="720" w:hanging="360"/>
      </w:pPr>
      <w:rPr>
        <w:rFonts w:hint="default"/>
      </w:rPr>
    </w:lvl>
    <w:lvl w:ilvl="1" w:tplc="53929B2A">
      <w:start w:val="1"/>
      <w:numFmt w:val="lowerLetter"/>
      <w:lvlText w:val="%2."/>
      <w:lvlJc w:val="left"/>
      <w:pPr>
        <w:ind w:left="1440" w:hanging="360"/>
      </w:pPr>
    </w:lvl>
    <w:lvl w:ilvl="2" w:tplc="0C1E5B34">
      <w:start w:val="1"/>
      <w:numFmt w:val="lowerRoman"/>
      <w:lvlText w:val="%3."/>
      <w:lvlJc w:val="right"/>
      <w:pPr>
        <w:ind w:left="2160" w:hanging="180"/>
      </w:pPr>
    </w:lvl>
    <w:lvl w:ilvl="3" w:tplc="60F4FFF6">
      <w:start w:val="1"/>
      <w:numFmt w:val="decimal"/>
      <w:lvlText w:val="%4."/>
      <w:lvlJc w:val="left"/>
      <w:pPr>
        <w:ind w:left="2880" w:hanging="360"/>
      </w:pPr>
    </w:lvl>
    <w:lvl w:ilvl="4" w:tplc="0C1CE664">
      <w:start w:val="1"/>
      <w:numFmt w:val="lowerLetter"/>
      <w:lvlText w:val="%5."/>
      <w:lvlJc w:val="left"/>
      <w:pPr>
        <w:ind w:left="3600" w:hanging="360"/>
      </w:pPr>
    </w:lvl>
    <w:lvl w:ilvl="5" w:tplc="1F2C28DE">
      <w:start w:val="1"/>
      <w:numFmt w:val="lowerRoman"/>
      <w:lvlText w:val="%6."/>
      <w:lvlJc w:val="right"/>
      <w:pPr>
        <w:ind w:left="4320" w:hanging="180"/>
      </w:pPr>
    </w:lvl>
    <w:lvl w:ilvl="6" w:tplc="40B6D268">
      <w:start w:val="1"/>
      <w:numFmt w:val="decimal"/>
      <w:lvlText w:val="%7."/>
      <w:lvlJc w:val="left"/>
      <w:pPr>
        <w:ind w:left="5040" w:hanging="360"/>
      </w:pPr>
    </w:lvl>
    <w:lvl w:ilvl="7" w:tplc="589CDE2C">
      <w:start w:val="1"/>
      <w:numFmt w:val="lowerLetter"/>
      <w:lvlText w:val="%8."/>
      <w:lvlJc w:val="left"/>
      <w:pPr>
        <w:ind w:left="5760" w:hanging="360"/>
      </w:pPr>
    </w:lvl>
    <w:lvl w:ilvl="8" w:tplc="E54ADFDA">
      <w:start w:val="1"/>
      <w:numFmt w:val="lowerRoman"/>
      <w:lvlText w:val="%9."/>
      <w:lvlJc w:val="right"/>
      <w:pPr>
        <w:ind w:left="6480" w:hanging="180"/>
      </w:pPr>
    </w:lvl>
  </w:abstractNum>
  <w:abstractNum w:abstractNumId="51"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2"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bC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b/>
        <w:bCs/>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b/>
        <w:bCs/>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b/>
        <w:bCs/>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b/>
        <w:bCs/>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b/>
        <w:bCs/>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b/>
        <w:bCs/>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b/>
        <w:bCs/>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b/>
        <w:bCs/>
        <w:color w:val="000000"/>
        <w:position w:val="0"/>
        <w:sz w:val="22"/>
        <w:szCs w:val="22"/>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5" w15:restartNumberingAfterBreak="0">
    <w:nsid w:val="7A4E547A"/>
    <w:multiLevelType w:val="hybridMultilevel"/>
    <w:tmpl w:val="EF46F064"/>
    <w:lvl w:ilvl="0" w:tplc="C36451F4">
      <w:start w:val="1"/>
      <w:numFmt w:val="decimal"/>
      <w:lvlText w:val="%1."/>
      <w:lvlJc w:val="left"/>
      <w:pPr>
        <w:ind w:left="720" w:hanging="360"/>
      </w:pPr>
      <w:rPr>
        <w:rFonts w:hint="default"/>
        <w:vanish w:val="0"/>
      </w:rPr>
    </w:lvl>
    <w:lvl w:ilvl="1" w:tplc="8EA286A4">
      <w:start w:val="1"/>
      <w:numFmt w:val="lowerLetter"/>
      <w:lvlText w:val="%2."/>
      <w:lvlJc w:val="left"/>
      <w:pPr>
        <w:ind w:left="1440" w:hanging="360"/>
      </w:pPr>
    </w:lvl>
    <w:lvl w:ilvl="2" w:tplc="B1385CCE">
      <w:start w:val="1"/>
      <w:numFmt w:val="lowerRoman"/>
      <w:lvlText w:val="%3."/>
      <w:lvlJc w:val="right"/>
      <w:pPr>
        <w:ind w:left="2160" w:hanging="180"/>
      </w:pPr>
    </w:lvl>
    <w:lvl w:ilvl="3" w:tplc="9F0654FC">
      <w:start w:val="1"/>
      <w:numFmt w:val="decimal"/>
      <w:lvlText w:val="%4."/>
      <w:lvlJc w:val="left"/>
      <w:pPr>
        <w:ind w:left="2880" w:hanging="360"/>
      </w:pPr>
    </w:lvl>
    <w:lvl w:ilvl="4" w:tplc="DFFED3D8">
      <w:start w:val="1"/>
      <w:numFmt w:val="lowerLetter"/>
      <w:lvlText w:val="%5."/>
      <w:lvlJc w:val="left"/>
      <w:pPr>
        <w:ind w:left="3600" w:hanging="360"/>
      </w:pPr>
    </w:lvl>
    <w:lvl w:ilvl="5" w:tplc="B2004C1E">
      <w:start w:val="1"/>
      <w:numFmt w:val="lowerRoman"/>
      <w:lvlText w:val="%6."/>
      <w:lvlJc w:val="right"/>
      <w:pPr>
        <w:ind w:left="4320" w:hanging="180"/>
      </w:pPr>
    </w:lvl>
    <w:lvl w:ilvl="6" w:tplc="698C8206">
      <w:start w:val="1"/>
      <w:numFmt w:val="decimal"/>
      <w:lvlText w:val="%7."/>
      <w:lvlJc w:val="left"/>
      <w:pPr>
        <w:ind w:left="5040" w:hanging="360"/>
      </w:pPr>
    </w:lvl>
    <w:lvl w:ilvl="7" w:tplc="93362810">
      <w:start w:val="1"/>
      <w:numFmt w:val="lowerLetter"/>
      <w:lvlText w:val="%8."/>
      <w:lvlJc w:val="left"/>
      <w:pPr>
        <w:ind w:left="5760" w:hanging="360"/>
      </w:pPr>
    </w:lvl>
    <w:lvl w:ilvl="8" w:tplc="6F24371C">
      <w:start w:val="1"/>
      <w:numFmt w:val="lowerRoman"/>
      <w:lvlText w:val="%9."/>
      <w:lvlJc w:val="right"/>
      <w:pPr>
        <w:ind w:left="6480" w:hanging="180"/>
      </w:p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num w:numId="1">
    <w:abstractNumId w:val="4"/>
  </w:num>
  <w:num w:numId="2">
    <w:abstractNumId w:val="53"/>
  </w:num>
  <w:num w:numId="3">
    <w:abstractNumId w:val="21"/>
  </w:num>
  <w:num w:numId="4">
    <w:abstractNumId w:val="47"/>
  </w:num>
  <w:num w:numId="5">
    <w:abstractNumId w:val="26"/>
  </w:num>
  <w:num w:numId="6">
    <w:abstractNumId w:val="6"/>
  </w:num>
  <w:num w:numId="7">
    <w:abstractNumId w:val="18"/>
  </w:num>
  <w:num w:numId="8">
    <w:abstractNumId w:val="42"/>
  </w:num>
  <w:num w:numId="9">
    <w:abstractNumId w:val="0"/>
  </w:num>
  <w:num w:numId="10">
    <w:abstractNumId w:val="36"/>
  </w:num>
  <w:num w:numId="11">
    <w:abstractNumId w:val="37"/>
  </w:num>
  <w:num w:numId="12">
    <w:abstractNumId w:val="43"/>
  </w:num>
  <w:num w:numId="13">
    <w:abstractNumId w:val="1"/>
  </w:num>
  <w:num w:numId="14">
    <w:abstractNumId w:val="2"/>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5"/>
  </w:num>
  <w:num w:numId="23">
    <w:abstractNumId w:val="16"/>
  </w:num>
  <w:num w:numId="24">
    <w:abstractNumId w:val="19"/>
  </w:num>
  <w:num w:numId="25">
    <w:abstractNumId w:val="20"/>
  </w:num>
  <w:num w:numId="26">
    <w:abstractNumId w:val="22"/>
  </w:num>
  <w:num w:numId="27">
    <w:abstractNumId w:val="23"/>
  </w:num>
  <w:num w:numId="28">
    <w:abstractNumId w:val="24"/>
  </w:num>
  <w:num w:numId="29">
    <w:abstractNumId w:val="25"/>
  </w:num>
  <w:num w:numId="30">
    <w:abstractNumId w:val="27"/>
  </w:num>
  <w:num w:numId="31">
    <w:abstractNumId w:val="28"/>
  </w:num>
  <w:num w:numId="32">
    <w:abstractNumId w:val="29"/>
  </w:num>
  <w:num w:numId="33">
    <w:abstractNumId w:val="30"/>
  </w:num>
  <w:num w:numId="34">
    <w:abstractNumId w:val="32"/>
  </w:num>
  <w:num w:numId="35">
    <w:abstractNumId w:val="33"/>
  </w:num>
  <w:num w:numId="36">
    <w:abstractNumId w:val="38"/>
  </w:num>
  <w:num w:numId="37">
    <w:abstractNumId w:val="39"/>
  </w:num>
  <w:num w:numId="38">
    <w:abstractNumId w:val="46"/>
  </w:num>
  <w:num w:numId="39">
    <w:abstractNumId w:val="48"/>
  </w:num>
  <w:num w:numId="40">
    <w:abstractNumId w:val="49"/>
  </w:num>
  <w:num w:numId="41">
    <w:abstractNumId w:val="51"/>
  </w:num>
  <w:num w:numId="42">
    <w:abstractNumId w:val="52"/>
  </w:num>
  <w:num w:numId="43">
    <w:abstractNumId w:val="54"/>
  </w:num>
  <w:num w:numId="44">
    <w:abstractNumId w:val="56"/>
  </w:num>
  <w:num w:numId="45">
    <w:abstractNumId w:val="57"/>
  </w:num>
  <w:num w:numId="46">
    <w:abstractNumId w:val="58"/>
  </w:num>
  <w:num w:numId="47">
    <w:abstractNumId w:val="59"/>
  </w:num>
  <w:num w:numId="48">
    <w:abstractNumId w:val="40"/>
  </w:num>
  <w:num w:numId="49">
    <w:abstractNumId w:val="50"/>
  </w:num>
  <w:num w:numId="50">
    <w:abstractNumId w:val="44"/>
  </w:num>
  <w:num w:numId="51">
    <w:abstractNumId w:val="5"/>
  </w:num>
  <w:num w:numId="52">
    <w:abstractNumId w:val="34"/>
  </w:num>
  <w:num w:numId="53">
    <w:abstractNumId w:val="41"/>
  </w:num>
  <w:num w:numId="54">
    <w:abstractNumId w:val="3"/>
  </w:num>
  <w:num w:numId="55">
    <w:abstractNumId w:val="55"/>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35"/>
  </w:num>
  <w:num w:numId="59">
    <w:abstractNumId w:val="14"/>
  </w:num>
  <w:num w:numId="60">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30"/>
    <w:rsid w:val="00001288"/>
    <w:rsid w:val="00004795"/>
    <w:rsid w:val="000434C9"/>
    <w:rsid w:val="00071291"/>
    <w:rsid w:val="00075CDA"/>
    <w:rsid w:val="000A0A27"/>
    <w:rsid w:val="000C4430"/>
    <w:rsid w:val="000E46BA"/>
    <w:rsid w:val="000F35ED"/>
    <w:rsid w:val="000F5C79"/>
    <w:rsid w:val="00116F0A"/>
    <w:rsid w:val="001336C2"/>
    <w:rsid w:val="00155D66"/>
    <w:rsid w:val="001D0857"/>
    <w:rsid w:val="001D1A4B"/>
    <w:rsid w:val="001E0025"/>
    <w:rsid w:val="002029C6"/>
    <w:rsid w:val="00205043"/>
    <w:rsid w:val="00205A50"/>
    <w:rsid w:val="002133A5"/>
    <w:rsid w:val="002272B7"/>
    <w:rsid w:val="00233FCC"/>
    <w:rsid w:val="00287BBD"/>
    <w:rsid w:val="002B0814"/>
    <w:rsid w:val="002D74EF"/>
    <w:rsid w:val="002E115D"/>
    <w:rsid w:val="00364864"/>
    <w:rsid w:val="0039205A"/>
    <w:rsid w:val="00394DF4"/>
    <w:rsid w:val="00416B78"/>
    <w:rsid w:val="004366B8"/>
    <w:rsid w:val="00471CFB"/>
    <w:rsid w:val="00473767"/>
    <w:rsid w:val="004900BE"/>
    <w:rsid w:val="004935E9"/>
    <w:rsid w:val="004E339A"/>
    <w:rsid w:val="004F3EDA"/>
    <w:rsid w:val="004F6809"/>
    <w:rsid w:val="004F7290"/>
    <w:rsid w:val="0051286B"/>
    <w:rsid w:val="00513707"/>
    <w:rsid w:val="00520ED1"/>
    <w:rsid w:val="00573330"/>
    <w:rsid w:val="005A153F"/>
    <w:rsid w:val="005A6431"/>
    <w:rsid w:val="005B5E9B"/>
    <w:rsid w:val="005D2021"/>
    <w:rsid w:val="005F4A5B"/>
    <w:rsid w:val="00607A75"/>
    <w:rsid w:val="00621B1E"/>
    <w:rsid w:val="0065252B"/>
    <w:rsid w:val="0067473B"/>
    <w:rsid w:val="00676E1A"/>
    <w:rsid w:val="006B17EC"/>
    <w:rsid w:val="006C4219"/>
    <w:rsid w:val="00702CF8"/>
    <w:rsid w:val="00731170"/>
    <w:rsid w:val="00757793"/>
    <w:rsid w:val="00781D5E"/>
    <w:rsid w:val="007876B4"/>
    <w:rsid w:val="007E73EA"/>
    <w:rsid w:val="008140B3"/>
    <w:rsid w:val="008530B2"/>
    <w:rsid w:val="0086707C"/>
    <w:rsid w:val="00871C88"/>
    <w:rsid w:val="008B2A70"/>
    <w:rsid w:val="008B2E7F"/>
    <w:rsid w:val="008D2194"/>
    <w:rsid w:val="00934A2C"/>
    <w:rsid w:val="00956FBD"/>
    <w:rsid w:val="00965F08"/>
    <w:rsid w:val="0098126A"/>
    <w:rsid w:val="009A0B12"/>
    <w:rsid w:val="009C33F1"/>
    <w:rsid w:val="00A50FCF"/>
    <w:rsid w:val="00A765D6"/>
    <w:rsid w:val="00A814FC"/>
    <w:rsid w:val="00A96E6D"/>
    <w:rsid w:val="00AE1F3C"/>
    <w:rsid w:val="00B04F62"/>
    <w:rsid w:val="00B643F0"/>
    <w:rsid w:val="00B84E9C"/>
    <w:rsid w:val="00B87B1E"/>
    <w:rsid w:val="00BB0A3A"/>
    <w:rsid w:val="00BB2870"/>
    <w:rsid w:val="00C054DF"/>
    <w:rsid w:val="00C55F1E"/>
    <w:rsid w:val="00C732BF"/>
    <w:rsid w:val="00CB4123"/>
    <w:rsid w:val="00CE4459"/>
    <w:rsid w:val="00CF5C7B"/>
    <w:rsid w:val="00D237CC"/>
    <w:rsid w:val="00D57B14"/>
    <w:rsid w:val="00D73FB0"/>
    <w:rsid w:val="00D80039"/>
    <w:rsid w:val="00D8380D"/>
    <w:rsid w:val="00DC6760"/>
    <w:rsid w:val="00DE5170"/>
    <w:rsid w:val="00DE6E45"/>
    <w:rsid w:val="00DF47DB"/>
    <w:rsid w:val="00E03326"/>
    <w:rsid w:val="00E23A64"/>
    <w:rsid w:val="00E47775"/>
    <w:rsid w:val="00E51CAF"/>
    <w:rsid w:val="00E55EB6"/>
    <w:rsid w:val="00E62481"/>
    <w:rsid w:val="00E629E5"/>
    <w:rsid w:val="00E66D2C"/>
    <w:rsid w:val="00E67AF1"/>
    <w:rsid w:val="00E8548A"/>
    <w:rsid w:val="00E940BE"/>
    <w:rsid w:val="00E9539F"/>
    <w:rsid w:val="00ED15A2"/>
    <w:rsid w:val="00F05BF4"/>
    <w:rsid w:val="00F4654A"/>
    <w:rsid w:val="00F52B87"/>
    <w:rsid w:val="00FD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9C"/>
    <w:rPr>
      <w:sz w:val="24"/>
      <w:szCs w:val="24"/>
    </w:rPr>
  </w:style>
  <w:style w:type="paragraph" w:styleId="Heading1">
    <w:name w:val="heading 1"/>
    <w:basedOn w:val="Normal"/>
    <w:next w:val="Normal"/>
    <w:link w:val="Heading1Char"/>
    <w:uiPriority w:val="99"/>
    <w:qFormat/>
    <w:rsid w:val="00B84E9C"/>
    <w:pPr>
      <w:keepNext/>
      <w:keepLines/>
      <w:numPr>
        <w:numId w:val="49"/>
      </w:numPr>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84E9C"/>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B84E9C"/>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E9C"/>
    <w:rPr>
      <w:rFonts w:ascii="Cambria" w:hAnsi="Cambria" w:cs="Cambria"/>
      <w:b/>
      <w:bCs/>
      <w:color w:val="365F91"/>
      <w:sz w:val="28"/>
      <w:szCs w:val="28"/>
      <w:lang w:val="en-US" w:eastAsia="en-US"/>
    </w:rPr>
  </w:style>
  <w:style w:type="character" w:customStyle="1" w:styleId="Heading2Char">
    <w:name w:val="Heading 2 Char"/>
    <w:basedOn w:val="DefaultParagraphFont"/>
    <w:link w:val="Heading2"/>
    <w:uiPriority w:val="99"/>
    <w:locked/>
    <w:rsid w:val="00B84E9C"/>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B84E9C"/>
    <w:rPr>
      <w:rFonts w:ascii="Arial" w:hAnsi="Arial" w:cs="Arial"/>
      <w:b/>
      <w:bCs/>
      <w:sz w:val="26"/>
      <w:szCs w:val="26"/>
      <w:lang w:val="en-US" w:eastAsia="en-US"/>
    </w:rPr>
  </w:style>
  <w:style w:type="character" w:styleId="Hyperlink">
    <w:name w:val="Hyperlink"/>
    <w:basedOn w:val="DefaultParagraphFont"/>
    <w:uiPriority w:val="99"/>
    <w:rsid w:val="00B84E9C"/>
    <w:rPr>
      <w:u w:val="single"/>
    </w:rPr>
  </w:style>
  <w:style w:type="paragraph" w:customStyle="1" w:styleId="Cabeceraypie">
    <w:name w:val="Cabecera y pie"/>
    <w:uiPriority w:val="99"/>
    <w:rsid w:val="00B84E9C"/>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B84E9C"/>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B84E9C"/>
    <w:rPr>
      <w:rFonts w:ascii="Cambria" w:hAnsi="Cambria" w:cs="Cambria"/>
      <w:color w:val="000000"/>
      <w:sz w:val="24"/>
      <w:szCs w:val="24"/>
      <w:u w:color="000000"/>
      <w:lang w:val="en-US" w:eastAsia="es-ES"/>
    </w:rPr>
  </w:style>
  <w:style w:type="paragraph" w:customStyle="1" w:styleId="Cuerpo">
    <w:name w:val="Cuerpo"/>
    <w:uiPriority w:val="99"/>
    <w:rsid w:val="00B84E9C"/>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B84E9C"/>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B84E9C"/>
    <w:rPr>
      <w:sz w:val="24"/>
      <w:szCs w:val="24"/>
    </w:rPr>
  </w:style>
  <w:style w:type="paragraph" w:styleId="ListParagraph">
    <w:name w:val="List Paragraph"/>
    <w:basedOn w:val="Normal"/>
    <w:uiPriority w:val="34"/>
    <w:qFormat/>
    <w:rsid w:val="00B84E9C"/>
    <w:pPr>
      <w:ind w:left="720"/>
    </w:pPr>
    <w:rPr>
      <w:rFonts w:ascii="Cambria" w:hAnsi="Cambria" w:cs="Cambria"/>
      <w:color w:val="000000"/>
      <w:u w:color="000000"/>
      <w:lang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footnote text"/>
    <w:basedOn w:val="Normal"/>
    <w:link w:val="FootnoteTextChar1"/>
    <w:uiPriority w:val="99"/>
    <w:rsid w:val="00B84E9C"/>
    <w:rPr>
      <w:rFonts w:ascii="Calibri" w:hAnsi="Calibri" w:cs="Calibri"/>
      <w:color w:val="000000"/>
      <w:sz w:val="20"/>
      <w:szCs w:val="20"/>
      <w:u w:color="000000"/>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basedOn w:val="DefaultParagraphFont"/>
    <w:uiPriority w:val="99"/>
    <w:locked/>
    <w:rsid w:val="00702CF8"/>
    <w:rPr>
      <w:sz w:val="20"/>
      <w:szCs w:val="20"/>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basedOn w:val="DefaultParagraphFont"/>
    <w:uiPriority w:val="99"/>
    <w:semiHidden/>
    <w:locked/>
    <w:rsid w:val="00B84E9C"/>
    <w:rPr>
      <w:sz w:val="20"/>
      <w:szCs w:val="20"/>
    </w:rPr>
  </w:style>
  <w:style w:type="paragraph" w:styleId="BalloonText">
    <w:name w:val="Balloon Text"/>
    <w:basedOn w:val="Normal"/>
    <w:link w:val="BalloonTextChar"/>
    <w:uiPriority w:val="99"/>
    <w:semiHidden/>
    <w:rsid w:val="00B84E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E9C"/>
    <w:rPr>
      <w:rFonts w:ascii="Tahoma" w:hAnsi="Tahoma" w:cs="Tahoma"/>
      <w:sz w:val="16"/>
      <w:szCs w:val="16"/>
      <w:lang w:val="en-US" w:eastAsia="en-US"/>
    </w:rPr>
  </w:style>
  <w:style w:type="paragraph" w:styleId="Header">
    <w:name w:val="header"/>
    <w:aliases w:val="encabezado"/>
    <w:basedOn w:val="Normal"/>
    <w:link w:val="HeaderChar"/>
    <w:uiPriority w:val="99"/>
    <w:rsid w:val="00B84E9C"/>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B84E9C"/>
    <w:rPr>
      <w:rFonts w:ascii="Univers" w:hAnsi="Univers" w:cs="Univers"/>
      <w:sz w:val="24"/>
      <w:szCs w:val="24"/>
      <w:lang w:val="en-US" w:eastAsia="en-US"/>
    </w:rPr>
  </w:style>
  <w:style w:type="table" w:styleId="MediumShading1-Accent1">
    <w:name w:val="Medium Shading 1 Accent 1"/>
    <w:basedOn w:val="TableNormal"/>
    <w:uiPriority w:val="99"/>
    <w:rsid w:val="00B84E9C"/>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99"/>
    <w:semiHidden/>
    <w:rsid w:val="00B84E9C"/>
    <w:pPr>
      <w:tabs>
        <w:tab w:val="left" w:pos="1440"/>
        <w:tab w:val="right" w:leader="dot" w:pos="9350"/>
      </w:tabs>
      <w:spacing w:after="100"/>
      <w:ind w:left="1440" w:hanging="720"/>
    </w:pPr>
  </w:style>
  <w:style w:type="paragraph" w:styleId="TOC1">
    <w:name w:val="toc 1"/>
    <w:basedOn w:val="Normal"/>
    <w:next w:val="Normal"/>
    <w:autoRedefine/>
    <w:uiPriority w:val="99"/>
    <w:semiHidden/>
    <w:rsid w:val="00B84E9C"/>
    <w:pPr>
      <w:spacing w:after="100"/>
    </w:pPr>
    <w:rPr>
      <w:rFonts w:ascii="Calibri" w:hAnsi="Calibri" w:cs="Calibri"/>
      <w:sz w:val="22"/>
      <w:szCs w:val="22"/>
    </w:rPr>
  </w:style>
  <w:style w:type="paragraph" w:styleId="TOC3">
    <w:name w:val="toc 3"/>
    <w:basedOn w:val="Normal"/>
    <w:next w:val="Normal"/>
    <w:autoRedefine/>
    <w:uiPriority w:val="99"/>
    <w:semiHidden/>
    <w:rsid w:val="00B84E9C"/>
    <w:pPr>
      <w:tabs>
        <w:tab w:val="left" w:pos="880"/>
        <w:tab w:val="right" w:leader="dot" w:pos="9350"/>
      </w:tabs>
      <w:spacing w:after="100"/>
      <w:ind w:left="2160" w:hanging="720"/>
    </w:pPr>
  </w:style>
  <w:style w:type="paragraph" w:styleId="TOC4">
    <w:name w:val="toc 4"/>
    <w:basedOn w:val="Normal"/>
    <w:next w:val="Normal"/>
    <w:autoRedefine/>
    <w:uiPriority w:val="99"/>
    <w:semiHidden/>
    <w:rsid w:val="00B84E9C"/>
    <w:pPr>
      <w:spacing w:after="100"/>
      <w:ind w:left="720"/>
    </w:pPr>
  </w:style>
  <w:style w:type="character" w:styleId="PageNumber">
    <w:name w:val="page number"/>
    <w:basedOn w:val="DefaultParagraphFont"/>
    <w:uiPriority w:val="99"/>
    <w:rsid w:val="00B84E9C"/>
  </w:style>
  <w:style w:type="character" w:styleId="FootnoteReference">
    <w:name w:val="footnote reference"/>
    <w:aliases w:val="Appel note de bas de page,BVI fnr,Footnote number,Footnotes refss,Ref. de nota al pie.,Texto de nota al pie,f1,referencia nota al pie"/>
    <w:basedOn w:val="DefaultParagraphFont"/>
    <w:uiPriority w:val="99"/>
    <w:rsid w:val="00B84E9C"/>
    <w:rPr>
      <w:vertAlign w:val="superscript"/>
    </w:rPr>
  </w:style>
  <w:style w:type="paragraph" w:styleId="BodyTextIndent2">
    <w:name w:val="Body Text Indent 2"/>
    <w:basedOn w:val="Normal"/>
    <w:link w:val="BodyTextIndent2Char"/>
    <w:uiPriority w:val="99"/>
    <w:semiHidden/>
    <w:rsid w:val="00B84E9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84E9C"/>
    <w:rPr>
      <w:sz w:val="24"/>
      <w:szCs w:val="24"/>
      <w:lang w:val="en-US" w:eastAsia="en-US"/>
    </w:rPr>
  </w:style>
  <w:style w:type="paragraph" w:styleId="BodyText">
    <w:name w:val="Body Text"/>
    <w:basedOn w:val="Normal"/>
    <w:link w:val="BodyTextChar"/>
    <w:uiPriority w:val="99"/>
    <w:semiHidden/>
    <w:rsid w:val="00B84E9C"/>
    <w:pPr>
      <w:spacing w:after="120"/>
    </w:pPr>
  </w:style>
  <w:style w:type="character" w:customStyle="1" w:styleId="BodyTextChar">
    <w:name w:val="Body Text Char"/>
    <w:basedOn w:val="DefaultParagraphFont"/>
    <w:link w:val="BodyText"/>
    <w:uiPriority w:val="99"/>
    <w:semiHidden/>
    <w:locked/>
    <w:rsid w:val="00B84E9C"/>
    <w:rPr>
      <w:sz w:val="24"/>
      <w:szCs w:val="24"/>
      <w:lang w:val="en-US" w:eastAsia="en-US"/>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link w:val="FootnoteText"/>
    <w:uiPriority w:val="99"/>
    <w:locked/>
    <w:rsid w:val="00B84E9C"/>
    <w:rPr>
      <w:rFonts w:ascii="Calibri" w:hAnsi="Calibri" w:cs="Calibri"/>
      <w:color w:val="000000"/>
      <w:u w:color="000000"/>
      <w:lang w:val="en-US"/>
    </w:rPr>
  </w:style>
  <w:style w:type="paragraph" w:customStyle="1" w:styleId="Default">
    <w:name w:val="Default"/>
    <w:link w:val="DefaultChar"/>
    <w:uiPriority w:val="99"/>
    <w:rsid w:val="00B84E9C"/>
    <w:pPr>
      <w:autoSpaceDE w:val="0"/>
      <w:autoSpaceDN w:val="0"/>
      <w:adjustRightInd w:val="0"/>
    </w:pPr>
    <w:rPr>
      <w:rFonts w:eastAsia="Times New Roman"/>
      <w:color w:val="000000"/>
      <w:sz w:val="24"/>
      <w:szCs w:val="24"/>
    </w:rPr>
  </w:style>
  <w:style w:type="paragraph" w:styleId="EndnoteText">
    <w:name w:val="endnote text"/>
    <w:basedOn w:val="Normal"/>
    <w:link w:val="EndnoteTextChar"/>
    <w:uiPriority w:val="99"/>
    <w:semiHidden/>
    <w:rsid w:val="00B84E9C"/>
    <w:pP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B84E9C"/>
    <w:rPr>
      <w:rFonts w:eastAsia="Times New Roman"/>
      <w:sz w:val="24"/>
      <w:szCs w:val="24"/>
      <w:lang w:val="en-US" w:eastAsia="en-US"/>
    </w:rPr>
  </w:style>
  <w:style w:type="character" w:customStyle="1" w:styleId="DefaultChar">
    <w:name w:val="Default Char"/>
    <w:link w:val="Default"/>
    <w:uiPriority w:val="99"/>
    <w:locked/>
    <w:rsid w:val="00B84E9C"/>
    <w:rPr>
      <w:rFonts w:eastAsia="Times New Roman"/>
      <w:color w:val="000000"/>
      <w:sz w:val="22"/>
      <w:szCs w:val="22"/>
      <w:lang w:val="en-US" w:eastAsia="en-US"/>
    </w:rPr>
  </w:style>
  <w:style w:type="numbering" w:customStyle="1" w:styleId="List16">
    <w:name w:val="List 16"/>
    <w:rsid w:val="004A5F4E"/>
    <w:pPr>
      <w:numPr>
        <w:numId w:val="9"/>
      </w:numPr>
    </w:pPr>
  </w:style>
  <w:style w:type="numbering" w:customStyle="1" w:styleId="List36">
    <w:name w:val="List 36"/>
    <w:rsid w:val="004A5F4E"/>
    <w:pPr>
      <w:numPr>
        <w:numId w:val="13"/>
      </w:numPr>
    </w:pPr>
  </w:style>
  <w:style w:type="numbering" w:customStyle="1" w:styleId="List25">
    <w:name w:val="List 25"/>
    <w:rsid w:val="004A5F4E"/>
    <w:pPr>
      <w:numPr>
        <w:numId w:val="14"/>
      </w:numPr>
    </w:pPr>
  </w:style>
  <w:style w:type="numbering" w:customStyle="1" w:styleId="List1">
    <w:name w:val="List 1"/>
    <w:rsid w:val="004A5F4E"/>
    <w:pPr>
      <w:numPr>
        <w:numId w:val="1"/>
      </w:numPr>
    </w:pPr>
  </w:style>
  <w:style w:type="numbering" w:customStyle="1" w:styleId="List11">
    <w:name w:val="List 11"/>
    <w:rsid w:val="004A5F4E"/>
    <w:pPr>
      <w:numPr>
        <w:numId w:val="6"/>
      </w:numPr>
    </w:pPr>
  </w:style>
  <w:style w:type="numbering" w:customStyle="1" w:styleId="List15">
    <w:name w:val="List 15"/>
    <w:rsid w:val="004A5F4E"/>
    <w:pPr>
      <w:numPr>
        <w:numId w:val="15"/>
      </w:numPr>
    </w:pPr>
  </w:style>
  <w:style w:type="numbering" w:customStyle="1" w:styleId="List14">
    <w:name w:val="List 14"/>
    <w:rsid w:val="004A5F4E"/>
    <w:pPr>
      <w:numPr>
        <w:numId w:val="16"/>
      </w:numPr>
    </w:pPr>
  </w:style>
  <w:style w:type="numbering" w:customStyle="1" w:styleId="List23">
    <w:name w:val="List 23"/>
    <w:rsid w:val="004A5F4E"/>
    <w:pPr>
      <w:numPr>
        <w:numId w:val="17"/>
      </w:numPr>
    </w:pPr>
  </w:style>
  <w:style w:type="numbering" w:customStyle="1" w:styleId="List19">
    <w:name w:val="List 19"/>
    <w:rsid w:val="004A5F4E"/>
    <w:pPr>
      <w:numPr>
        <w:numId w:val="18"/>
      </w:numPr>
    </w:pPr>
  </w:style>
  <w:style w:type="numbering" w:customStyle="1" w:styleId="List45">
    <w:name w:val="List 45"/>
    <w:rsid w:val="004A5F4E"/>
    <w:pPr>
      <w:numPr>
        <w:numId w:val="19"/>
      </w:numPr>
    </w:pPr>
  </w:style>
  <w:style w:type="numbering" w:customStyle="1" w:styleId="List40">
    <w:name w:val="List 40"/>
    <w:rsid w:val="004A5F4E"/>
    <w:pPr>
      <w:numPr>
        <w:numId w:val="20"/>
      </w:numPr>
    </w:pPr>
  </w:style>
  <w:style w:type="numbering" w:customStyle="1" w:styleId="List9">
    <w:name w:val="List 9"/>
    <w:rsid w:val="004A5F4E"/>
    <w:pPr>
      <w:numPr>
        <w:numId w:val="21"/>
      </w:numPr>
    </w:pPr>
  </w:style>
  <w:style w:type="numbering" w:customStyle="1" w:styleId="List43">
    <w:name w:val="List 43"/>
    <w:rsid w:val="004A5F4E"/>
    <w:pPr>
      <w:numPr>
        <w:numId w:val="22"/>
      </w:numPr>
    </w:pPr>
  </w:style>
  <w:style w:type="numbering" w:customStyle="1" w:styleId="List46">
    <w:name w:val="List 46"/>
    <w:rsid w:val="004A5F4E"/>
    <w:pPr>
      <w:numPr>
        <w:numId w:val="23"/>
      </w:numPr>
    </w:pPr>
  </w:style>
  <w:style w:type="numbering" w:customStyle="1" w:styleId="List35">
    <w:name w:val="List 35"/>
    <w:rsid w:val="004A5F4E"/>
    <w:pPr>
      <w:numPr>
        <w:numId w:val="7"/>
      </w:numPr>
    </w:pPr>
  </w:style>
  <w:style w:type="numbering" w:customStyle="1" w:styleId="List17">
    <w:name w:val="List 17"/>
    <w:rsid w:val="004A5F4E"/>
    <w:pPr>
      <w:numPr>
        <w:numId w:val="24"/>
      </w:numPr>
    </w:pPr>
  </w:style>
  <w:style w:type="numbering" w:customStyle="1" w:styleId="List33">
    <w:name w:val="List 33"/>
    <w:rsid w:val="004A5F4E"/>
    <w:pPr>
      <w:numPr>
        <w:numId w:val="25"/>
      </w:numPr>
    </w:pPr>
  </w:style>
  <w:style w:type="numbering" w:customStyle="1" w:styleId="List7">
    <w:name w:val="List 7"/>
    <w:rsid w:val="004A5F4E"/>
    <w:pPr>
      <w:numPr>
        <w:numId w:val="3"/>
      </w:numPr>
    </w:pPr>
  </w:style>
  <w:style w:type="numbering" w:customStyle="1" w:styleId="List18">
    <w:name w:val="List 18"/>
    <w:rsid w:val="004A5F4E"/>
    <w:pPr>
      <w:numPr>
        <w:numId w:val="26"/>
      </w:numPr>
    </w:pPr>
  </w:style>
  <w:style w:type="numbering" w:customStyle="1" w:styleId="List22">
    <w:name w:val="List 22"/>
    <w:rsid w:val="004A5F4E"/>
    <w:pPr>
      <w:numPr>
        <w:numId w:val="27"/>
      </w:numPr>
    </w:pPr>
  </w:style>
  <w:style w:type="numbering" w:customStyle="1" w:styleId="List47">
    <w:name w:val="List 47"/>
    <w:rsid w:val="004A5F4E"/>
    <w:pPr>
      <w:numPr>
        <w:numId w:val="28"/>
      </w:numPr>
    </w:pPr>
  </w:style>
  <w:style w:type="numbering" w:customStyle="1" w:styleId="List28">
    <w:name w:val="List 28"/>
    <w:rsid w:val="004A5F4E"/>
    <w:pPr>
      <w:numPr>
        <w:numId w:val="29"/>
      </w:numPr>
    </w:pPr>
  </w:style>
  <w:style w:type="numbering" w:customStyle="1" w:styleId="List10">
    <w:name w:val="List 10"/>
    <w:rsid w:val="004A5F4E"/>
    <w:pPr>
      <w:numPr>
        <w:numId w:val="5"/>
      </w:numPr>
    </w:pPr>
  </w:style>
  <w:style w:type="numbering" w:customStyle="1" w:styleId="List0">
    <w:name w:val="List 0"/>
    <w:rsid w:val="004A5F4E"/>
    <w:pPr>
      <w:numPr>
        <w:numId w:val="30"/>
      </w:numPr>
    </w:pPr>
  </w:style>
  <w:style w:type="numbering" w:customStyle="1" w:styleId="List30">
    <w:name w:val="List 30"/>
    <w:rsid w:val="004A5F4E"/>
    <w:pPr>
      <w:numPr>
        <w:numId w:val="31"/>
      </w:numPr>
    </w:pPr>
  </w:style>
  <w:style w:type="numbering" w:customStyle="1" w:styleId="List29">
    <w:name w:val="List 29"/>
    <w:rsid w:val="004A5F4E"/>
    <w:pPr>
      <w:numPr>
        <w:numId w:val="32"/>
      </w:numPr>
    </w:pPr>
  </w:style>
  <w:style w:type="numbering" w:customStyle="1" w:styleId="List38">
    <w:name w:val="List 38"/>
    <w:rsid w:val="004A5F4E"/>
    <w:pPr>
      <w:numPr>
        <w:numId w:val="33"/>
      </w:numPr>
    </w:pPr>
  </w:style>
  <w:style w:type="numbering" w:customStyle="1" w:styleId="List12">
    <w:name w:val="List 12"/>
    <w:rsid w:val="004A5F4E"/>
    <w:pPr>
      <w:numPr>
        <w:numId w:val="34"/>
      </w:numPr>
    </w:pPr>
  </w:style>
  <w:style w:type="numbering" w:customStyle="1" w:styleId="List50">
    <w:name w:val="List 50"/>
    <w:rsid w:val="004A5F4E"/>
    <w:pPr>
      <w:numPr>
        <w:numId w:val="35"/>
      </w:numPr>
    </w:pPr>
  </w:style>
  <w:style w:type="numbering" w:customStyle="1" w:styleId="List34">
    <w:name w:val="List 34"/>
    <w:rsid w:val="004A5F4E"/>
    <w:pPr>
      <w:numPr>
        <w:numId w:val="10"/>
      </w:numPr>
    </w:pPr>
  </w:style>
  <w:style w:type="numbering" w:customStyle="1" w:styleId="List42">
    <w:name w:val="List 42"/>
    <w:rsid w:val="004A5F4E"/>
    <w:pPr>
      <w:numPr>
        <w:numId w:val="11"/>
      </w:numPr>
    </w:pPr>
  </w:style>
  <w:style w:type="numbering" w:customStyle="1" w:styleId="List49">
    <w:name w:val="List 49"/>
    <w:rsid w:val="004A5F4E"/>
    <w:pPr>
      <w:numPr>
        <w:numId w:val="36"/>
      </w:numPr>
    </w:pPr>
  </w:style>
  <w:style w:type="numbering" w:customStyle="1" w:styleId="List44">
    <w:name w:val="List 44"/>
    <w:rsid w:val="004A5F4E"/>
    <w:pPr>
      <w:numPr>
        <w:numId w:val="37"/>
      </w:numPr>
    </w:pPr>
  </w:style>
  <w:style w:type="numbering" w:customStyle="1" w:styleId="List21">
    <w:name w:val="List 21"/>
    <w:rsid w:val="004A5F4E"/>
    <w:pPr>
      <w:numPr>
        <w:numId w:val="48"/>
      </w:numPr>
    </w:pPr>
  </w:style>
  <w:style w:type="numbering" w:customStyle="1" w:styleId="List52">
    <w:name w:val="List 52"/>
    <w:rsid w:val="004A5F4E"/>
    <w:pPr>
      <w:numPr>
        <w:numId w:val="8"/>
      </w:numPr>
    </w:pPr>
  </w:style>
  <w:style w:type="numbering" w:customStyle="1" w:styleId="List24">
    <w:name w:val="List 24"/>
    <w:rsid w:val="004A5F4E"/>
    <w:pPr>
      <w:numPr>
        <w:numId w:val="12"/>
      </w:numPr>
    </w:pPr>
  </w:style>
  <w:style w:type="numbering" w:customStyle="1" w:styleId="List51">
    <w:name w:val="List 51"/>
    <w:rsid w:val="004A5F4E"/>
    <w:pPr>
      <w:numPr>
        <w:numId w:val="50"/>
      </w:numPr>
    </w:pPr>
  </w:style>
  <w:style w:type="numbering" w:customStyle="1" w:styleId="List27">
    <w:name w:val="List 27"/>
    <w:rsid w:val="004A5F4E"/>
    <w:pPr>
      <w:numPr>
        <w:numId w:val="38"/>
      </w:numPr>
    </w:pPr>
  </w:style>
  <w:style w:type="numbering" w:customStyle="1" w:styleId="List8">
    <w:name w:val="List 8"/>
    <w:rsid w:val="004A5F4E"/>
    <w:pPr>
      <w:numPr>
        <w:numId w:val="4"/>
      </w:numPr>
    </w:pPr>
  </w:style>
  <w:style w:type="numbering" w:customStyle="1" w:styleId="List13">
    <w:name w:val="List 13"/>
    <w:rsid w:val="004A5F4E"/>
    <w:pPr>
      <w:numPr>
        <w:numId w:val="39"/>
      </w:numPr>
    </w:pPr>
  </w:style>
  <w:style w:type="numbering" w:customStyle="1" w:styleId="List20">
    <w:name w:val="List 20"/>
    <w:rsid w:val="004A5F4E"/>
    <w:pPr>
      <w:numPr>
        <w:numId w:val="40"/>
      </w:numPr>
    </w:pPr>
  </w:style>
  <w:style w:type="numbering" w:customStyle="1" w:styleId="List41">
    <w:name w:val="List 41"/>
    <w:rsid w:val="004A5F4E"/>
    <w:pPr>
      <w:numPr>
        <w:numId w:val="41"/>
      </w:numPr>
    </w:pPr>
  </w:style>
  <w:style w:type="numbering" w:customStyle="1" w:styleId="List31">
    <w:name w:val="List 31"/>
    <w:rsid w:val="004A5F4E"/>
    <w:pPr>
      <w:numPr>
        <w:numId w:val="42"/>
      </w:numPr>
    </w:pPr>
  </w:style>
  <w:style w:type="numbering" w:customStyle="1" w:styleId="List6">
    <w:name w:val="List 6"/>
    <w:rsid w:val="004A5F4E"/>
    <w:pPr>
      <w:numPr>
        <w:numId w:val="2"/>
      </w:numPr>
    </w:pPr>
  </w:style>
  <w:style w:type="numbering" w:customStyle="1" w:styleId="List39">
    <w:name w:val="List 39"/>
    <w:rsid w:val="004A5F4E"/>
    <w:pPr>
      <w:numPr>
        <w:numId w:val="43"/>
      </w:numPr>
    </w:pPr>
  </w:style>
  <w:style w:type="numbering" w:customStyle="1" w:styleId="List37">
    <w:name w:val="List 37"/>
    <w:rsid w:val="004A5F4E"/>
    <w:pPr>
      <w:numPr>
        <w:numId w:val="44"/>
      </w:numPr>
    </w:pPr>
  </w:style>
  <w:style w:type="numbering" w:customStyle="1" w:styleId="List32">
    <w:name w:val="List 32"/>
    <w:rsid w:val="004A5F4E"/>
    <w:pPr>
      <w:numPr>
        <w:numId w:val="45"/>
      </w:numPr>
    </w:pPr>
  </w:style>
  <w:style w:type="numbering" w:customStyle="1" w:styleId="List26">
    <w:name w:val="List 26"/>
    <w:rsid w:val="004A5F4E"/>
    <w:pPr>
      <w:numPr>
        <w:numId w:val="46"/>
      </w:numPr>
    </w:pPr>
  </w:style>
  <w:style w:type="numbering" w:customStyle="1" w:styleId="List48">
    <w:name w:val="List 48"/>
    <w:rsid w:val="004A5F4E"/>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73F6-8EF4-45B1-A389-956EC6FD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3098</Words>
  <Characters>17665</Characters>
  <Application>Microsoft Office Word</Application>
  <DocSecurity>0</DocSecurity>
  <Lines>147</Lines>
  <Paragraphs>41</Paragraphs>
  <ScaleCrop>false</ScaleCrop>
  <LinksUpToDate>false</LinksUpToDate>
  <CharactersWithSpaces>20722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37/19</dc:title>
  <dc:creator/>
  <cp:lastModifiedBy/>
  <cp:revision>1</cp:revision>
  <dcterms:created xsi:type="dcterms:W3CDTF">2019-05-16T15:32:00Z</dcterms:created>
  <dcterms:modified xsi:type="dcterms:W3CDTF">2019-05-16T15:32:00Z</dcterms:modified>
</cp:coreProperties>
</file>