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42DA6" w14:textId="77777777" w:rsidR="00040C3A" w:rsidRPr="00A75CC3" w:rsidRDefault="00D306D1" w:rsidP="00627C9F">
      <w:pPr>
        <w:jc w:val="both"/>
        <w:rPr>
          <w:rFonts w:asciiTheme="majorHAnsi" w:hAnsiTheme="majorHAnsi" w:cs="Univers"/>
          <w:b/>
          <w:bCs/>
          <w:sz w:val="22"/>
          <w:szCs w:val="22"/>
          <w:lang w:val="pt-BR"/>
        </w:rPr>
      </w:pPr>
      <w:bookmarkStart w:id="0" w:name="_GoBack"/>
      <w:bookmarkEnd w:id="0"/>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1E4B6FF" wp14:editId="4C60CFC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0CD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HXBAYHhAAAADAEAAA8AAABkcnMvZG93bnJldi54bWxM&#10;j8FOwzAQRO9I/IO1SFxQ6xCraQlxqqoCcaMlVIijY5s4Il5HsZuGv8c5wW12ZzT7tthOtiOjHnzr&#10;kMP9MgGiUTrVYsPh9P682ADxQaASnUPN4Ud72JbXV4XIlbvgmx6r0JBYgj4XHEwIfU6pl0Zb4Zeu&#10;1xi9LzdYEeI4NFQN4hLLbUfTJMmoFS3GC0b0em+0/K7OloO868cX3B2lSY+HV/b5VLH6Y8/57c20&#10;ewQS9BT+wjDjR3QoI1Ptzqg86TgsstUqRmfxkAKZE+t13NRRsIwxoGVB/z9R/gIAAP//AwBQSwEC&#10;LQAUAAYACAAAACEAtoM4kv4AAADhAQAAEwAAAAAAAAAAAAAAAAAAAAAAW0NvbnRlbnRfVHlwZXNd&#10;LnhtbFBLAQItABQABgAIAAAAIQA4/SH/1gAAAJQBAAALAAAAAAAAAAAAAAAAAC8BAABfcmVscy8u&#10;cmVsc1BLAQItABQABgAIAAAAIQA9XS2OlwIAAIYFAAAOAAAAAAAAAAAAAAAAAC4CAABkcnMvZTJv&#10;RG9jLnhtbFBLAQItABQABgAIAAAAIQB1wQGB4QAAAAwBAAAPAAAAAAAAAAAAAAAAAPEEAABkcnMv&#10;ZG93bnJldi54bWxQSwUGAAAAAAQABADzAAAA/wUAAAAA&#10;" fillcolor="#67af3c"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5162C4D" wp14:editId="0EAE467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26B4" w14:textId="7ED6DA5E" w:rsidR="001C3F17" w:rsidRDefault="00A24EBA" w:rsidP="00AE5488">
                            <w:r>
                              <w:rPr>
                                <w:noProof/>
                              </w:rPr>
                              <w:drawing>
                                <wp:inline distT="0" distB="0" distL="0" distR="0" wp14:anchorId="1384474E" wp14:editId="54B03840">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C3F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2C4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6CC26B4" w14:textId="7ED6DA5E" w:rsidR="001C3F17" w:rsidRDefault="00A24EBA" w:rsidP="00AE5488">
                      <w:r>
                        <w:rPr>
                          <w:noProof/>
                        </w:rPr>
                        <w:drawing>
                          <wp:inline distT="0" distB="0" distL="0" distR="0" wp14:anchorId="1384474E" wp14:editId="54B03840">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C3F17">
                        <w:tab/>
                        <w:t xml:space="preserve">                              </w:t>
                      </w:r>
                    </w:p>
                  </w:txbxContent>
                </v:textbox>
              </v:shape>
            </w:pict>
          </mc:Fallback>
        </mc:AlternateContent>
      </w:r>
    </w:p>
    <w:p w14:paraId="63E7F864"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5311248"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6973AF5" w14:textId="77777777" w:rsidR="005128E4" w:rsidRPr="00A75CC3" w:rsidRDefault="005128E4" w:rsidP="00040C3A">
      <w:pPr>
        <w:tabs>
          <w:tab w:val="center" w:pos="5400"/>
        </w:tabs>
        <w:suppressAutoHyphens/>
        <w:rPr>
          <w:rFonts w:asciiTheme="majorHAnsi" w:hAnsiTheme="majorHAnsi"/>
          <w:sz w:val="22"/>
          <w:szCs w:val="22"/>
          <w:lang w:val="pt-BR"/>
        </w:rPr>
      </w:pPr>
    </w:p>
    <w:p w14:paraId="02BDAAF0" w14:textId="77777777" w:rsidR="005128E4" w:rsidRPr="00A75CC3" w:rsidRDefault="005128E4" w:rsidP="00040C3A">
      <w:pPr>
        <w:tabs>
          <w:tab w:val="center" w:pos="5400"/>
        </w:tabs>
        <w:suppressAutoHyphens/>
        <w:rPr>
          <w:rFonts w:asciiTheme="majorHAnsi" w:hAnsiTheme="majorHAnsi"/>
          <w:sz w:val="22"/>
          <w:szCs w:val="22"/>
          <w:lang w:val="pt-BR"/>
        </w:rPr>
      </w:pPr>
    </w:p>
    <w:p w14:paraId="41537C2C" w14:textId="77777777" w:rsidR="005128E4" w:rsidRPr="00A75CC3" w:rsidRDefault="005128E4" w:rsidP="00040C3A">
      <w:pPr>
        <w:tabs>
          <w:tab w:val="center" w:pos="5400"/>
        </w:tabs>
        <w:suppressAutoHyphens/>
        <w:rPr>
          <w:rFonts w:asciiTheme="majorHAnsi" w:hAnsiTheme="majorHAnsi"/>
          <w:sz w:val="22"/>
          <w:szCs w:val="22"/>
          <w:lang w:val="pt-BR"/>
        </w:rPr>
      </w:pPr>
    </w:p>
    <w:p w14:paraId="3ACF8CAA"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5416B8"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7FF87D30"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7AE78D4D"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2024AE59"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3A414B0C"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5E8E67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2DE8501"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ED2EBF2" wp14:editId="0CB2882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776FA" w14:textId="4489432A" w:rsidR="001C3F17" w:rsidRPr="00316554" w:rsidRDefault="001C3F17" w:rsidP="00997BC5">
                            <w:pPr>
                              <w:spacing w:line="276" w:lineRule="auto"/>
                              <w:rPr>
                                <w:rFonts w:asciiTheme="majorHAnsi" w:hAnsiTheme="majorHAnsi" w:cs="Arial"/>
                                <w:b/>
                                <w:bCs/>
                                <w:color w:val="0D0D0D" w:themeColor="text1" w:themeTint="F2"/>
                                <w:sz w:val="36"/>
                                <w:szCs w:val="22"/>
                              </w:rPr>
                            </w:pPr>
                            <w:r w:rsidRPr="00316554">
                              <w:rPr>
                                <w:rFonts w:asciiTheme="majorHAnsi" w:hAnsiTheme="majorHAnsi" w:cs="Arial"/>
                                <w:b/>
                                <w:bCs/>
                                <w:color w:val="0D0D0D" w:themeColor="text1" w:themeTint="F2"/>
                                <w:sz w:val="36"/>
                                <w:szCs w:val="22"/>
                              </w:rPr>
                              <w:t xml:space="preserve">REPORT </w:t>
                            </w:r>
                            <w:r w:rsidRPr="00316554">
                              <w:rPr>
                                <w:rFonts w:asciiTheme="majorHAnsi" w:hAnsiTheme="majorHAnsi" w:cs="Arial"/>
                                <w:b/>
                                <w:bCs/>
                                <w:color w:val="0D0D0D" w:themeColor="text1" w:themeTint="F2"/>
                                <w:sz w:val="36"/>
                                <w:szCs w:val="40"/>
                              </w:rPr>
                              <w:t>No.</w:t>
                            </w:r>
                            <w:r w:rsidRPr="00316554">
                              <w:rPr>
                                <w:rFonts w:asciiTheme="majorHAnsi" w:hAnsiTheme="majorHAnsi" w:cs="Arial"/>
                                <w:b/>
                                <w:bCs/>
                                <w:color w:val="0D0D0D" w:themeColor="text1" w:themeTint="F2"/>
                                <w:sz w:val="36"/>
                                <w:szCs w:val="22"/>
                              </w:rPr>
                              <w:t xml:space="preserve"> </w:t>
                            </w:r>
                            <w:r w:rsidR="00316554" w:rsidRPr="00316554">
                              <w:rPr>
                                <w:rFonts w:asciiTheme="majorHAnsi" w:hAnsiTheme="majorHAnsi" w:cs="Arial"/>
                                <w:b/>
                                <w:bCs/>
                                <w:color w:val="0D0D0D" w:themeColor="text1" w:themeTint="F2"/>
                                <w:sz w:val="36"/>
                                <w:szCs w:val="22"/>
                              </w:rPr>
                              <w:t>32</w:t>
                            </w:r>
                            <w:r w:rsidRPr="00316554">
                              <w:rPr>
                                <w:rFonts w:asciiTheme="majorHAnsi" w:hAnsiTheme="majorHAnsi" w:cs="Arial"/>
                                <w:b/>
                                <w:bCs/>
                                <w:color w:val="0D0D0D" w:themeColor="text1" w:themeTint="F2"/>
                                <w:sz w:val="36"/>
                                <w:szCs w:val="22"/>
                              </w:rPr>
                              <w:t>/19</w:t>
                            </w:r>
                          </w:p>
                          <w:p w14:paraId="36EC187B" w14:textId="77777777" w:rsidR="001C3F17" w:rsidRPr="00316554" w:rsidRDefault="001C3F17" w:rsidP="00997BC5">
                            <w:pPr>
                              <w:spacing w:line="276" w:lineRule="auto"/>
                              <w:rPr>
                                <w:rFonts w:asciiTheme="majorHAnsi" w:hAnsiTheme="majorHAnsi" w:cs="Arial"/>
                                <w:b/>
                                <w:color w:val="0D0D0D" w:themeColor="text1" w:themeTint="F2"/>
                                <w:sz w:val="36"/>
                                <w:szCs w:val="22"/>
                              </w:rPr>
                            </w:pPr>
                            <w:r w:rsidRPr="00316554">
                              <w:rPr>
                                <w:rFonts w:asciiTheme="majorHAnsi" w:hAnsiTheme="majorHAnsi" w:cs="Arial"/>
                                <w:b/>
                                <w:color w:val="0D0D0D" w:themeColor="text1" w:themeTint="F2"/>
                                <w:sz w:val="36"/>
                                <w:szCs w:val="22"/>
                              </w:rPr>
                              <w:t>PETITION 1228-08</w:t>
                            </w:r>
                          </w:p>
                          <w:p w14:paraId="1A740159" w14:textId="129F0DC5" w:rsidR="001C3F17" w:rsidRPr="00316554" w:rsidRDefault="001C3F17" w:rsidP="00904A70">
                            <w:pPr>
                              <w:spacing w:line="276" w:lineRule="auto"/>
                              <w:rPr>
                                <w:rFonts w:asciiTheme="majorHAnsi" w:hAnsiTheme="majorHAnsi" w:cs="Arial"/>
                                <w:color w:val="0D0D0D" w:themeColor="text1" w:themeTint="F2"/>
                                <w:szCs w:val="22"/>
                              </w:rPr>
                            </w:pPr>
                            <w:r w:rsidRPr="00316554">
                              <w:rPr>
                                <w:rFonts w:asciiTheme="majorHAnsi" w:hAnsiTheme="majorHAnsi" w:cs="Arial"/>
                                <w:color w:val="0D0D0D" w:themeColor="text1" w:themeTint="F2"/>
                                <w:szCs w:val="22"/>
                              </w:rPr>
                              <w:t xml:space="preserve">REPORT ON </w:t>
                            </w:r>
                            <w:r w:rsidR="00A24EBA" w:rsidRPr="00316554">
                              <w:rPr>
                                <w:rFonts w:asciiTheme="majorHAnsi" w:hAnsiTheme="majorHAnsi" w:cs="Arial"/>
                                <w:color w:val="0D0D0D" w:themeColor="text1" w:themeTint="F2"/>
                                <w:szCs w:val="22"/>
                              </w:rPr>
                              <w:t>ADMISSIBILITY</w:t>
                            </w:r>
                          </w:p>
                          <w:p w14:paraId="6F6484ED" w14:textId="77777777" w:rsidR="001C3F17" w:rsidRPr="00316554" w:rsidRDefault="001C3F17" w:rsidP="00997BC5">
                            <w:pPr>
                              <w:spacing w:line="276" w:lineRule="auto"/>
                              <w:rPr>
                                <w:rFonts w:asciiTheme="majorHAnsi" w:hAnsiTheme="majorHAnsi" w:cs="Arial"/>
                                <w:color w:val="0D0D0D" w:themeColor="text1" w:themeTint="F2"/>
                                <w:szCs w:val="22"/>
                              </w:rPr>
                            </w:pPr>
                            <w:bookmarkStart w:id="1" w:name="_ftnref1"/>
                          </w:p>
                          <w:p w14:paraId="5F7551A9" w14:textId="77777777" w:rsidR="008D6A8A" w:rsidRDefault="001C3F1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ET AL.</w:t>
                            </w:r>
                            <w:bookmarkEnd w:id="1"/>
                          </w:p>
                          <w:p w14:paraId="55936072" w14:textId="32CAB672" w:rsidR="001C3F17" w:rsidRPr="007665A8" w:rsidRDefault="001C3F1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11E7E73C" w14:textId="77777777" w:rsidR="001C3F17" w:rsidRPr="007665A8" w:rsidRDefault="001C3F17"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2EBF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B8776FA" w14:textId="4489432A" w:rsidR="001C3F17" w:rsidRPr="00316554" w:rsidRDefault="001C3F17" w:rsidP="00997BC5">
                      <w:pPr>
                        <w:spacing w:line="276" w:lineRule="auto"/>
                        <w:rPr>
                          <w:rFonts w:asciiTheme="majorHAnsi" w:hAnsiTheme="majorHAnsi" w:cs="Arial"/>
                          <w:b/>
                          <w:bCs/>
                          <w:color w:val="0D0D0D" w:themeColor="text1" w:themeTint="F2"/>
                          <w:sz w:val="36"/>
                          <w:szCs w:val="22"/>
                        </w:rPr>
                      </w:pPr>
                      <w:r w:rsidRPr="00316554">
                        <w:rPr>
                          <w:rFonts w:asciiTheme="majorHAnsi" w:hAnsiTheme="majorHAnsi" w:cs="Arial"/>
                          <w:b/>
                          <w:bCs/>
                          <w:color w:val="0D0D0D" w:themeColor="text1" w:themeTint="F2"/>
                          <w:sz w:val="36"/>
                          <w:szCs w:val="22"/>
                        </w:rPr>
                        <w:t xml:space="preserve">REPORT </w:t>
                      </w:r>
                      <w:r w:rsidRPr="00316554">
                        <w:rPr>
                          <w:rFonts w:asciiTheme="majorHAnsi" w:hAnsiTheme="majorHAnsi" w:cs="Arial"/>
                          <w:b/>
                          <w:bCs/>
                          <w:color w:val="0D0D0D" w:themeColor="text1" w:themeTint="F2"/>
                          <w:sz w:val="36"/>
                          <w:szCs w:val="40"/>
                        </w:rPr>
                        <w:t>No.</w:t>
                      </w:r>
                      <w:r w:rsidRPr="00316554">
                        <w:rPr>
                          <w:rFonts w:asciiTheme="majorHAnsi" w:hAnsiTheme="majorHAnsi" w:cs="Arial"/>
                          <w:b/>
                          <w:bCs/>
                          <w:color w:val="0D0D0D" w:themeColor="text1" w:themeTint="F2"/>
                          <w:sz w:val="36"/>
                          <w:szCs w:val="22"/>
                        </w:rPr>
                        <w:t xml:space="preserve"> </w:t>
                      </w:r>
                      <w:r w:rsidR="00316554" w:rsidRPr="00316554">
                        <w:rPr>
                          <w:rFonts w:asciiTheme="majorHAnsi" w:hAnsiTheme="majorHAnsi" w:cs="Arial"/>
                          <w:b/>
                          <w:bCs/>
                          <w:color w:val="0D0D0D" w:themeColor="text1" w:themeTint="F2"/>
                          <w:sz w:val="36"/>
                          <w:szCs w:val="22"/>
                        </w:rPr>
                        <w:t>32</w:t>
                      </w:r>
                      <w:r w:rsidRPr="00316554">
                        <w:rPr>
                          <w:rFonts w:asciiTheme="majorHAnsi" w:hAnsiTheme="majorHAnsi" w:cs="Arial"/>
                          <w:b/>
                          <w:bCs/>
                          <w:color w:val="0D0D0D" w:themeColor="text1" w:themeTint="F2"/>
                          <w:sz w:val="36"/>
                          <w:szCs w:val="22"/>
                        </w:rPr>
                        <w:t>/19</w:t>
                      </w:r>
                    </w:p>
                    <w:p w14:paraId="36EC187B" w14:textId="77777777" w:rsidR="001C3F17" w:rsidRPr="00316554" w:rsidRDefault="001C3F17" w:rsidP="00997BC5">
                      <w:pPr>
                        <w:spacing w:line="276" w:lineRule="auto"/>
                        <w:rPr>
                          <w:rFonts w:asciiTheme="majorHAnsi" w:hAnsiTheme="majorHAnsi" w:cs="Arial"/>
                          <w:b/>
                          <w:color w:val="0D0D0D" w:themeColor="text1" w:themeTint="F2"/>
                          <w:sz w:val="36"/>
                          <w:szCs w:val="22"/>
                        </w:rPr>
                      </w:pPr>
                      <w:r w:rsidRPr="00316554">
                        <w:rPr>
                          <w:rFonts w:asciiTheme="majorHAnsi" w:hAnsiTheme="majorHAnsi" w:cs="Arial"/>
                          <w:b/>
                          <w:color w:val="0D0D0D" w:themeColor="text1" w:themeTint="F2"/>
                          <w:sz w:val="36"/>
                          <w:szCs w:val="22"/>
                        </w:rPr>
                        <w:t>PETITION 1228-08</w:t>
                      </w:r>
                    </w:p>
                    <w:p w14:paraId="1A740159" w14:textId="129F0DC5" w:rsidR="001C3F17" w:rsidRPr="00316554" w:rsidRDefault="001C3F17" w:rsidP="00904A70">
                      <w:pPr>
                        <w:spacing w:line="276" w:lineRule="auto"/>
                        <w:rPr>
                          <w:rFonts w:asciiTheme="majorHAnsi" w:hAnsiTheme="majorHAnsi" w:cs="Arial"/>
                          <w:color w:val="0D0D0D" w:themeColor="text1" w:themeTint="F2"/>
                          <w:szCs w:val="22"/>
                        </w:rPr>
                      </w:pPr>
                      <w:r w:rsidRPr="00316554">
                        <w:rPr>
                          <w:rFonts w:asciiTheme="majorHAnsi" w:hAnsiTheme="majorHAnsi" w:cs="Arial"/>
                          <w:color w:val="0D0D0D" w:themeColor="text1" w:themeTint="F2"/>
                          <w:szCs w:val="22"/>
                        </w:rPr>
                        <w:t xml:space="preserve">REPORT ON </w:t>
                      </w:r>
                      <w:r w:rsidR="00A24EBA" w:rsidRPr="00316554">
                        <w:rPr>
                          <w:rFonts w:asciiTheme="majorHAnsi" w:hAnsiTheme="majorHAnsi" w:cs="Arial"/>
                          <w:color w:val="0D0D0D" w:themeColor="text1" w:themeTint="F2"/>
                          <w:szCs w:val="22"/>
                        </w:rPr>
                        <w:t>ADMISSIBILITY</w:t>
                      </w:r>
                    </w:p>
                    <w:p w14:paraId="6F6484ED" w14:textId="77777777" w:rsidR="001C3F17" w:rsidRPr="00316554" w:rsidRDefault="001C3F17" w:rsidP="00997BC5">
                      <w:pPr>
                        <w:spacing w:line="276" w:lineRule="auto"/>
                        <w:rPr>
                          <w:rFonts w:asciiTheme="majorHAnsi" w:hAnsiTheme="majorHAnsi" w:cs="Arial"/>
                          <w:color w:val="0D0D0D" w:themeColor="text1" w:themeTint="F2"/>
                          <w:szCs w:val="22"/>
                        </w:rPr>
                      </w:pPr>
                      <w:bookmarkStart w:id="2" w:name="_ftnref1"/>
                    </w:p>
                    <w:p w14:paraId="5F7551A9" w14:textId="77777777" w:rsidR="008D6A8A" w:rsidRDefault="001C3F1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ET AL.</w:t>
                      </w:r>
                      <w:bookmarkEnd w:id="2"/>
                    </w:p>
                    <w:p w14:paraId="55936072" w14:textId="32CAB672" w:rsidR="001C3F17" w:rsidRPr="007665A8" w:rsidRDefault="001C3F1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11E7E73C" w14:textId="77777777" w:rsidR="001C3F17" w:rsidRPr="007665A8" w:rsidRDefault="001C3F17"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81DB621" wp14:editId="66E0DCC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CA0EC" w14:textId="535A5F63" w:rsidR="001C3F17" w:rsidRPr="006D56B9" w:rsidRDefault="001C3F17" w:rsidP="007A5817">
                            <w:pPr>
                              <w:spacing w:line="276" w:lineRule="auto"/>
                              <w:jc w:val="right"/>
                              <w:rPr>
                                <w:rFonts w:asciiTheme="minorHAnsi" w:hAnsiTheme="minorHAnsi"/>
                                <w:color w:val="FFFFFF" w:themeColor="background1"/>
                                <w:sz w:val="22"/>
                                <w:lang w:val="pt-BR"/>
                              </w:rPr>
                            </w:pPr>
                            <w:r w:rsidRPr="006D56B9">
                              <w:rPr>
                                <w:rFonts w:asciiTheme="minorHAnsi" w:hAnsiTheme="minorHAnsi"/>
                                <w:color w:val="FFFFFF" w:themeColor="background1"/>
                                <w:sz w:val="22"/>
                                <w:lang w:val="pt-BR"/>
                              </w:rPr>
                              <w:t>OAS/Ser.L/V/II.</w:t>
                            </w:r>
                          </w:p>
                          <w:p w14:paraId="479650C1" w14:textId="702F79C6" w:rsidR="001C3F17" w:rsidRPr="006D56B9" w:rsidRDefault="003165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37</w:t>
                            </w:r>
                          </w:p>
                          <w:p w14:paraId="6CA4DFD7" w14:textId="342305DE" w:rsidR="001C3F17" w:rsidRPr="006D56B9" w:rsidRDefault="003165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March</w:t>
                            </w:r>
                            <w:r w:rsidR="001C3F17" w:rsidRPr="006D56B9">
                              <w:rPr>
                                <w:rFonts w:asciiTheme="minorHAnsi" w:hAnsiTheme="minorHAnsi"/>
                                <w:color w:val="FFFFFF" w:themeColor="background1"/>
                                <w:sz w:val="22"/>
                              </w:rPr>
                              <w:t xml:space="preserve"> 2019</w:t>
                            </w:r>
                          </w:p>
                          <w:p w14:paraId="0C2C323F" w14:textId="77777777" w:rsidR="001C3F17" w:rsidRPr="006D56B9" w:rsidRDefault="001C3F17" w:rsidP="007A5817">
                            <w:pPr>
                              <w:spacing w:line="276" w:lineRule="auto"/>
                              <w:jc w:val="right"/>
                              <w:rPr>
                                <w:rFonts w:asciiTheme="minorHAnsi" w:hAnsiTheme="minorHAnsi"/>
                                <w:color w:val="FFFFFF" w:themeColor="background1"/>
                                <w:sz w:val="22"/>
                              </w:rPr>
                            </w:pPr>
                            <w:r w:rsidRPr="006D56B9">
                              <w:rPr>
                                <w:rFonts w:asciiTheme="minorHAnsi" w:hAnsiTheme="minorHAnsi"/>
                                <w:color w:val="FFFFFF" w:themeColor="background1"/>
                                <w:sz w:val="22"/>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DB62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75CA0EC" w14:textId="535A5F63" w:rsidR="001C3F17" w:rsidRPr="006D56B9" w:rsidRDefault="001C3F17" w:rsidP="007A5817">
                      <w:pPr>
                        <w:spacing w:line="276" w:lineRule="auto"/>
                        <w:jc w:val="right"/>
                        <w:rPr>
                          <w:rFonts w:asciiTheme="minorHAnsi" w:hAnsiTheme="minorHAnsi"/>
                          <w:color w:val="FFFFFF" w:themeColor="background1"/>
                          <w:sz w:val="22"/>
                          <w:lang w:val="pt-BR"/>
                        </w:rPr>
                      </w:pPr>
                      <w:r w:rsidRPr="006D56B9">
                        <w:rPr>
                          <w:rFonts w:asciiTheme="minorHAnsi" w:hAnsiTheme="minorHAnsi"/>
                          <w:color w:val="FFFFFF" w:themeColor="background1"/>
                          <w:sz w:val="22"/>
                          <w:lang w:val="pt-BR"/>
                        </w:rPr>
                        <w:t>OAS/Ser.L/V/II.</w:t>
                      </w:r>
                    </w:p>
                    <w:p w14:paraId="479650C1" w14:textId="702F79C6" w:rsidR="001C3F17" w:rsidRPr="006D56B9" w:rsidRDefault="003165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37</w:t>
                      </w:r>
                    </w:p>
                    <w:p w14:paraId="6CA4DFD7" w14:textId="342305DE" w:rsidR="001C3F17" w:rsidRPr="006D56B9" w:rsidRDefault="003165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March</w:t>
                      </w:r>
                      <w:r w:rsidR="001C3F17" w:rsidRPr="006D56B9">
                        <w:rPr>
                          <w:rFonts w:asciiTheme="minorHAnsi" w:hAnsiTheme="minorHAnsi"/>
                          <w:color w:val="FFFFFF" w:themeColor="background1"/>
                          <w:sz w:val="22"/>
                        </w:rPr>
                        <w:t xml:space="preserve"> 2019</w:t>
                      </w:r>
                    </w:p>
                    <w:p w14:paraId="0C2C323F" w14:textId="77777777" w:rsidR="001C3F17" w:rsidRPr="006D56B9" w:rsidRDefault="001C3F17" w:rsidP="007A5817">
                      <w:pPr>
                        <w:spacing w:line="276" w:lineRule="auto"/>
                        <w:jc w:val="right"/>
                        <w:rPr>
                          <w:rFonts w:asciiTheme="minorHAnsi" w:hAnsiTheme="minorHAnsi"/>
                          <w:color w:val="FFFFFF" w:themeColor="background1"/>
                          <w:sz w:val="22"/>
                        </w:rPr>
                      </w:pPr>
                      <w:r w:rsidRPr="006D56B9">
                        <w:rPr>
                          <w:rFonts w:asciiTheme="minorHAnsi" w:hAnsiTheme="minorHAnsi"/>
                          <w:color w:val="FFFFFF" w:themeColor="background1"/>
                          <w:sz w:val="22"/>
                        </w:rPr>
                        <w:t>Original: Portuguese</w:t>
                      </w:r>
                    </w:p>
                  </w:txbxContent>
                </v:textbox>
              </v:shape>
            </w:pict>
          </mc:Fallback>
        </mc:AlternateContent>
      </w:r>
    </w:p>
    <w:p w14:paraId="2DA13122"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BE6C0EB"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E83C07F"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1F7CD322"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BC70BB"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23D8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D09A463"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5F45411"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949CB72"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F0EA1E5"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3F657AA0"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331E1AF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4FCB96A"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E61E8E2"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2FE39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13C031C"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650136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90616AA"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9A037F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2290187C"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D081C6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6363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9CBC36A"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91479A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18B9B5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63D412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9CD2ECA"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2F88E54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CFE1B4"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B831230" wp14:editId="4E5DAF5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AF033" w14:textId="33353E4C" w:rsidR="001C3F17" w:rsidRPr="00316554" w:rsidRDefault="001C3F17" w:rsidP="0059191A">
                            <w:pPr>
                              <w:tabs>
                                <w:tab w:val="center" w:pos="5400"/>
                              </w:tabs>
                              <w:suppressAutoHyphens/>
                              <w:spacing w:before="60"/>
                              <w:rPr>
                                <w:rFonts w:asciiTheme="minorHAnsi" w:hAnsiTheme="minorHAnsi" w:cs="Univers"/>
                                <w:sz w:val="20"/>
                                <w:szCs w:val="20"/>
                              </w:rPr>
                            </w:pPr>
                            <w:r w:rsidRPr="006842B2">
                              <w:rPr>
                                <w:rFonts w:asciiTheme="majorHAnsi" w:hAnsiTheme="majorHAnsi"/>
                                <w:sz w:val="18"/>
                                <w:szCs w:val="22"/>
                              </w:rPr>
                              <w:t xml:space="preserve">Approved electronically by the Commission on </w:t>
                            </w:r>
                            <w:r w:rsidR="00316554">
                              <w:rPr>
                                <w:rFonts w:asciiTheme="majorHAnsi" w:hAnsiTheme="majorHAnsi"/>
                                <w:sz w:val="18"/>
                                <w:szCs w:val="22"/>
                              </w:rPr>
                              <w:t>March 31,</w:t>
                            </w:r>
                            <w:r w:rsidRPr="006842B2">
                              <w:rPr>
                                <w:rFonts w:asciiTheme="majorHAnsi" w:hAnsiTheme="majorHAnsi"/>
                                <w:sz w:val="18"/>
                                <w:szCs w:val="22"/>
                              </w:rPr>
                              <w:t xml:space="preserve"> 2019</w:t>
                            </w:r>
                            <w:r w:rsidR="00B7440A">
                              <w:rPr>
                                <w:rFonts w:asciiTheme="majorHAnsi" w:hAnsiTheme="majorHAnsi"/>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123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17AF033" w14:textId="33353E4C" w:rsidR="001C3F17" w:rsidRPr="00316554" w:rsidRDefault="001C3F17" w:rsidP="0059191A">
                      <w:pPr>
                        <w:tabs>
                          <w:tab w:val="center" w:pos="5400"/>
                        </w:tabs>
                        <w:suppressAutoHyphens/>
                        <w:spacing w:before="60"/>
                        <w:rPr>
                          <w:rFonts w:asciiTheme="minorHAnsi" w:hAnsiTheme="minorHAnsi" w:cs="Univers"/>
                          <w:sz w:val="20"/>
                          <w:szCs w:val="20"/>
                        </w:rPr>
                      </w:pPr>
                      <w:r w:rsidRPr="006842B2">
                        <w:rPr>
                          <w:rFonts w:asciiTheme="majorHAnsi" w:hAnsiTheme="majorHAnsi"/>
                          <w:sz w:val="18"/>
                          <w:szCs w:val="22"/>
                        </w:rPr>
                        <w:t xml:space="preserve">Approved electronically by the Commission on </w:t>
                      </w:r>
                      <w:r w:rsidR="00316554">
                        <w:rPr>
                          <w:rFonts w:asciiTheme="majorHAnsi" w:hAnsiTheme="majorHAnsi"/>
                          <w:sz w:val="18"/>
                          <w:szCs w:val="22"/>
                        </w:rPr>
                        <w:t>March 31,</w:t>
                      </w:r>
                      <w:r w:rsidRPr="006842B2">
                        <w:rPr>
                          <w:rFonts w:asciiTheme="majorHAnsi" w:hAnsiTheme="majorHAnsi"/>
                          <w:sz w:val="18"/>
                          <w:szCs w:val="22"/>
                        </w:rPr>
                        <w:t xml:space="preserve"> 2019</w:t>
                      </w:r>
                      <w:r w:rsidR="00B7440A">
                        <w:rPr>
                          <w:rFonts w:asciiTheme="majorHAnsi" w:hAnsiTheme="majorHAnsi"/>
                          <w:sz w:val="18"/>
                          <w:szCs w:val="22"/>
                        </w:rPr>
                        <w:t>.</w:t>
                      </w:r>
                    </w:p>
                  </w:txbxContent>
                </v:textbox>
              </v:shape>
            </w:pict>
          </mc:Fallback>
        </mc:AlternateContent>
      </w:r>
    </w:p>
    <w:p w14:paraId="0F12903C"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633F91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22E85A3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6D924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363CBD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B1CE975" wp14:editId="5CF4480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F3080" w14:textId="147A39FE" w:rsidR="001C3F17" w:rsidRPr="006842B2" w:rsidRDefault="001C3F17" w:rsidP="00113F73">
                            <w:pPr>
                              <w:spacing w:line="276" w:lineRule="auto"/>
                              <w:rPr>
                                <w:rFonts w:asciiTheme="majorHAnsi" w:hAnsiTheme="majorHAnsi"/>
                                <w:color w:val="595959" w:themeColor="text1" w:themeTint="A6"/>
                                <w:sz w:val="18"/>
                                <w:szCs w:val="18"/>
                              </w:rPr>
                            </w:pPr>
                            <w:r w:rsidRPr="006842B2">
                              <w:rPr>
                                <w:rFonts w:asciiTheme="majorHAnsi" w:hAnsiTheme="majorHAnsi"/>
                                <w:b/>
                                <w:color w:val="595959" w:themeColor="text1" w:themeTint="A6"/>
                                <w:sz w:val="18"/>
                                <w:szCs w:val="18"/>
                              </w:rPr>
                              <w:t>Cite as:</w:t>
                            </w:r>
                            <w:r w:rsidRPr="006842B2">
                              <w:rPr>
                                <w:rFonts w:asciiTheme="majorHAnsi" w:hAnsiTheme="majorHAnsi"/>
                                <w:color w:val="595959" w:themeColor="text1" w:themeTint="A6"/>
                                <w:sz w:val="18"/>
                                <w:szCs w:val="18"/>
                              </w:rPr>
                              <w:t xml:space="preserve"> IACHR, Report No. </w:t>
                            </w:r>
                            <w:r w:rsidR="00316554">
                              <w:rPr>
                                <w:rFonts w:asciiTheme="majorHAnsi" w:hAnsiTheme="majorHAnsi"/>
                                <w:color w:val="595959" w:themeColor="text1" w:themeTint="A6"/>
                                <w:sz w:val="18"/>
                                <w:szCs w:val="18"/>
                              </w:rPr>
                              <w:t>32</w:t>
                            </w:r>
                            <w:r w:rsidRPr="006842B2">
                              <w:rPr>
                                <w:rFonts w:asciiTheme="majorHAnsi" w:hAnsiTheme="majorHAnsi"/>
                                <w:color w:val="595959" w:themeColor="text1" w:themeTint="A6"/>
                                <w:sz w:val="18"/>
                                <w:szCs w:val="18"/>
                              </w:rPr>
                              <w:t>/</w:t>
                            </w:r>
                            <w:r w:rsidR="00316554">
                              <w:rPr>
                                <w:rFonts w:asciiTheme="majorHAnsi" w:hAnsiTheme="majorHAnsi"/>
                                <w:color w:val="595959" w:themeColor="text1" w:themeTint="A6"/>
                                <w:sz w:val="18"/>
                                <w:szCs w:val="18"/>
                              </w:rPr>
                              <w:t>19</w:t>
                            </w:r>
                            <w:r w:rsidRPr="006842B2">
                              <w:rPr>
                                <w:rFonts w:asciiTheme="majorHAnsi" w:hAnsiTheme="majorHAnsi"/>
                                <w:color w:val="595959" w:themeColor="text1" w:themeTint="A6"/>
                                <w:sz w:val="18"/>
                                <w:szCs w:val="18"/>
                              </w:rPr>
                              <w:t xml:space="preserve">. Petition 1228-08. </w:t>
                            </w:r>
                            <w:r w:rsidR="008D6A8A">
                              <w:rPr>
                                <w:rFonts w:asciiTheme="majorHAnsi" w:hAnsiTheme="majorHAnsi"/>
                                <w:color w:val="595959" w:themeColor="text1" w:themeTint="A6"/>
                                <w:sz w:val="18"/>
                                <w:szCs w:val="18"/>
                              </w:rPr>
                              <w:t>Admissibility</w:t>
                            </w:r>
                            <w:r w:rsidRPr="006842B2">
                              <w:rPr>
                                <w:rFonts w:asciiTheme="majorHAnsi" w:hAnsiTheme="majorHAnsi"/>
                                <w:color w:val="595959" w:themeColor="text1" w:themeTint="A6"/>
                                <w:sz w:val="18"/>
                                <w:szCs w:val="18"/>
                              </w:rPr>
                              <w:t xml:space="preserve">. </w:t>
                            </w:r>
                            <w:proofErr w:type="spellStart"/>
                            <w:r w:rsidRPr="006842B2">
                              <w:rPr>
                                <w:rFonts w:asciiTheme="majorHAnsi" w:hAnsiTheme="majorHAnsi"/>
                                <w:color w:val="595959" w:themeColor="text1" w:themeTint="A6"/>
                                <w:sz w:val="18"/>
                                <w:szCs w:val="18"/>
                              </w:rPr>
                              <w:t>Hindenburgh</w:t>
                            </w:r>
                            <w:proofErr w:type="spellEnd"/>
                            <w:r w:rsidRPr="006842B2">
                              <w:rPr>
                                <w:rFonts w:asciiTheme="majorHAnsi" w:hAnsiTheme="majorHAnsi"/>
                                <w:color w:val="595959" w:themeColor="text1" w:themeTint="A6"/>
                                <w:sz w:val="18"/>
                                <w:szCs w:val="18"/>
                              </w:rPr>
                              <w:t xml:space="preserve"> de </w:t>
                            </w:r>
                            <w:proofErr w:type="spellStart"/>
                            <w:r w:rsidRPr="006842B2">
                              <w:rPr>
                                <w:rFonts w:asciiTheme="majorHAnsi" w:hAnsiTheme="majorHAnsi"/>
                                <w:color w:val="595959" w:themeColor="text1" w:themeTint="A6"/>
                                <w:sz w:val="18"/>
                                <w:szCs w:val="18"/>
                              </w:rPr>
                              <w:t>Melo</w:t>
                            </w:r>
                            <w:proofErr w:type="spellEnd"/>
                            <w:r w:rsidRPr="006842B2">
                              <w:rPr>
                                <w:rFonts w:asciiTheme="majorHAnsi" w:hAnsiTheme="majorHAnsi"/>
                                <w:color w:val="595959" w:themeColor="text1" w:themeTint="A6"/>
                                <w:sz w:val="18"/>
                                <w:szCs w:val="18"/>
                              </w:rPr>
                              <w:t xml:space="preserve"> Rocha et al. Brazil. </w:t>
                            </w:r>
                            <w:r w:rsidR="00316554">
                              <w:rPr>
                                <w:rFonts w:asciiTheme="majorHAnsi" w:hAnsiTheme="majorHAnsi"/>
                                <w:color w:val="595959" w:themeColor="text1" w:themeTint="A6"/>
                                <w:sz w:val="18"/>
                                <w:szCs w:val="18"/>
                              </w:rPr>
                              <w:t>March 31, 2019</w:t>
                            </w:r>
                            <w:r w:rsidRPr="006842B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E97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A1F3080" w14:textId="147A39FE" w:rsidR="001C3F17" w:rsidRPr="006842B2" w:rsidRDefault="001C3F17" w:rsidP="00113F73">
                      <w:pPr>
                        <w:spacing w:line="276" w:lineRule="auto"/>
                        <w:rPr>
                          <w:rFonts w:asciiTheme="majorHAnsi" w:hAnsiTheme="majorHAnsi"/>
                          <w:color w:val="595959" w:themeColor="text1" w:themeTint="A6"/>
                          <w:sz w:val="18"/>
                          <w:szCs w:val="18"/>
                        </w:rPr>
                      </w:pPr>
                      <w:r w:rsidRPr="006842B2">
                        <w:rPr>
                          <w:rFonts w:asciiTheme="majorHAnsi" w:hAnsiTheme="majorHAnsi"/>
                          <w:b/>
                          <w:color w:val="595959" w:themeColor="text1" w:themeTint="A6"/>
                          <w:sz w:val="18"/>
                          <w:szCs w:val="18"/>
                        </w:rPr>
                        <w:t>Cite as:</w:t>
                      </w:r>
                      <w:r w:rsidRPr="006842B2">
                        <w:rPr>
                          <w:rFonts w:asciiTheme="majorHAnsi" w:hAnsiTheme="majorHAnsi"/>
                          <w:color w:val="595959" w:themeColor="text1" w:themeTint="A6"/>
                          <w:sz w:val="18"/>
                          <w:szCs w:val="18"/>
                        </w:rPr>
                        <w:t xml:space="preserve"> IACHR, Report No. </w:t>
                      </w:r>
                      <w:r w:rsidR="00316554">
                        <w:rPr>
                          <w:rFonts w:asciiTheme="majorHAnsi" w:hAnsiTheme="majorHAnsi"/>
                          <w:color w:val="595959" w:themeColor="text1" w:themeTint="A6"/>
                          <w:sz w:val="18"/>
                          <w:szCs w:val="18"/>
                        </w:rPr>
                        <w:t>32</w:t>
                      </w:r>
                      <w:r w:rsidRPr="006842B2">
                        <w:rPr>
                          <w:rFonts w:asciiTheme="majorHAnsi" w:hAnsiTheme="majorHAnsi"/>
                          <w:color w:val="595959" w:themeColor="text1" w:themeTint="A6"/>
                          <w:sz w:val="18"/>
                          <w:szCs w:val="18"/>
                        </w:rPr>
                        <w:t>/</w:t>
                      </w:r>
                      <w:r w:rsidR="00316554">
                        <w:rPr>
                          <w:rFonts w:asciiTheme="majorHAnsi" w:hAnsiTheme="majorHAnsi"/>
                          <w:color w:val="595959" w:themeColor="text1" w:themeTint="A6"/>
                          <w:sz w:val="18"/>
                          <w:szCs w:val="18"/>
                        </w:rPr>
                        <w:t>19</w:t>
                      </w:r>
                      <w:r w:rsidRPr="006842B2">
                        <w:rPr>
                          <w:rFonts w:asciiTheme="majorHAnsi" w:hAnsiTheme="majorHAnsi"/>
                          <w:color w:val="595959" w:themeColor="text1" w:themeTint="A6"/>
                          <w:sz w:val="18"/>
                          <w:szCs w:val="18"/>
                        </w:rPr>
                        <w:t xml:space="preserve">. Petition 1228-08. </w:t>
                      </w:r>
                      <w:r w:rsidR="008D6A8A">
                        <w:rPr>
                          <w:rFonts w:asciiTheme="majorHAnsi" w:hAnsiTheme="majorHAnsi"/>
                          <w:color w:val="595959" w:themeColor="text1" w:themeTint="A6"/>
                          <w:sz w:val="18"/>
                          <w:szCs w:val="18"/>
                        </w:rPr>
                        <w:t>Admissibility</w:t>
                      </w:r>
                      <w:r w:rsidRPr="006842B2">
                        <w:rPr>
                          <w:rFonts w:asciiTheme="majorHAnsi" w:hAnsiTheme="majorHAnsi"/>
                          <w:color w:val="595959" w:themeColor="text1" w:themeTint="A6"/>
                          <w:sz w:val="18"/>
                          <w:szCs w:val="18"/>
                        </w:rPr>
                        <w:t xml:space="preserve">. </w:t>
                      </w:r>
                      <w:proofErr w:type="spellStart"/>
                      <w:r w:rsidRPr="006842B2">
                        <w:rPr>
                          <w:rFonts w:asciiTheme="majorHAnsi" w:hAnsiTheme="majorHAnsi"/>
                          <w:color w:val="595959" w:themeColor="text1" w:themeTint="A6"/>
                          <w:sz w:val="18"/>
                          <w:szCs w:val="18"/>
                        </w:rPr>
                        <w:t>Hindenburgh</w:t>
                      </w:r>
                      <w:proofErr w:type="spellEnd"/>
                      <w:r w:rsidRPr="006842B2">
                        <w:rPr>
                          <w:rFonts w:asciiTheme="majorHAnsi" w:hAnsiTheme="majorHAnsi"/>
                          <w:color w:val="595959" w:themeColor="text1" w:themeTint="A6"/>
                          <w:sz w:val="18"/>
                          <w:szCs w:val="18"/>
                        </w:rPr>
                        <w:t xml:space="preserve"> de </w:t>
                      </w:r>
                      <w:proofErr w:type="spellStart"/>
                      <w:r w:rsidRPr="006842B2">
                        <w:rPr>
                          <w:rFonts w:asciiTheme="majorHAnsi" w:hAnsiTheme="majorHAnsi"/>
                          <w:color w:val="595959" w:themeColor="text1" w:themeTint="A6"/>
                          <w:sz w:val="18"/>
                          <w:szCs w:val="18"/>
                        </w:rPr>
                        <w:t>Melo</w:t>
                      </w:r>
                      <w:proofErr w:type="spellEnd"/>
                      <w:r w:rsidRPr="006842B2">
                        <w:rPr>
                          <w:rFonts w:asciiTheme="majorHAnsi" w:hAnsiTheme="majorHAnsi"/>
                          <w:color w:val="595959" w:themeColor="text1" w:themeTint="A6"/>
                          <w:sz w:val="18"/>
                          <w:szCs w:val="18"/>
                        </w:rPr>
                        <w:t xml:space="preserve"> Rocha et al. Brazil. </w:t>
                      </w:r>
                      <w:r w:rsidR="00316554">
                        <w:rPr>
                          <w:rFonts w:asciiTheme="majorHAnsi" w:hAnsiTheme="majorHAnsi"/>
                          <w:color w:val="595959" w:themeColor="text1" w:themeTint="A6"/>
                          <w:sz w:val="18"/>
                          <w:szCs w:val="18"/>
                        </w:rPr>
                        <w:t>March 31, 2019</w:t>
                      </w:r>
                      <w:r w:rsidRPr="006842B2">
                        <w:rPr>
                          <w:rFonts w:asciiTheme="majorHAnsi" w:hAnsiTheme="majorHAnsi"/>
                          <w:color w:val="595959" w:themeColor="text1" w:themeTint="A6"/>
                          <w:sz w:val="18"/>
                          <w:szCs w:val="18"/>
                        </w:rPr>
                        <w:t>.</w:t>
                      </w:r>
                    </w:p>
                  </w:txbxContent>
                </v:textbox>
              </v:shape>
            </w:pict>
          </mc:Fallback>
        </mc:AlternateContent>
      </w:r>
    </w:p>
    <w:p w14:paraId="7690CF9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2C7A0E02"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3E2A4A0" wp14:editId="12935FD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722DA" w14:textId="543D4258" w:rsidR="00F64CC6" w:rsidRDefault="00F64CC6" w:rsidP="00F64C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lang w:eastAsia="es-ES"/>
                              </w:rPr>
                            </w:pPr>
                            <w:r>
                              <w:rPr>
                                <w:rFonts w:ascii="Times" w:hAnsi="Times" w:cs="Times"/>
                                <w:noProof/>
                                <w:color w:val="000000"/>
                              </w:rPr>
                              <w:drawing>
                                <wp:inline distT="0" distB="0" distL="0" distR="0" wp14:anchorId="11A9FF63" wp14:editId="4D26FB6A">
                                  <wp:extent cx="1335662" cy="385251"/>
                                  <wp:effectExtent l="0" t="0" r="1079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259" cy="385712"/>
                                          </a:xfrm>
                                          <a:prstGeom prst="rect">
                                            <a:avLst/>
                                          </a:prstGeom>
                                          <a:noFill/>
                                          <a:ln>
                                            <a:noFill/>
                                          </a:ln>
                                        </pic:spPr>
                                      </pic:pic>
                                    </a:graphicData>
                                  </a:graphic>
                                </wp:inline>
                              </w:drawing>
                            </w:r>
                            <w:r>
                              <w:rPr>
                                <w:rFonts w:ascii="Times" w:hAnsi="Times" w:cs="Times"/>
                                <w:color w:val="000000"/>
                                <w:lang w:eastAsia="es-ES"/>
                              </w:rPr>
                              <w:t xml:space="preserve"> </w:t>
                            </w:r>
                          </w:p>
                          <w:p w14:paraId="3F6C3831" w14:textId="77777777" w:rsidR="001C3F17" w:rsidRPr="00D72DC6" w:rsidRDefault="001C3F17"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A4A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1B722DA" w14:textId="543D4258" w:rsidR="00F64CC6" w:rsidRDefault="00F64CC6" w:rsidP="00F64C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lang w:eastAsia="es-ES"/>
                        </w:rPr>
                      </w:pPr>
                      <w:r>
                        <w:rPr>
                          <w:rFonts w:ascii="Times" w:hAnsi="Times" w:cs="Times"/>
                          <w:noProof/>
                          <w:color w:val="000000"/>
                        </w:rPr>
                        <w:drawing>
                          <wp:inline distT="0" distB="0" distL="0" distR="0" wp14:anchorId="11A9FF63" wp14:editId="4D26FB6A">
                            <wp:extent cx="1335662" cy="385251"/>
                            <wp:effectExtent l="0" t="0" r="1079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259" cy="385712"/>
                                    </a:xfrm>
                                    <a:prstGeom prst="rect">
                                      <a:avLst/>
                                    </a:prstGeom>
                                    <a:noFill/>
                                    <a:ln>
                                      <a:noFill/>
                                    </a:ln>
                                  </pic:spPr>
                                </pic:pic>
                              </a:graphicData>
                            </a:graphic>
                          </wp:inline>
                        </w:drawing>
                      </w:r>
                      <w:r>
                        <w:rPr>
                          <w:rFonts w:ascii="Times" w:hAnsi="Times" w:cs="Times"/>
                          <w:color w:val="000000"/>
                          <w:lang w:eastAsia="es-ES"/>
                        </w:rPr>
                        <w:t xml:space="preserve"> </w:t>
                      </w:r>
                    </w:p>
                    <w:p w14:paraId="3F6C3831" w14:textId="77777777" w:rsidR="001C3F17" w:rsidRPr="00D72DC6" w:rsidRDefault="001C3F17" w:rsidP="00F02AD1">
                      <w:pPr>
                        <w:rPr>
                          <w:color w:val="FFFFFF" w:themeColor="background1"/>
                          <w14:textFill>
                            <w14:noFill/>
                          </w14:textFill>
                        </w:rPr>
                      </w:pP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A2AA910" wp14:editId="5253FD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8A598" w14:textId="43AF329B" w:rsidR="001C3F17" w:rsidRPr="00A24EBA" w:rsidRDefault="001C3F17" w:rsidP="00D306D1">
                            <w:pPr>
                              <w:jc w:val="center"/>
                              <w:rPr>
                                <w:rFonts w:asciiTheme="minorHAnsi" w:hAnsiTheme="minorHAnsi"/>
                                <w:b/>
                                <w:color w:val="FFFFFF" w:themeColor="background1"/>
                              </w:rPr>
                            </w:pPr>
                            <w:r w:rsidRPr="00A24EBA">
                              <w:rPr>
                                <w:rFonts w:asciiTheme="minorHAnsi" w:hAnsiTheme="minorHAnsi"/>
                                <w:b/>
                                <w:color w:val="FFFFFF" w:themeColor="background1"/>
                                <w:lang w:val="pt-BR"/>
                              </w:rPr>
                              <w:t>www.</w:t>
                            </w:r>
                            <w:r w:rsidR="00B7440A">
                              <w:rPr>
                                <w:rFonts w:asciiTheme="minorHAnsi" w:hAnsiTheme="minorHAnsi"/>
                                <w:b/>
                                <w:color w:val="FFFFFF" w:themeColor="background1"/>
                                <w:lang w:val="pt-BR"/>
                              </w:rPr>
                              <w:t>iachr</w:t>
                            </w:r>
                            <w:r w:rsidRPr="00A24EBA">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AA91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A78A598" w14:textId="43AF329B" w:rsidR="001C3F17" w:rsidRPr="00A24EBA" w:rsidRDefault="001C3F17" w:rsidP="00D306D1">
                      <w:pPr>
                        <w:jc w:val="center"/>
                        <w:rPr>
                          <w:rFonts w:asciiTheme="minorHAnsi" w:hAnsiTheme="minorHAnsi"/>
                          <w:b/>
                          <w:color w:val="FFFFFF" w:themeColor="background1"/>
                        </w:rPr>
                      </w:pPr>
                      <w:r w:rsidRPr="00A24EBA">
                        <w:rPr>
                          <w:rFonts w:asciiTheme="minorHAnsi" w:hAnsiTheme="minorHAnsi"/>
                          <w:b/>
                          <w:color w:val="FFFFFF" w:themeColor="background1"/>
                          <w:lang w:val="pt-BR"/>
                        </w:rPr>
                        <w:t>www.</w:t>
                      </w:r>
                      <w:r w:rsidR="00B7440A">
                        <w:rPr>
                          <w:rFonts w:asciiTheme="minorHAnsi" w:hAnsiTheme="minorHAnsi"/>
                          <w:b/>
                          <w:color w:val="FFFFFF" w:themeColor="background1"/>
                          <w:lang w:val="pt-BR"/>
                        </w:rPr>
                        <w:t>iachr</w:t>
                      </w:r>
                      <w:r w:rsidRPr="00A24EBA">
                        <w:rPr>
                          <w:rFonts w:asciiTheme="minorHAnsi" w:hAnsiTheme="minorHAnsi"/>
                          <w:b/>
                          <w:color w:val="FFFFFF" w:themeColor="background1"/>
                          <w:lang w:val="pt-BR"/>
                        </w:rPr>
                        <w:t>.org</w:t>
                      </w:r>
                    </w:p>
                  </w:txbxContent>
                </v:textbox>
              </v:shape>
            </w:pict>
          </mc:Fallback>
        </mc:AlternateContent>
      </w:r>
    </w:p>
    <w:p w14:paraId="61783752" w14:textId="7777777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5BEF2166" w14:textId="469FFDA2" w:rsidR="003239B8" w:rsidRPr="006842B2" w:rsidRDefault="00A37F2E" w:rsidP="004A6A54">
      <w:pPr>
        <w:spacing w:after="240"/>
        <w:ind w:firstLine="720"/>
        <w:jc w:val="both"/>
        <w:rPr>
          <w:rFonts w:asciiTheme="majorHAnsi" w:hAnsiTheme="majorHAnsi"/>
          <w:b/>
          <w:bCs/>
          <w:sz w:val="20"/>
          <w:szCs w:val="20"/>
        </w:rPr>
      </w:pPr>
      <w:r w:rsidRPr="006842B2">
        <w:rPr>
          <w:rFonts w:asciiTheme="majorHAnsi" w:hAnsiTheme="majorHAnsi"/>
          <w:b/>
          <w:bCs/>
          <w:sz w:val="20"/>
          <w:szCs w:val="20"/>
        </w:rPr>
        <w:lastRenderedPageBreak/>
        <w:t>I.</w:t>
      </w:r>
      <w:r w:rsidRPr="006842B2">
        <w:rPr>
          <w:rFonts w:asciiTheme="majorHAnsi" w:hAnsiTheme="majorHAnsi"/>
          <w:b/>
          <w:bCs/>
          <w:sz w:val="20"/>
          <w:szCs w:val="20"/>
        </w:rPr>
        <w:tab/>
      </w:r>
      <w:r w:rsidR="008D6A8A">
        <w:rPr>
          <w:rFonts w:asciiTheme="majorHAnsi" w:hAnsiTheme="majorHAnsi"/>
          <w:b/>
          <w:bCs/>
          <w:sz w:val="20"/>
          <w:szCs w:val="20"/>
        </w:rPr>
        <w:t>INFORMATION ABOUT THE PETITION</w:t>
      </w:r>
      <w:r w:rsidR="003239B8" w:rsidRPr="006842B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842B2" w14:paraId="36813466" w14:textId="77777777" w:rsidTr="00A24EBA">
        <w:tc>
          <w:tcPr>
            <w:tcW w:w="3600" w:type="dxa"/>
            <w:tcBorders>
              <w:top w:val="single" w:sz="4" w:space="0" w:color="auto"/>
              <w:bottom w:val="single" w:sz="6" w:space="0" w:color="auto"/>
            </w:tcBorders>
            <w:shd w:val="clear" w:color="auto" w:fill="67AF3C"/>
            <w:vAlign w:val="center"/>
          </w:tcPr>
          <w:p w14:paraId="7FE1335F" w14:textId="72B5CE91" w:rsidR="003239B8" w:rsidRPr="00A24EBA" w:rsidRDefault="008D6A8A" w:rsidP="0013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p>
        </w:tc>
        <w:tc>
          <w:tcPr>
            <w:tcW w:w="5760" w:type="dxa"/>
            <w:vAlign w:val="center"/>
          </w:tcPr>
          <w:p w14:paraId="7D7CC43C" w14:textId="77777777" w:rsidR="003239B8" w:rsidRPr="006842B2" w:rsidRDefault="00517D73" w:rsidP="0054502C">
            <w:pPr>
              <w:jc w:val="both"/>
              <w:rPr>
                <w:rFonts w:ascii="Cambria" w:hAnsi="Cambria"/>
                <w:bCs/>
                <w:sz w:val="20"/>
                <w:szCs w:val="20"/>
              </w:rPr>
            </w:pPr>
            <w:r w:rsidRPr="006E7949">
              <w:rPr>
                <w:rFonts w:asciiTheme="majorHAnsi" w:hAnsiTheme="majorHAnsi"/>
                <w:noProof/>
                <w:sz w:val="20"/>
                <w:szCs w:val="20"/>
              </w:rPr>
              <w:t>Hindenburgh</w:t>
            </w:r>
            <w:r w:rsidRPr="006842B2">
              <w:rPr>
                <w:rFonts w:asciiTheme="majorHAnsi" w:hAnsiTheme="majorHAnsi"/>
                <w:sz w:val="20"/>
                <w:szCs w:val="20"/>
              </w:rPr>
              <w:t xml:space="preserve"> d</w:t>
            </w:r>
            <w:r w:rsidR="0054502C" w:rsidRPr="006842B2">
              <w:rPr>
                <w:rFonts w:asciiTheme="majorHAnsi" w:hAnsiTheme="majorHAnsi"/>
                <w:sz w:val="20"/>
                <w:szCs w:val="20"/>
              </w:rPr>
              <w:t>e Melo Rocha</w:t>
            </w:r>
          </w:p>
        </w:tc>
      </w:tr>
      <w:tr w:rsidR="003239B8" w:rsidRPr="00A13E39" w14:paraId="6393A5FA" w14:textId="77777777" w:rsidTr="00A24EBA">
        <w:tc>
          <w:tcPr>
            <w:tcW w:w="3600" w:type="dxa"/>
            <w:tcBorders>
              <w:top w:val="single" w:sz="6" w:space="0" w:color="auto"/>
              <w:bottom w:val="single" w:sz="6" w:space="0" w:color="auto"/>
            </w:tcBorders>
            <w:shd w:val="clear" w:color="auto" w:fill="67AF3C"/>
            <w:vAlign w:val="center"/>
          </w:tcPr>
          <w:p w14:paraId="15C3F79C" w14:textId="6739D052" w:rsidR="003239B8" w:rsidRPr="00A24EBA" w:rsidRDefault="008D6A8A" w:rsidP="00333C65">
            <w:pPr>
              <w:jc w:val="center"/>
              <w:rPr>
                <w:rFonts w:ascii="Cambria" w:hAnsi="Cambria"/>
                <w:b/>
                <w:bCs/>
                <w:color w:val="FFFFFF" w:themeColor="background1"/>
                <w:sz w:val="20"/>
                <w:szCs w:val="20"/>
              </w:rPr>
            </w:pPr>
            <w:r>
              <w:rPr>
                <w:rFonts w:ascii="Cambria" w:hAnsi="Cambria"/>
                <w:b/>
                <w:bCs/>
                <w:color w:val="FFFFFF" w:themeColor="background1"/>
                <w:sz w:val="20"/>
                <w:szCs w:val="20"/>
              </w:rPr>
              <w:t>Alleged v</w:t>
            </w:r>
            <w:r w:rsidR="00B4540A" w:rsidRPr="00A24EBA">
              <w:rPr>
                <w:rFonts w:ascii="Cambria" w:hAnsi="Cambria"/>
                <w:b/>
                <w:bCs/>
                <w:color w:val="FFFFFF" w:themeColor="background1"/>
                <w:sz w:val="20"/>
                <w:szCs w:val="20"/>
              </w:rPr>
              <w:t>ictim</w:t>
            </w:r>
            <w:r w:rsidR="00333C65" w:rsidRPr="00A24EBA">
              <w:rPr>
                <w:rFonts w:ascii="Cambria" w:hAnsi="Cambria"/>
                <w:b/>
                <w:bCs/>
                <w:color w:val="FFFFFF" w:themeColor="background1"/>
                <w:sz w:val="20"/>
                <w:szCs w:val="20"/>
              </w:rPr>
              <w:t>s</w:t>
            </w:r>
            <w:r w:rsidR="003239B8" w:rsidRPr="00A24EBA">
              <w:rPr>
                <w:rFonts w:ascii="Cambria" w:hAnsi="Cambria"/>
                <w:b/>
                <w:bCs/>
                <w:color w:val="FFFFFF" w:themeColor="background1"/>
                <w:sz w:val="20"/>
                <w:szCs w:val="20"/>
              </w:rPr>
              <w:t>:</w:t>
            </w:r>
          </w:p>
        </w:tc>
        <w:tc>
          <w:tcPr>
            <w:tcW w:w="5760" w:type="dxa"/>
            <w:vAlign w:val="center"/>
          </w:tcPr>
          <w:p w14:paraId="19FEEB40" w14:textId="2718605E" w:rsidR="003239B8" w:rsidRPr="00316554" w:rsidRDefault="00517D73" w:rsidP="00333C65">
            <w:pPr>
              <w:jc w:val="both"/>
              <w:rPr>
                <w:rFonts w:ascii="Cambria" w:hAnsi="Cambria"/>
                <w:bCs/>
                <w:sz w:val="20"/>
                <w:szCs w:val="20"/>
                <w:lang w:val="pt-BR"/>
              </w:rPr>
            </w:pPr>
            <w:r w:rsidRPr="00316554">
              <w:rPr>
                <w:rFonts w:asciiTheme="majorHAnsi" w:hAnsiTheme="majorHAnsi"/>
                <w:noProof/>
                <w:sz w:val="20"/>
                <w:szCs w:val="20"/>
                <w:lang w:val="pt-BR"/>
              </w:rPr>
              <w:t>Hindenburgh</w:t>
            </w:r>
            <w:r w:rsidRPr="00316554">
              <w:rPr>
                <w:rFonts w:asciiTheme="majorHAnsi" w:hAnsiTheme="majorHAnsi"/>
                <w:sz w:val="20"/>
                <w:szCs w:val="20"/>
                <w:lang w:val="pt-BR"/>
              </w:rPr>
              <w:t xml:space="preserve"> d</w:t>
            </w:r>
            <w:r w:rsidR="0054502C" w:rsidRPr="00316554">
              <w:rPr>
                <w:rFonts w:asciiTheme="majorHAnsi" w:hAnsiTheme="majorHAnsi"/>
                <w:sz w:val="20"/>
                <w:szCs w:val="20"/>
                <w:lang w:val="pt-BR"/>
              </w:rPr>
              <w:t>e Melo Rocha</w:t>
            </w:r>
            <w:r w:rsidR="0048091C" w:rsidRPr="00316554">
              <w:rPr>
                <w:rFonts w:asciiTheme="majorHAnsi" w:hAnsiTheme="majorHAnsi"/>
                <w:sz w:val="20"/>
                <w:szCs w:val="20"/>
                <w:lang w:val="pt-BR"/>
              </w:rPr>
              <w:t xml:space="preserve"> e</w:t>
            </w:r>
            <w:r w:rsidR="00333C65" w:rsidRPr="00316554">
              <w:rPr>
                <w:rFonts w:asciiTheme="majorHAnsi" w:hAnsiTheme="majorHAnsi"/>
                <w:sz w:val="20"/>
                <w:szCs w:val="20"/>
                <w:lang w:val="pt-BR"/>
              </w:rPr>
              <w:t>t al.</w:t>
            </w:r>
            <w:r w:rsidR="0048091C" w:rsidRPr="006842B2">
              <w:rPr>
                <w:rStyle w:val="FootnoteReference"/>
                <w:rFonts w:asciiTheme="majorHAnsi" w:hAnsiTheme="majorHAnsi"/>
                <w:sz w:val="20"/>
                <w:szCs w:val="20"/>
              </w:rPr>
              <w:footnoteReference w:id="2"/>
            </w:r>
          </w:p>
        </w:tc>
      </w:tr>
      <w:tr w:rsidR="003239B8" w:rsidRPr="006842B2" w14:paraId="1C0F3219" w14:textId="77777777" w:rsidTr="00A24EBA">
        <w:tc>
          <w:tcPr>
            <w:tcW w:w="3600" w:type="dxa"/>
            <w:tcBorders>
              <w:top w:val="single" w:sz="6" w:space="0" w:color="auto"/>
              <w:bottom w:val="single" w:sz="6" w:space="0" w:color="auto"/>
            </w:tcBorders>
            <w:shd w:val="clear" w:color="auto" w:fill="67AF3C"/>
            <w:vAlign w:val="center"/>
          </w:tcPr>
          <w:p w14:paraId="32535CB6" w14:textId="0BCAE651" w:rsidR="003239B8" w:rsidRPr="00A24EBA" w:rsidRDefault="008D6A8A" w:rsidP="000B2504">
            <w:pPr>
              <w:jc w:val="center"/>
              <w:rPr>
                <w:rFonts w:ascii="Cambria" w:hAnsi="Cambria"/>
                <w:b/>
                <w:bCs/>
                <w:color w:val="FFFFFF" w:themeColor="background1"/>
                <w:sz w:val="20"/>
                <w:szCs w:val="20"/>
              </w:rPr>
            </w:pPr>
            <w:r>
              <w:rPr>
                <w:rFonts w:ascii="Cambria" w:hAnsi="Cambria"/>
                <w:b/>
                <w:bCs/>
                <w:color w:val="FFFFFF" w:themeColor="background1"/>
                <w:sz w:val="20"/>
                <w:szCs w:val="20"/>
              </w:rPr>
              <w:t>Respondent</w:t>
            </w:r>
            <w:r w:rsidR="00333C65" w:rsidRPr="00A24EBA">
              <w:rPr>
                <w:rFonts w:ascii="Cambria" w:hAnsi="Cambria"/>
                <w:b/>
                <w:bCs/>
                <w:color w:val="FFFFFF" w:themeColor="background1"/>
                <w:sz w:val="20"/>
                <w:szCs w:val="20"/>
              </w:rPr>
              <w:t xml:space="preserve"> State</w:t>
            </w:r>
            <w:r w:rsidR="003239B8" w:rsidRPr="00A24EBA">
              <w:rPr>
                <w:rFonts w:ascii="Cambria" w:hAnsi="Cambria"/>
                <w:b/>
                <w:bCs/>
                <w:color w:val="FFFFFF" w:themeColor="background1"/>
                <w:sz w:val="20"/>
                <w:szCs w:val="20"/>
              </w:rPr>
              <w:t>:</w:t>
            </w:r>
          </w:p>
        </w:tc>
        <w:tc>
          <w:tcPr>
            <w:tcW w:w="5760" w:type="dxa"/>
            <w:vAlign w:val="center"/>
          </w:tcPr>
          <w:p w14:paraId="43187361" w14:textId="2BC488F9" w:rsidR="003239B8" w:rsidRPr="006842B2" w:rsidRDefault="00333C65" w:rsidP="000B2504">
            <w:pPr>
              <w:jc w:val="both"/>
              <w:rPr>
                <w:rFonts w:ascii="Cambria" w:hAnsi="Cambria"/>
                <w:bCs/>
                <w:sz w:val="20"/>
                <w:szCs w:val="20"/>
              </w:rPr>
            </w:pPr>
            <w:r w:rsidRPr="006842B2">
              <w:rPr>
                <w:rFonts w:ascii="Cambria" w:hAnsi="Cambria"/>
                <w:bCs/>
                <w:sz w:val="20"/>
                <w:szCs w:val="20"/>
              </w:rPr>
              <w:t>Braz</w:t>
            </w:r>
            <w:r w:rsidR="006A20E7" w:rsidRPr="006842B2">
              <w:rPr>
                <w:rFonts w:ascii="Cambria" w:hAnsi="Cambria"/>
                <w:bCs/>
                <w:sz w:val="20"/>
                <w:szCs w:val="20"/>
              </w:rPr>
              <w:t>il</w:t>
            </w:r>
            <w:r w:rsidR="004A6A54" w:rsidRPr="006842B2">
              <w:rPr>
                <w:rStyle w:val="FootnoteReference"/>
                <w:rFonts w:ascii="Cambria" w:hAnsi="Cambria"/>
                <w:bCs/>
                <w:sz w:val="20"/>
                <w:szCs w:val="20"/>
              </w:rPr>
              <w:footnoteReference w:id="3"/>
            </w:r>
          </w:p>
        </w:tc>
      </w:tr>
      <w:tr w:rsidR="00223A29" w:rsidRPr="006842B2" w14:paraId="3ABA33B0" w14:textId="77777777" w:rsidTr="00A24EBA">
        <w:tc>
          <w:tcPr>
            <w:tcW w:w="3600" w:type="dxa"/>
            <w:tcBorders>
              <w:top w:val="single" w:sz="6" w:space="0" w:color="auto"/>
              <w:bottom w:val="single" w:sz="6" w:space="0" w:color="auto"/>
            </w:tcBorders>
            <w:shd w:val="clear" w:color="auto" w:fill="67AF3C"/>
            <w:vAlign w:val="center"/>
          </w:tcPr>
          <w:p w14:paraId="0E01A51A" w14:textId="08FF7FC2" w:rsidR="00223A29" w:rsidRPr="00A24EBA" w:rsidRDefault="00333C65" w:rsidP="008D6A8A">
            <w:pPr>
              <w:jc w:val="center"/>
              <w:rPr>
                <w:rFonts w:ascii="Cambria" w:hAnsi="Cambria"/>
                <w:b/>
                <w:bCs/>
                <w:color w:val="FFFFFF" w:themeColor="background1"/>
                <w:sz w:val="20"/>
                <w:szCs w:val="20"/>
              </w:rPr>
            </w:pPr>
            <w:r w:rsidRPr="00A24EBA">
              <w:rPr>
                <w:rFonts w:ascii="Cambria" w:hAnsi="Cambria"/>
                <w:b/>
                <w:bCs/>
                <w:color w:val="FFFFFF" w:themeColor="background1"/>
                <w:sz w:val="20"/>
                <w:szCs w:val="20"/>
              </w:rPr>
              <w:t xml:space="preserve">Rights </w:t>
            </w:r>
            <w:r w:rsidR="008D6A8A">
              <w:rPr>
                <w:rFonts w:ascii="Cambria" w:hAnsi="Cambria"/>
                <w:b/>
                <w:bCs/>
                <w:color w:val="FFFFFF" w:themeColor="background1"/>
                <w:sz w:val="20"/>
                <w:szCs w:val="20"/>
              </w:rPr>
              <w:t>invoked</w:t>
            </w:r>
            <w:r w:rsidR="001B3A00" w:rsidRPr="00A24EBA">
              <w:rPr>
                <w:rFonts w:ascii="Cambria" w:hAnsi="Cambria"/>
                <w:b/>
                <w:bCs/>
                <w:color w:val="FFFFFF" w:themeColor="background1"/>
                <w:sz w:val="20"/>
                <w:szCs w:val="20"/>
              </w:rPr>
              <w:t>:</w:t>
            </w:r>
          </w:p>
        </w:tc>
        <w:tc>
          <w:tcPr>
            <w:tcW w:w="5760" w:type="dxa"/>
            <w:vAlign w:val="center"/>
          </w:tcPr>
          <w:p w14:paraId="70279CE0" w14:textId="7C0E71EE" w:rsidR="00223A29" w:rsidRPr="006842B2" w:rsidRDefault="00DD3ED6" w:rsidP="00A24EBA">
            <w:pPr>
              <w:jc w:val="both"/>
              <w:rPr>
                <w:rFonts w:ascii="Cambria" w:hAnsi="Cambria"/>
                <w:bCs/>
                <w:sz w:val="20"/>
                <w:szCs w:val="20"/>
              </w:rPr>
            </w:pPr>
            <w:r w:rsidRPr="006842B2">
              <w:rPr>
                <w:rFonts w:ascii="Cambria" w:hAnsi="Cambria"/>
                <w:bCs/>
                <w:sz w:val="20"/>
                <w:szCs w:val="20"/>
              </w:rPr>
              <w:t>Arti</w:t>
            </w:r>
            <w:r w:rsidR="00333C65" w:rsidRPr="006842B2">
              <w:rPr>
                <w:rFonts w:ascii="Cambria" w:hAnsi="Cambria"/>
                <w:bCs/>
                <w:sz w:val="20"/>
                <w:szCs w:val="20"/>
              </w:rPr>
              <w:t>cles</w:t>
            </w:r>
            <w:r w:rsidRPr="006842B2">
              <w:rPr>
                <w:rFonts w:ascii="Cambria" w:hAnsi="Cambria"/>
                <w:bCs/>
                <w:sz w:val="20"/>
                <w:szCs w:val="20"/>
              </w:rPr>
              <w:t xml:space="preserve"> 8 (</w:t>
            </w:r>
            <w:r w:rsidR="00A24EBA">
              <w:rPr>
                <w:rFonts w:ascii="Cambria" w:hAnsi="Cambria"/>
                <w:bCs/>
                <w:sz w:val="20"/>
                <w:szCs w:val="20"/>
              </w:rPr>
              <w:t>Fair Trial), 25 (J</w:t>
            </w:r>
            <w:r w:rsidRPr="006842B2">
              <w:rPr>
                <w:rFonts w:ascii="Cambria" w:hAnsi="Cambria"/>
                <w:bCs/>
                <w:sz w:val="20"/>
                <w:szCs w:val="20"/>
              </w:rPr>
              <w:t>udicial</w:t>
            </w:r>
            <w:r w:rsidR="00A24EBA">
              <w:rPr>
                <w:rFonts w:ascii="Cambria" w:hAnsi="Cambria"/>
                <w:bCs/>
                <w:sz w:val="20"/>
                <w:szCs w:val="20"/>
              </w:rPr>
              <w:t xml:space="preserve"> P</w:t>
            </w:r>
            <w:r w:rsidR="00333C65" w:rsidRPr="006842B2">
              <w:rPr>
                <w:rFonts w:ascii="Cambria" w:hAnsi="Cambria"/>
                <w:bCs/>
                <w:sz w:val="20"/>
                <w:szCs w:val="20"/>
              </w:rPr>
              <w:t>rotection</w:t>
            </w:r>
            <w:r w:rsidR="001F4297">
              <w:rPr>
                <w:rFonts w:ascii="Cambria" w:hAnsi="Cambria"/>
                <w:bCs/>
                <w:sz w:val="20"/>
                <w:szCs w:val="20"/>
              </w:rPr>
              <w:t>) and</w:t>
            </w:r>
            <w:r w:rsidRPr="006842B2">
              <w:rPr>
                <w:rFonts w:ascii="Cambria" w:hAnsi="Cambria"/>
                <w:bCs/>
                <w:sz w:val="20"/>
                <w:szCs w:val="20"/>
              </w:rPr>
              <w:t xml:space="preserve"> 26 (</w:t>
            </w:r>
            <w:r w:rsidR="00A24EBA">
              <w:rPr>
                <w:rFonts w:ascii="Cambria" w:hAnsi="Cambria"/>
                <w:bCs/>
                <w:sz w:val="20"/>
                <w:szCs w:val="20"/>
              </w:rPr>
              <w:t>Social, E</w:t>
            </w:r>
            <w:r w:rsidR="00333C65" w:rsidRPr="006842B2">
              <w:rPr>
                <w:rFonts w:ascii="Cambria" w:hAnsi="Cambria"/>
                <w:bCs/>
                <w:sz w:val="20"/>
                <w:szCs w:val="20"/>
              </w:rPr>
              <w:t xml:space="preserve">conomic, </w:t>
            </w:r>
            <w:r w:rsidR="00A24EBA">
              <w:rPr>
                <w:rFonts w:ascii="Cambria" w:hAnsi="Cambria"/>
                <w:bCs/>
                <w:sz w:val="20"/>
                <w:szCs w:val="20"/>
              </w:rPr>
              <w:t>and Cultural R</w:t>
            </w:r>
            <w:r w:rsidR="00333C65" w:rsidRPr="006842B2">
              <w:rPr>
                <w:rFonts w:ascii="Cambria" w:hAnsi="Cambria"/>
                <w:bCs/>
                <w:sz w:val="20"/>
                <w:szCs w:val="20"/>
              </w:rPr>
              <w:t>ights</w:t>
            </w:r>
            <w:r w:rsidRPr="006842B2">
              <w:rPr>
                <w:rFonts w:ascii="Cambria" w:hAnsi="Cambria"/>
                <w:bCs/>
                <w:sz w:val="20"/>
                <w:szCs w:val="20"/>
              </w:rPr>
              <w:t xml:space="preserve">), </w:t>
            </w:r>
            <w:r w:rsidR="006842B2" w:rsidRPr="002A3404">
              <w:rPr>
                <w:rFonts w:asciiTheme="majorHAnsi" w:hAnsiTheme="majorHAnsi"/>
                <w:bCs/>
                <w:noProof/>
                <w:sz w:val="20"/>
                <w:szCs w:val="20"/>
              </w:rPr>
              <w:t>in relation to</w:t>
            </w:r>
            <w:r w:rsidR="006842B2" w:rsidRPr="006842B2">
              <w:rPr>
                <w:rFonts w:asciiTheme="majorHAnsi" w:hAnsiTheme="majorHAnsi"/>
                <w:bCs/>
                <w:sz w:val="20"/>
                <w:szCs w:val="20"/>
              </w:rPr>
              <w:t xml:space="preserve"> Articles</w:t>
            </w:r>
            <w:r w:rsidRPr="006842B2">
              <w:rPr>
                <w:rFonts w:asciiTheme="majorHAnsi" w:hAnsiTheme="majorHAnsi"/>
                <w:bCs/>
                <w:sz w:val="20"/>
                <w:szCs w:val="20"/>
              </w:rPr>
              <w:t xml:space="preserve"> 1.1 (</w:t>
            </w:r>
            <w:r w:rsidR="00A24EBA">
              <w:rPr>
                <w:rFonts w:asciiTheme="majorHAnsi" w:hAnsiTheme="majorHAnsi"/>
                <w:bCs/>
                <w:sz w:val="20"/>
                <w:szCs w:val="20"/>
              </w:rPr>
              <w:t>O</w:t>
            </w:r>
            <w:r w:rsidR="006842B2" w:rsidRPr="006842B2">
              <w:rPr>
                <w:rFonts w:asciiTheme="majorHAnsi" w:hAnsiTheme="majorHAnsi"/>
                <w:bCs/>
                <w:sz w:val="20"/>
                <w:szCs w:val="20"/>
              </w:rPr>
              <w:t xml:space="preserve">bligation to </w:t>
            </w:r>
            <w:r w:rsidR="00A24EBA">
              <w:rPr>
                <w:rFonts w:asciiTheme="majorHAnsi" w:hAnsiTheme="majorHAnsi"/>
                <w:bCs/>
                <w:sz w:val="20"/>
                <w:szCs w:val="20"/>
              </w:rPr>
              <w:t>Respect R</w:t>
            </w:r>
            <w:r w:rsidR="006842B2" w:rsidRPr="006842B2">
              <w:rPr>
                <w:rFonts w:asciiTheme="majorHAnsi" w:hAnsiTheme="majorHAnsi"/>
                <w:bCs/>
                <w:sz w:val="20"/>
                <w:szCs w:val="20"/>
              </w:rPr>
              <w:t>ights) and</w:t>
            </w:r>
            <w:r w:rsidRPr="006842B2">
              <w:rPr>
                <w:rFonts w:asciiTheme="majorHAnsi" w:hAnsiTheme="majorHAnsi"/>
                <w:bCs/>
                <w:sz w:val="20"/>
                <w:szCs w:val="20"/>
              </w:rPr>
              <w:t xml:space="preserve"> 2 (</w:t>
            </w:r>
            <w:r w:rsidR="00A24EBA">
              <w:rPr>
                <w:rFonts w:asciiTheme="majorHAnsi" w:hAnsiTheme="majorHAnsi"/>
                <w:bCs/>
                <w:sz w:val="20"/>
                <w:szCs w:val="20"/>
              </w:rPr>
              <w:t>Domestic Legal Effects</w:t>
            </w:r>
            <w:r w:rsidRPr="006842B2">
              <w:rPr>
                <w:rFonts w:asciiTheme="majorHAnsi" w:hAnsiTheme="majorHAnsi"/>
                <w:bCs/>
                <w:sz w:val="20"/>
                <w:szCs w:val="20"/>
              </w:rPr>
              <w:t xml:space="preserve">) </w:t>
            </w:r>
            <w:r w:rsidR="006842B2" w:rsidRPr="006842B2">
              <w:rPr>
                <w:rFonts w:asciiTheme="majorHAnsi" w:hAnsiTheme="majorHAnsi"/>
                <w:bCs/>
                <w:sz w:val="20"/>
                <w:szCs w:val="20"/>
              </w:rPr>
              <w:t>of the American Convention on Human Rights</w:t>
            </w:r>
            <w:r w:rsidRPr="006842B2">
              <w:rPr>
                <w:rStyle w:val="FootnoteReference"/>
                <w:rFonts w:asciiTheme="majorHAnsi" w:hAnsiTheme="majorHAnsi"/>
                <w:bCs/>
                <w:sz w:val="20"/>
                <w:szCs w:val="20"/>
              </w:rPr>
              <w:footnoteReference w:id="4"/>
            </w:r>
          </w:p>
        </w:tc>
      </w:tr>
    </w:tbl>
    <w:p w14:paraId="145DB996" w14:textId="13328470" w:rsidR="003239B8" w:rsidRPr="003278D7" w:rsidRDefault="00A37F2E" w:rsidP="003239B8">
      <w:pPr>
        <w:spacing w:before="240" w:after="240"/>
        <w:ind w:firstLine="720"/>
        <w:jc w:val="both"/>
        <w:rPr>
          <w:rFonts w:asciiTheme="majorHAnsi" w:hAnsiTheme="majorHAnsi"/>
          <w:b/>
          <w:bCs/>
          <w:sz w:val="20"/>
          <w:szCs w:val="20"/>
        </w:rPr>
      </w:pPr>
      <w:r w:rsidRPr="003278D7">
        <w:rPr>
          <w:rFonts w:asciiTheme="majorHAnsi" w:hAnsiTheme="majorHAnsi"/>
          <w:b/>
          <w:bCs/>
          <w:sz w:val="20"/>
          <w:szCs w:val="20"/>
        </w:rPr>
        <w:t>II.</w:t>
      </w:r>
      <w:r w:rsidRPr="003278D7">
        <w:rPr>
          <w:rFonts w:asciiTheme="majorHAnsi" w:hAnsiTheme="majorHAnsi"/>
          <w:b/>
          <w:bCs/>
          <w:sz w:val="20"/>
          <w:szCs w:val="20"/>
        </w:rPr>
        <w:tab/>
      </w:r>
      <w:r w:rsidR="008D6A8A">
        <w:rPr>
          <w:rFonts w:asciiTheme="majorHAnsi" w:hAnsiTheme="majorHAnsi"/>
          <w:b/>
          <w:bCs/>
          <w:sz w:val="20"/>
          <w:szCs w:val="20"/>
        </w:rPr>
        <w:t>PROCEEDINGS BEFORE THE IACHR</w:t>
      </w:r>
      <w:r w:rsidR="008E3BFE" w:rsidRPr="003278D7">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76046405" w14:textId="77777777" w:rsidTr="00A24EBA">
        <w:tc>
          <w:tcPr>
            <w:tcW w:w="3600" w:type="dxa"/>
            <w:tcBorders>
              <w:top w:val="single" w:sz="6" w:space="0" w:color="auto"/>
              <w:bottom w:val="single" w:sz="6" w:space="0" w:color="auto"/>
            </w:tcBorders>
            <w:shd w:val="clear" w:color="auto" w:fill="67AF3C"/>
            <w:vAlign w:val="center"/>
          </w:tcPr>
          <w:p w14:paraId="6AA57061" w14:textId="29C56EE2" w:rsidR="004C2312" w:rsidRPr="00A24EBA" w:rsidRDefault="002A3404" w:rsidP="008D6A8A">
            <w:pPr>
              <w:jc w:val="center"/>
              <w:rPr>
                <w:rFonts w:ascii="Cambria" w:hAnsi="Cambria"/>
                <w:b/>
                <w:bCs/>
                <w:color w:val="FFFFFF" w:themeColor="background1"/>
                <w:sz w:val="20"/>
                <w:szCs w:val="20"/>
              </w:rPr>
            </w:pPr>
            <w:r>
              <w:rPr>
                <w:rFonts w:ascii="Cambria" w:hAnsi="Cambria"/>
                <w:b/>
                <w:bCs/>
                <w:color w:val="FFFFFF" w:themeColor="background1"/>
                <w:sz w:val="20"/>
                <w:szCs w:val="20"/>
              </w:rPr>
              <w:t>Filling the petition:</w:t>
            </w:r>
          </w:p>
        </w:tc>
        <w:tc>
          <w:tcPr>
            <w:tcW w:w="5760" w:type="dxa"/>
            <w:vAlign w:val="center"/>
          </w:tcPr>
          <w:p w14:paraId="67D51E9D" w14:textId="6B6A4EDE" w:rsidR="004C2312" w:rsidRPr="003278D7" w:rsidRDefault="006842B2" w:rsidP="006842B2">
            <w:pPr>
              <w:jc w:val="both"/>
              <w:rPr>
                <w:rFonts w:ascii="Cambria" w:hAnsi="Cambria"/>
                <w:bCs/>
                <w:sz w:val="20"/>
                <w:szCs w:val="20"/>
              </w:rPr>
            </w:pPr>
            <w:r w:rsidRPr="003278D7">
              <w:rPr>
                <w:rFonts w:ascii="Cambria" w:hAnsi="Cambria"/>
                <w:bCs/>
                <w:sz w:val="20"/>
                <w:szCs w:val="20"/>
              </w:rPr>
              <w:t>October</w:t>
            </w:r>
            <w:r w:rsidR="00D14AE4">
              <w:rPr>
                <w:rFonts w:ascii="Cambria" w:hAnsi="Cambria"/>
                <w:bCs/>
                <w:sz w:val="20"/>
                <w:szCs w:val="20"/>
              </w:rPr>
              <w:t xml:space="preserve"> </w:t>
            </w:r>
            <w:r w:rsidR="00D14AE4" w:rsidRPr="003278D7">
              <w:rPr>
                <w:rFonts w:ascii="Cambria" w:hAnsi="Cambria"/>
                <w:bCs/>
                <w:sz w:val="20"/>
                <w:szCs w:val="20"/>
              </w:rPr>
              <w:t>21</w:t>
            </w:r>
            <w:r w:rsidR="00D14AE4">
              <w:rPr>
                <w:rFonts w:ascii="Cambria" w:hAnsi="Cambria"/>
                <w:bCs/>
                <w:sz w:val="20"/>
                <w:szCs w:val="20"/>
              </w:rPr>
              <w:t>,</w:t>
            </w:r>
            <w:r w:rsidR="007C15C2" w:rsidRPr="003278D7">
              <w:rPr>
                <w:rFonts w:ascii="Cambria" w:hAnsi="Cambria"/>
                <w:bCs/>
                <w:sz w:val="20"/>
                <w:szCs w:val="20"/>
              </w:rPr>
              <w:t xml:space="preserve"> 2008</w:t>
            </w:r>
          </w:p>
        </w:tc>
      </w:tr>
      <w:tr w:rsidR="001E49E7" w:rsidRPr="00B22E46" w14:paraId="693A5CB8" w14:textId="77777777" w:rsidTr="00A24EBA">
        <w:tc>
          <w:tcPr>
            <w:tcW w:w="3600" w:type="dxa"/>
            <w:tcBorders>
              <w:top w:val="single" w:sz="6" w:space="0" w:color="auto"/>
              <w:bottom w:val="single" w:sz="6" w:space="0" w:color="auto"/>
            </w:tcBorders>
            <w:shd w:val="clear" w:color="auto" w:fill="67AF3C"/>
            <w:vAlign w:val="center"/>
          </w:tcPr>
          <w:p w14:paraId="217DFEBE" w14:textId="3B6EBC06" w:rsidR="001E49E7" w:rsidRPr="00A24EBA" w:rsidRDefault="003278D7" w:rsidP="002A3404">
            <w:pPr>
              <w:jc w:val="center"/>
              <w:rPr>
                <w:rFonts w:ascii="Cambria" w:hAnsi="Cambria"/>
                <w:b/>
                <w:bCs/>
                <w:color w:val="FFFFFF" w:themeColor="background1"/>
                <w:sz w:val="20"/>
                <w:szCs w:val="20"/>
              </w:rPr>
            </w:pPr>
            <w:r w:rsidRPr="002A3404">
              <w:rPr>
                <w:rFonts w:ascii="Cambria" w:hAnsi="Cambria"/>
                <w:b/>
                <w:bCs/>
                <w:color w:val="FFFFFF" w:themeColor="background1"/>
                <w:sz w:val="20"/>
                <w:szCs w:val="20"/>
              </w:rPr>
              <w:t xml:space="preserve">Additional </w:t>
            </w:r>
            <w:r w:rsidR="002A3404">
              <w:rPr>
                <w:rFonts w:ascii="Cambria" w:hAnsi="Cambria"/>
                <w:b/>
                <w:bCs/>
                <w:color w:val="FFFFFF" w:themeColor="background1"/>
                <w:sz w:val="20"/>
                <w:szCs w:val="20"/>
              </w:rPr>
              <w:t>information r</w:t>
            </w:r>
            <w:r w:rsidR="0090032F" w:rsidRPr="002A3404">
              <w:rPr>
                <w:rFonts w:ascii="Cambria" w:hAnsi="Cambria"/>
                <w:b/>
                <w:bCs/>
                <w:color w:val="FFFFFF" w:themeColor="background1"/>
                <w:sz w:val="20"/>
                <w:szCs w:val="20"/>
              </w:rPr>
              <w:t>ec</w:t>
            </w:r>
            <w:r w:rsidRPr="002A3404">
              <w:rPr>
                <w:rFonts w:ascii="Cambria" w:hAnsi="Cambria"/>
                <w:b/>
                <w:bCs/>
                <w:color w:val="FFFFFF" w:themeColor="background1"/>
                <w:sz w:val="20"/>
                <w:szCs w:val="20"/>
              </w:rPr>
              <w:t>e</w:t>
            </w:r>
            <w:r w:rsidR="0090032F" w:rsidRPr="002A3404">
              <w:rPr>
                <w:rFonts w:ascii="Cambria" w:hAnsi="Cambria"/>
                <w:b/>
                <w:bCs/>
                <w:color w:val="FFFFFF" w:themeColor="background1"/>
                <w:sz w:val="20"/>
                <w:szCs w:val="20"/>
              </w:rPr>
              <w:t>i</w:t>
            </w:r>
            <w:r w:rsidR="001F4297" w:rsidRPr="002A3404">
              <w:rPr>
                <w:rFonts w:ascii="Cambria" w:hAnsi="Cambria"/>
                <w:b/>
                <w:bCs/>
                <w:color w:val="FFFFFF" w:themeColor="background1"/>
                <w:sz w:val="20"/>
                <w:szCs w:val="20"/>
              </w:rPr>
              <w:t xml:space="preserve">ved </w:t>
            </w:r>
            <w:r w:rsidR="002A3404">
              <w:rPr>
                <w:rFonts w:ascii="Cambria" w:hAnsi="Cambria"/>
                <w:b/>
                <w:bCs/>
                <w:color w:val="FFFFFF" w:themeColor="background1"/>
                <w:sz w:val="20"/>
                <w:szCs w:val="20"/>
              </w:rPr>
              <w:t>at the stage of initial review:</w:t>
            </w:r>
          </w:p>
        </w:tc>
        <w:tc>
          <w:tcPr>
            <w:tcW w:w="5760" w:type="dxa"/>
            <w:vAlign w:val="center"/>
          </w:tcPr>
          <w:p w14:paraId="79A27A4A" w14:textId="34BB1FB1" w:rsidR="003278D7" w:rsidRPr="003278D7" w:rsidRDefault="003278D7" w:rsidP="00850BAF">
            <w:pPr>
              <w:jc w:val="both"/>
              <w:rPr>
                <w:rFonts w:ascii="Cambria" w:hAnsi="Cambria"/>
                <w:bCs/>
                <w:sz w:val="20"/>
                <w:szCs w:val="20"/>
              </w:rPr>
            </w:pPr>
            <w:r w:rsidRPr="003278D7">
              <w:rPr>
                <w:rFonts w:ascii="Cambria" w:hAnsi="Cambria"/>
                <w:bCs/>
                <w:sz w:val="20"/>
                <w:szCs w:val="20"/>
              </w:rPr>
              <w:t>January</w:t>
            </w:r>
            <w:r w:rsidR="00850BAF">
              <w:rPr>
                <w:rFonts w:ascii="Cambria" w:hAnsi="Cambria"/>
                <w:bCs/>
                <w:sz w:val="20"/>
                <w:szCs w:val="20"/>
              </w:rPr>
              <w:t xml:space="preserve"> 3</w:t>
            </w:r>
            <w:r w:rsidR="0087548C" w:rsidRPr="003278D7">
              <w:rPr>
                <w:rFonts w:ascii="Cambria" w:hAnsi="Cambria"/>
                <w:bCs/>
                <w:sz w:val="20"/>
                <w:szCs w:val="20"/>
              </w:rPr>
              <w:t xml:space="preserve">, </w:t>
            </w:r>
            <w:r w:rsidRPr="003278D7">
              <w:rPr>
                <w:rFonts w:ascii="Cambria" w:hAnsi="Cambria"/>
                <w:bCs/>
                <w:sz w:val="20"/>
                <w:szCs w:val="20"/>
              </w:rPr>
              <w:t>May</w:t>
            </w:r>
            <w:r w:rsidR="00850BAF">
              <w:rPr>
                <w:rFonts w:ascii="Cambria" w:hAnsi="Cambria"/>
                <w:bCs/>
                <w:sz w:val="20"/>
                <w:szCs w:val="20"/>
              </w:rPr>
              <w:t xml:space="preserve"> </w:t>
            </w:r>
            <w:r w:rsidR="00850BAF" w:rsidRPr="003278D7">
              <w:rPr>
                <w:rFonts w:ascii="Cambria" w:hAnsi="Cambria"/>
                <w:bCs/>
                <w:sz w:val="20"/>
                <w:szCs w:val="20"/>
              </w:rPr>
              <w:t>21</w:t>
            </w:r>
            <w:r w:rsidRPr="003278D7">
              <w:rPr>
                <w:rFonts w:ascii="Cambria" w:hAnsi="Cambria"/>
                <w:bCs/>
                <w:sz w:val="20"/>
                <w:szCs w:val="20"/>
              </w:rPr>
              <w:t>, and</w:t>
            </w:r>
            <w:r w:rsidR="0087548C" w:rsidRPr="003278D7">
              <w:rPr>
                <w:rFonts w:ascii="Cambria" w:hAnsi="Cambria"/>
                <w:bCs/>
                <w:sz w:val="20"/>
                <w:szCs w:val="20"/>
              </w:rPr>
              <w:t xml:space="preserve"> </w:t>
            </w:r>
            <w:r w:rsidRPr="003278D7">
              <w:rPr>
                <w:rFonts w:ascii="Cambria" w:hAnsi="Cambria"/>
                <w:bCs/>
                <w:sz w:val="20"/>
                <w:szCs w:val="20"/>
              </w:rPr>
              <w:t>December</w:t>
            </w:r>
            <w:r w:rsidR="00850BAF">
              <w:rPr>
                <w:rFonts w:ascii="Cambria" w:hAnsi="Cambria"/>
                <w:bCs/>
                <w:sz w:val="20"/>
                <w:szCs w:val="20"/>
              </w:rPr>
              <w:t xml:space="preserve"> </w:t>
            </w:r>
            <w:r w:rsidR="00850BAF" w:rsidRPr="003278D7">
              <w:rPr>
                <w:rFonts w:ascii="Cambria" w:hAnsi="Cambria"/>
                <w:bCs/>
                <w:sz w:val="20"/>
                <w:szCs w:val="20"/>
              </w:rPr>
              <w:t>3</w:t>
            </w:r>
            <w:r w:rsidR="00850BAF">
              <w:rPr>
                <w:rFonts w:ascii="Cambria" w:hAnsi="Cambria"/>
                <w:bCs/>
                <w:sz w:val="20"/>
                <w:szCs w:val="20"/>
              </w:rPr>
              <w:t>,</w:t>
            </w:r>
            <w:r w:rsidR="0087548C" w:rsidRPr="003278D7">
              <w:rPr>
                <w:rFonts w:ascii="Cambria" w:hAnsi="Cambria"/>
                <w:bCs/>
                <w:sz w:val="20"/>
                <w:szCs w:val="20"/>
              </w:rPr>
              <w:t xml:space="preserve"> 2009; </w:t>
            </w:r>
            <w:r w:rsidRPr="003278D7">
              <w:rPr>
                <w:rFonts w:ascii="Cambria" w:hAnsi="Cambria"/>
                <w:bCs/>
                <w:sz w:val="20"/>
                <w:szCs w:val="20"/>
              </w:rPr>
              <w:t>August</w:t>
            </w:r>
            <w:r w:rsidR="0087548C" w:rsidRPr="003278D7">
              <w:rPr>
                <w:rFonts w:ascii="Cambria" w:hAnsi="Cambria"/>
                <w:bCs/>
                <w:sz w:val="20"/>
                <w:szCs w:val="20"/>
              </w:rPr>
              <w:t xml:space="preserve"> </w:t>
            </w:r>
            <w:r w:rsidR="00850BAF" w:rsidRPr="003278D7">
              <w:rPr>
                <w:rFonts w:ascii="Cambria" w:hAnsi="Cambria"/>
                <w:bCs/>
                <w:sz w:val="20"/>
                <w:szCs w:val="20"/>
              </w:rPr>
              <w:t xml:space="preserve">26 </w:t>
            </w:r>
            <w:r w:rsidRPr="003278D7">
              <w:rPr>
                <w:rFonts w:ascii="Cambria" w:hAnsi="Cambria"/>
                <w:bCs/>
                <w:sz w:val="20"/>
                <w:szCs w:val="20"/>
              </w:rPr>
              <w:t>and</w:t>
            </w:r>
            <w:r w:rsidR="0087548C" w:rsidRPr="003278D7">
              <w:rPr>
                <w:rFonts w:ascii="Cambria" w:hAnsi="Cambria"/>
                <w:bCs/>
                <w:sz w:val="20"/>
                <w:szCs w:val="20"/>
              </w:rPr>
              <w:t xml:space="preserve"> </w:t>
            </w:r>
            <w:r w:rsidRPr="003278D7">
              <w:rPr>
                <w:rFonts w:ascii="Cambria" w:hAnsi="Cambria"/>
                <w:bCs/>
                <w:sz w:val="20"/>
                <w:szCs w:val="20"/>
              </w:rPr>
              <w:t>September</w:t>
            </w:r>
            <w:r w:rsidR="00850BAF">
              <w:rPr>
                <w:rFonts w:ascii="Cambria" w:hAnsi="Cambria"/>
                <w:bCs/>
                <w:sz w:val="20"/>
                <w:szCs w:val="20"/>
              </w:rPr>
              <w:t xml:space="preserve"> </w:t>
            </w:r>
            <w:r w:rsidR="00850BAF" w:rsidRPr="003278D7">
              <w:rPr>
                <w:rFonts w:ascii="Cambria" w:hAnsi="Cambria"/>
                <w:bCs/>
                <w:sz w:val="20"/>
                <w:szCs w:val="20"/>
              </w:rPr>
              <w:t>21</w:t>
            </w:r>
            <w:r w:rsidR="00850BAF">
              <w:rPr>
                <w:rFonts w:ascii="Cambria" w:hAnsi="Cambria"/>
                <w:bCs/>
                <w:sz w:val="20"/>
                <w:szCs w:val="20"/>
              </w:rPr>
              <w:t>,</w:t>
            </w:r>
            <w:r w:rsidR="0087548C" w:rsidRPr="003278D7">
              <w:rPr>
                <w:rFonts w:ascii="Cambria" w:hAnsi="Cambria"/>
                <w:bCs/>
                <w:sz w:val="20"/>
                <w:szCs w:val="20"/>
              </w:rPr>
              <w:t xml:space="preserve"> 2010; </w:t>
            </w:r>
            <w:r w:rsidR="001F4297">
              <w:rPr>
                <w:rFonts w:ascii="Cambria" w:hAnsi="Cambria"/>
                <w:bCs/>
                <w:sz w:val="20"/>
                <w:szCs w:val="20"/>
              </w:rPr>
              <w:t>November</w:t>
            </w:r>
            <w:r w:rsidR="00850BAF">
              <w:rPr>
                <w:rFonts w:ascii="Cambria" w:hAnsi="Cambria"/>
                <w:bCs/>
                <w:sz w:val="20"/>
                <w:szCs w:val="20"/>
              </w:rPr>
              <w:t xml:space="preserve"> </w:t>
            </w:r>
            <w:r w:rsidR="00850BAF" w:rsidRPr="003278D7">
              <w:rPr>
                <w:rFonts w:ascii="Cambria" w:hAnsi="Cambria"/>
                <w:bCs/>
                <w:sz w:val="20"/>
                <w:szCs w:val="20"/>
              </w:rPr>
              <w:t>29</w:t>
            </w:r>
            <w:r w:rsidR="00850BAF">
              <w:rPr>
                <w:rFonts w:ascii="Cambria" w:hAnsi="Cambria"/>
                <w:bCs/>
                <w:sz w:val="20"/>
                <w:szCs w:val="20"/>
              </w:rPr>
              <w:t>,</w:t>
            </w:r>
            <w:r w:rsidR="0087548C" w:rsidRPr="003278D7">
              <w:rPr>
                <w:rFonts w:ascii="Cambria" w:hAnsi="Cambria"/>
                <w:bCs/>
                <w:sz w:val="20"/>
                <w:szCs w:val="20"/>
              </w:rPr>
              <w:t xml:space="preserve"> 2011; </w:t>
            </w:r>
            <w:r w:rsidR="001F4297">
              <w:rPr>
                <w:rFonts w:ascii="Cambria" w:hAnsi="Cambria"/>
                <w:bCs/>
                <w:sz w:val="20"/>
                <w:szCs w:val="20"/>
              </w:rPr>
              <w:t>January</w:t>
            </w:r>
            <w:r w:rsidR="00850BAF" w:rsidRPr="003278D7">
              <w:rPr>
                <w:rFonts w:ascii="Cambria" w:hAnsi="Cambria"/>
                <w:bCs/>
                <w:sz w:val="20"/>
                <w:szCs w:val="20"/>
              </w:rPr>
              <w:t xml:space="preserve"> 30</w:t>
            </w:r>
            <w:r w:rsidR="00850BAF">
              <w:rPr>
                <w:rFonts w:ascii="Cambria" w:hAnsi="Cambria"/>
                <w:bCs/>
                <w:sz w:val="20"/>
                <w:szCs w:val="20"/>
              </w:rPr>
              <w:t xml:space="preserve">, </w:t>
            </w:r>
            <w:r w:rsidR="0087548C" w:rsidRPr="003278D7">
              <w:rPr>
                <w:rFonts w:ascii="Cambria" w:hAnsi="Cambria"/>
                <w:bCs/>
                <w:sz w:val="20"/>
                <w:szCs w:val="20"/>
              </w:rPr>
              <w:t>2012</w:t>
            </w:r>
          </w:p>
        </w:tc>
      </w:tr>
      <w:tr w:rsidR="004C2312" w:rsidRPr="007C15C2" w14:paraId="67E99B81" w14:textId="77777777" w:rsidTr="00A24EBA">
        <w:tc>
          <w:tcPr>
            <w:tcW w:w="3600" w:type="dxa"/>
            <w:tcBorders>
              <w:top w:val="single" w:sz="6" w:space="0" w:color="auto"/>
              <w:bottom w:val="single" w:sz="6" w:space="0" w:color="auto"/>
            </w:tcBorders>
            <w:shd w:val="clear" w:color="auto" w:fill="67AF3C"/>
            <w:vAlign w:val="center"/>
          </w:tcPr>
          <w:p w14:paraId="7F03F826" w14:textId="26B5CEB4" w:rsidR="004C2312" w:rsidRPr="00A24EBA" w:rsidRDefault="008D6A8A" w:rsidP="00A37F2E">
            <w:pPr>
              <w:jc w:val="center"/>
              <w:rPr>
                <w:rFonts w:ascii="Cambria" w:hAnsi="Cambria"/>
                <w:b/>
                <w:color w:val="FFFFFF" w:themeColor="background1"/>
                <w:sz w:val="20"/>
                <w:szCs w:val="20"/>
              </w:rPr>
            </w:pPr>
            <w:r>
              <w:rPr>
                <w:rFonts w:ascii="Cambria" w:hAnsi="Cambria"/>
                <w:b/>
                <w:color w:val="FFFFFF" w:themeColor="background1"/>
                <w:sz w:val="20"/>
                <w:szCs w:val="20"/>
              </w:rPr>
              <w:t>Notification of the petition to the State</w:t>
            </w:r>
            <w:r w:rsidR="004C2312" w:rsidRPr="00A24EBA">
              <w:rPr>
                <w:rFonts w:ascii="Cambria" w:hAnsi="Cambria"/>
                <w:b/>
                <w:color w:val="FFFFFF" w:themeColor="background1"/>
                <w:sz w:val="20"/>
                <w:szCs w:val="20"/>
              </w:rPr>
              <w:t>:</w:t>
            </w:r>
          </w:p>
        </w:tc>
        <w:tc>
          <w:tcPr>
            <w:tcW w:w="5760" w:type="dxa"/>
            <w:vAlign w:val="center"/>
          </w:tcPr>
          <w:p w14:paraId="5653CCEE" w14:textId="11C04B96" w:rsidR="004C2312" w:rsidRPr="003278D7" w:rsidRDefault="003278D7" w:rsidP="003278D7">
            <w:pPr>
              <w:jc w:val="both"/>
              <w:rPr>
                <w:rFonts w:ascii="Cambria" w:hAnsi="Cambria"/>
                <w:bCs/>
                <w:sz w:val="20"/>
                <w:szCs w:val="20"/>
              </w:rPr>
            </w:pPr>
            <w:r w:rsidRPr="003278D7">
              <w:rPr>
                <w:rFonts w:ascii="Cambria" w:hAnsi="Cambria"/>
                <w:bCs/>
                <w:sz w:val="20"/>
                <w:szCs w:val="20"/>
              </w:rPr>
              <w:t>June</w:t>
            </w:r>
            <w:r w:rsidR="00850BAF">
              <w:rPr>
                <w:rFonts w:ascii="Cambria" w:hAnsi="Cambria"/>
                <w:bCs/>
                <w:sz w:val="20"/>
                <w:szCs w:val="20"/>
              </w:rPr>
              <w:t xml:space="preserve"> 19,</w:t>
            </w:r>
            <w:r w:rsidR="0087548C" w:rsidRPr="003278D7">
              <w:rPr>
                <w:rFonts w:ascii="Cambria" w:hAnsi="Cambria"/>
                <w:bCs/>
                <w:sz w:val="20"/>
                <w:szCs w:val="20"/>
              </w:rPr>
              <w:t xml:space="preserve"> 2013</w:t>
            </w:r>
          </w:p>
        </w:tc>
      </w:tr>
      <w:tr w:rsidR="004C2312" w:rsidRPr="00A75CC3" w14:paraId="4B5C7820" w14:textId="77777777" w:rsidTr="00A24EBA">
        <w:tc>
          <w:tcPr>
            <w:tcW w:w="3600" w:type="dxa"/>
            <w:tcBorders>
              <w:top w:val="single" w:sz="6" w:space="0" w:color="auto"/>
              <w:bottom w:val="single" w:sz="6" w:space="0" w:color="auto"/>
            </w:tcBorders>
            <w:shd w:val="clear" w:color="auto" w:fill="67AF3C"/>
            <w:vAlign w:val="center"/>
          </w:tcPr>
          <w:p w14:paraId="07FF83ED" w14:textId="2D983E65" w:rsidR="004C2312" w:rsidRPr="00A24EBA" w:rsidRDefault="008D6A8A" w:rsidP="004A6A54">
            <w:pPr>
              <w:jc w:val="center"/>
              <w:rPr>
                <w:rFonts w:ascii="Cambria" w:hAnsi="Cambria"/>
                <w:b/>
                <w:bCs/>
                <w:color w:val="FFFFFF" w:themeColor="background1"/>
                <w:sz w:val="20"/>
                <w:szCs w:val="20"/>
              </w:rPr>
            </w:pPr>
            <w:r>
              <w:rPr>
                <w:rFonts w:ascii="Cambria" w:hAnsi="Cambria"/>
                <w:b/>
                <w:color w:val="FFFFFF" w:themeColor="background1"/>
                <w:sz w:val="20"/>
                <w:szCs w:val="20"/>
              </w:rPr>
              <w:t>State’s first r</w:t>
            </w:r>
            <w:r w:rsidR="003278D7" w:rsidRPr="00A24EBA">
              <w:rPr>
                <w:rFonts w:ascii="Cambria" w:hAnsi="Cambria"/>
                <w:b/>
                <w:color w:val="FFFFFF" w:themeColor="background1"/>
                <w:sz w:val="20"/>
                <w:szCs w:val="20"/>
              </w:rPr>
              <w:t>esponse</w:t>
            </w:r>
            <w:r w:rsidR="004C2312" w:rsidRPr="00A24EBA">
              <w:rPr>
                <w:rFonts w:ascii="Cambria" w:hAnsi="Cambria"/>
                <w:b/>
                <w:color w:val="FFFFFF" w:themeColor="background1"/>
                <w:sz w:val="20"/>
                <w:szCs w:val="20"/>
              </w:rPr>
              <w:t>:</w:t>
            </w:r>
          </w:p>
        </w:tc>
        <w:tc>
          <w:tcPr>
            <w:tcW w:w="5760" w:type="dxa"/>
            <w:vAlign w:val="center"/>
          </w:tcPr>
          <w:p w14:paraId="7074C953" w14:textId="4E657BC1" w:rsidR="004C2312" w:rsidRPr="003278D7" w:rsidRDefault="003278D7" w:rsidP="003278D7">
            <w:pPr>
              <w:jc w:val="both"/>
              <w:rPr>
                <w:rFonts w:ascii="Cambria" w:hAnsi="Cambria"/>
                <w:bCs/>
                <w:sz w:val="20"/>
                <w:szCs w:val="20"/>
              </w:rPr>
            </w:pPr>
            <w:r w:rsidRPr="003278D7">
              <w:rPr>
                <w:rFonts w:ascii="Cambria" w:hAnsi="Cambria"/>
                <w:bCs/>
                <w:sz w:val="20"/>
                <w:szCs w:val="20"/>
              </w:rPr>
              <w:t>April</w:t>
            </w:r>
            <w:r w:rsidR="00850BAF">
              <w:rPr>
                <w:rFonts w:ascii="Cambria" w:hAnsi="Cambria"/>
                <w:bCs/>
                <w:sz w:val="20"/>
                <w:szCs w:val="20"/>
              </w:rPr>
              <w:t xml:space="preserve"> 9,</w:t>
            </w:r>
            <w:r w:rsidR="0087548C" w:rsidRPr="003278D7">
              <w:rPr>
                <w:rFonts w:ascii="Cambria" w:hAnsi="Cambria"/>
                <w:bCs/>
                <w:sz w:val="20"/>
                <w:szCs w:val="20"/>
              </w:rPr>
              <w:t xml:space="preserve"> 2014</w:t>
            </w:r>
          </w:p>
        </w:tc>
      </w:tr>
      <w:tr w:rsidR="004C2312" w:rsidRPr="007C15C2" w14:paraId="02B335E2" w14:textId="77777777" w:rsidTr="00A24EBA">
        <w:tc>
          <w:tcPr>
            <w:tcW w:w="3600" w:type="dxa"/>
            <w:tcBorders>
              <w:top w:val="single" w:sz="6" w:space="0" w:color="auto"/>
              <w:bottom w:val="single" w:sz="6" w:space="0" w:color="auto"/>
            </w:tcBorders>
            <w:shd w:val="clear" w:color="auto" w:fill="67AF3C"/>
            <w:vAlign w:val="center"/>
          </w:tcPr>
          <w:p w14:paraId="357950F2" w14:textId="63A0B15E" w:rsidR="004C2312" w:rsidRPr="00A24EBA" w:rsidRDefault="008D6A8A" w:rsidP="008D6A8A">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w:t>
            </w:r>
            <w:r w:rsidR="003278D7" w:rsidRPr="00A24EBA">
              <w:rPr>
                <w:rFonts w:ascii="Cambria" w:hAnsi="Cambria"/>
                <w:b/>
                <w:bCs/>
                <w:color w:val="FFFFFF" w:themeColor="background1"/>
                <w:sz w:val="20"/>
                <w:szCs w:val="20"/>
              </w:rPr>
              <w:t xml:space="preserve">bservations </w:t>
            </w:r>
            <w:r>
              <w:rPr>
                <w:rFonts w:ascii="Cambria" w:hAnsi="Cambria"/>
                <w:b/>
                <w:bCs/>
                <w:color w:val="FFFFFF" w:themeColor="background1"/>
                <w:sz w:val="20"/>
                <w:szCs w:val="20"/>
              </w:rPr>
              <w:t>from the petitioner:</w:t>
            </w:r>
          </w:p>
        </w:tc>
        <w:tc>
          <w:tcPr>
            <w:tcW w:w="5760" w:type="dxa"/>
            <w:vAlign w:val="center"/>
          </w:tcPr>
          <w:p w14:paraId="0A232E48" w14:textId="12E8DBA6" w:rsidR="004C2312" w:rsidRPr="003278D7" w:rsidRDefault="003278D7" w:rsidP="003278D7">
            <w:pPr>
              <w:jc w:val="both"/>
              <w:rPr>
                <w:rFonts w:ascii="Cambria" w:hAnsi="Cambria"/>
                <w:bCs/>
                <w:sz w:val="20"/>
                <w:szCs w:val="20"/>
              </w:rPr>
            </w:pPr>
            <w:r w:rsidRPr="003278D7">
              <w:rPr>
                <w:rFonts w:ascii="Cambria" w:hAnsi="Cambria"/>
                <w:bCs/>
                <w:sz w:val="20"/>
                <w:szCs w:val="20"/>
              </w:rPr>
              <w:t>March</w:t>
            </w:r>
            <w:r w:rsidR="00850BAF">
              <w:rPr>
                <w:rFonts w:ascii="Cambria" w:hAnsi="Cambria"/>
                <w:bCs/>
                <w:sz w:val="20"/>
                <w:szCs w:val="20"/>
              </w:rPr>
              <w:t xml:space="preserve"> 24,</w:t>
            </w:r>
            <w:r w:rsidR="0032452E" w:rsidRPr="003278D7">
              <w:rPr>
                <w:rFonts w:ascii="Cambria" w:hAnsi="Cambria"/>
                <w:bCs/>
                <w:sz w:val="20"/>
                <w:szCs w:val="20"/>
              </w:rPr>
              <w:t xml:space="preserve"> 2015</w:t>
            </w:r>
          </w:p>
        </w:tc>
      </w:tr>
      <w:tr w:rsidR="004C2312" w:rsidRPr="00B22E46" w14:paraId="6D7B4AD9" w14:textId="77777777" w:rsidTr="00A24EBA">
        <w:tc>
          <w:tcPr>
            <w:tcW w:w="3600" w:type="dxa"/>
            <w:tcBorders>
              <w:top w:val="single" w:sz="6" w:space="0" w:color="auto"/>
              <w:bottom w:val="single" w:sz="6" w:space="0" w:color="auto"/>
            </w:tcBorders>
            <w:shd w:val="clear" w:color="auto" w:fill="67AF3C"/>
            <w:vAlign w:val="center"/>
          </w:tcPr>
          <w:p w14:paraId="3026DBA5" w14:textId="7A5085EE" w:rsidR="004C2312" w:rsidRPr="00A24EBA" w:rsidRDefault="008D6A8A" w:rsidP="008D6A8A">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w:t>
            </w:r>
            <w:r w:rsidR="003278D7" w:rsidRPr="00A24EBA">
              <w:rPr>
                <w:rFonts w:ascii="Cambria" w:hAnsi="Cambria"/>
                <w:b/>
                <w:bCs/>
                <w:color w:val="FFFFFF" w:themeColor="background1"/>
                <w:sz w:val="20"/>
                <w:szCs w:val="20"/>
              </w:rPr>
              <w:t xml:space="preserve">bservations </w:t>
            </w:r>
            <w:r>
              <w:rPr>
                <w:rFonts w:ascii="Cambria" w:hAnsi="Cambria"/>
                <w:b/>
                <w:bCs/>
                <w:color w:val="FFFFFF" w:themeColor="background1"/>
                <w:sz w:val="20"/>
                <w:szCs w:val="20"/>
              </w:rPr>
              <w:t xml:space="preserve">from </w:t>
            </w:r>
            <w:r w:rsidR="003278D7" w:rsidRPr="00A24EBA">
              <w:rPr>
                <w:rFonts w:ascii="Cambria" w:hAnsi="Cambria"/>
                <w:b/>
                <w:bCs/>
                <w:color w:val="FFFFFF" w:themeColor="background1"/>
                <w:sz w:val="20"/>
                <w:szCs w:val="20"/>
              </w:rPr>
              <w:t>the State</w:t>
            </w:r>
            <w:r w:rsidR="004C2312" w:rsidRPr="00A24EBA">
              <w:rPr>
                <w:rFonts w:ascii="Cambria" w:hAnsi="Cambria"/>
                <w:b/>
                <w:bCs/>
                <w:color w:val="FFFFFF" w:themeColor="background1"/>
                <w:sz w:val="20"/>
                <w:szCs w:val="20"/>
              </w:rPr>
              <w:t>:</w:t>
            </w:r>
          </w:p>
        </w:tc>
        <w:tc>
          <w:tcPr>
            <w:tcW w:w="5760" w:type="dxa"/>
            <w:vAlign w:val="center"/>
          </w:tcPr>
          <w:p w14:paraId="5DC519CA" w14:textId="704F6012" w:rsidR="004C2312" w:rsidRPr="003278D7" w:rsidRDefault="003278D7" w:rsidP="00850BAF">
            <w:pPr>
              <w:jc w:val="both"/>
              <w:rPr>
                <w:rFonts w:ascii="Cambria" w:hAnsi="Cambria"/>
                <w:bCs/>
                <w:sz w:val="20"/>
                <w:szCs w:val="20"/>
              </w:rPr>
            </w:pPr>
            <w:r w:rsidRPr="003278D7">
              <w:rPr>
                <w:rFonts w:ascii="Cambria" w:hAnsi="Cambria"/>
                <w:bCs/>
                <w:sz w:val="20"/>
                <w:szCs w:val="20"/>
              </w:rPr>
              <w:t>April</w:t>
            </w:r>
            <w:r w:rsidR="00850BAF">
              <w:rPr>
                <w:rFonts w:ascii="Cambria" w:hAnsi="Cambria"/>
                <w:bCs/>
                <w:sz w:val="20"/>
                <w:szCs w:val="20"/>
              </w:rPr>
              <w:t xml:space="preserve"> 15,</w:t>
            </w:r>
            <w:r w:rsidRPr="003278D7">
              <w:rPr>
                <w:rFonts w:ascii="Cambria" w:hAnsi="Cambria"/>
                <w:bCs/>
                <w:sz w:val="20"/>
                <w:szCs w:val="20"/>
              </w:rPr>
              <w:t xml:space="preserve"> 2014; May</w:t>
            </w:r>
            <w:r w:rsidR="00850BAF">
              <w:rPr>
                <w:rFonts w:ascii="Cambria" w:hAnsi="Cambria"/>
                <w:bCs/>
                <w:sz w:val="20"/>
                <w:szCs w:val="20"/>
              </w:rPr>
              <w:t xml:space="preserve"> 18,</w:t>
            </w:r>
            <w:r w:rsidR="0032452E" w:rsidRPr="003278D7">
              <w:rPr>
                <w:rFonts w:ascii="Cambria" w:hAnsi="Cambria"/>
                <w:bCs/>
                <w:sz w:val="20"/>
                <w:szCs w:val="20"/>
              </w:rPr>
              <w:t xml:space="preserve"> 2015</w:t>
            </w:r>
          </w:p>
        </w:tc>
      </w:tr>
      <w:tr w:rsidR="001E49E7" w:rsidRPr="00A75CC3" w14:paraId="556365F3" w14:textId="77777777" w:rsidTr="00A24EBA">
        <w:tc>
          <w:tcPr>
            <w:tcW w:w="3600" w:type="dxa"/>
            <w:tcBorders>
              <w:top w:val="single" w:sz="6" w:space="0" w:color="auto"/>
              <w:bottom w:val="single" w:sz="6" w:space="0" w:color="auto"/>
            </w:tcBorders>
            <w:shd w:val="clear" w:color="auto" w:fill="67AF3C"/>
            <w:vAlign w:val="center"/>
          </w:tcPr>
          <w:p w14:paraId="2DF35953" w14:textId="6450FE64" w:rsidR="001E49E7" w:rsidRPr="002A3404" w:rsidRDefault="001F4297" w:rsidP="0081569D">
            <w:pPr>
              <w:jc w:val="center"/>
              <w:rPr>
                <w:rFonts w:ascii="Cambria" w:hAnsi="Cambria"/>
                <w:b/>
                <w:bCs/>
                <w:color w:val="FFFFFF" w:themeColor="background1"/>
                <w:sz w:val="20"/>
                <w:szCs w:val="20"/>
              </w:rPr>
            </w:pPr>
            <w:r w:rsidRPr="002A3404">
              <w:rPr>
                <w:rFonts w:ascii="Cambria" w:hAnsi="Cambria"/>
                <w:b/>
                <w:bCs/>
                <w:color w:val="FFFFFF" w:themeColor="background1"/>
                <w:sz w:val="20"/>
                <w:szCs w:val="20"/>
              </w:rPr>
              <w:t>Notification</w:t>
            </w:r>
            <w:r w:rsidR="0081569D">
              <w:rPr>
                <w:rFonts w:ascii="Cambria" w:hAnsi="Cambria"/>
                <w:b/>
                <w:bCs/>
                <w:color w:val="FFFFFF" w:themeColor="background1"/>
                <w:sz w:val="20"/>
                <w:szCs w:val="20"/>
              </w:rPr>
              <w:t xml:space="preserve"> on the possible archiving of the petition</w:t>
            </w:r>
            <w:r w:rsidR="001E49E7" w:rsidRPr="002A3404">
              <w:rPr>
                <w:rFonts w:ascii="Cambria" w:hAnsi="Cambria"/>
                <w:b/>
                <w:bCs/>
                <w:color w:val="FFFFFF" w:themeColor="background1"/>
                <w:sz w:val="20"/>
                <w:szCs w:val="20"/>
              </w:rPr>
              <w:t>:</w:t>
            </w:r>
          </w:p>
        </w:tc>
        <w:tc>
          <w:tcPr>
            <w:tcW w:w="5760" w:type="dxa"/>
            <w:vAlign w:val="center"/>
          </w:tcPr>
          <w:p w14:paraId="6BB68D9B" w14:textId="67B9071E" w:rsidR="001E49E7" w:rsidRPr="003278D7" w:rsidRDefault="003278D7" w:rsidP="003278D7">
            <w:pPr>
              <w:jc w:val="both"/>
              <w:rPr>
                <w:rFonts w:ascii="Cambria" w:hAnsi="Cambria"/>
                <w:bCs/>
                <w:sz w:val="20"/>
                <w:szCs w:val="20"/>
              </w:rPr>
            </w:pPr>
            <w:r w:rsidRPr="003278D7">
              <w:rPr>
                <w:rFonts w:ascii="Cambria" w:hAnsi="Cambria"/>
                <w:bCs/>
                <w:sz w:val="20"/>
                <w:szCs w:val="20"/>
              </w:rPr>
              <w:t>July</w:t>
            </w:r>
            <w:r w:rsidR="00850BAF">
              <w:rPr>
                <w:rFonts w:ascii="Cambria" w:hAnsi="Cambria"/>
                <w:bCs/>
                <w:sz w:val="20"/>
                <w:szCs w:val="20"/>
              </w:rPr>
              <w:t xml:space="preserve"> 5,</w:t>
            </w:r>
            <w:r w:rsidR="0032452E" w:rsidRPr="003278D7">
              <w:rPr>
                <w:rFonts w:ascii="Cambria" w:hAnsi="Cambria"/>
                <w:bCs/>
                <w:sz w:val="20"/>
                <w:szCs w:val="20"/>
              </w:rPr>
              <w:t xml:space="preserve"> 2018</w:t>
            </w:r>
          </w:p>
        </w:tc>
      </w:tr>
      <w:tr w:rsidR="001E49E7" w:rsidRPr="007C15C2" w14:paraId="13EDF43E" w14:textId="77777777" w:rsidTr="00A24EBA">
        <w:tc>
          <w:tcPr>
            <w:tcW w:w="3600" w:type="dxa"/>
            <w:tcBorders>
              <w:top w:val="single" w:sz="6" w:space="0" w:color="auto"/>
              <w:bottom w:val="single" w:sz="6" w:space="0" w:color="auto"/>
            </w:tcBorders>
            <w:shd w:val="clear" w:color="auto" w:fill="67AF3C"/>
            <w:vAlign w:val="center"/>
          </w:tcPr>
          <w:p w14:paraId="614AF1D1" w14:textId="1DF0E640" w:rsidR="001E49E7" w:rsidRPr="002A3404" w:rsidRDefault="0081569D" w:rsidP="0081569D">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w:t>
            </w:r>
            <w:r w:rsidRPr="002A3404">
              <w:rPr>
                <w:rFonts w:ascii="Cambria" w:hAnsi="Cambria"/>
                <w:b/>
                <w:bCs/>
                <w:color w:val="FFFFFF" w:themeColor="background1"/>
                <w:sz w:val="20"/>
                <w:szCs w:val="20"/>
              </w:rPr>
              <w:t>otification</w:t>
            </w:r>
            <w:r>
              <w:rPr>
                <w:rFonts w:ascii="Cambria" w:hAnsi="Cambria"/>
                <w:b/>
                <w:bCs/>
                <w:color w:val="FFFFFF" w:themeColor="background1"/>
                <w:sz w:val="20"/>
                <w:szCs w:val="20"/>
              </w:rPr>
              <w:t xml:space="preserve"> on the possible archiving of the petition</w:t>
            </w:r>
            <w:r w:rsidRPr="002A3404">
              <w:rPr>
                <w:rFonts w:ascii="Cambria" w:hAnsi="Cambria"/>
                <w:b/>
                <w:bCs/>
                <w:color w:val="FFFFFF" w:themeColor="background1"/>
                <w:sz w:val="20"/>
                <w:szCs w:val="20"/>
              </w:rPr>
              <w:t>:</w:t>
            </w:r>
          </w:p>
        </w:tc>
        <w:tc>
          <w:tcPr>
            <w:tcW w:w="5760" w:type="dxa"/>
            <w:vAlign w:val="center"/>
          </w:tcPr>
          <w:p w14:paraId="132BD744" w14:textId="712C6EFD" w:rsidR="001E49E7" w:rsidRPr="003278D7" w:rsidRDefault="003278D7" w:rsidP="000B2504">
            <w:pPr>
              <w:jc w:val="both"/>
              <w:rPr>
                <w:rFonts w:ascii="Cambria" w:hAnsi="Cambria"/>
                <w:bCs/>
                <w:sz w:val="20"/>
                <w:szCs w:val="20"/>
              </w:rPr>
            </w:pPr>
            <w:r w:rsidRPr="003278D7">
              <w:rPr>
                <w:rFonts w:ascii="Cambria" w:hAnsi="Cambria"/>
                <w:bCs/>
                <w:sz w:val="20"/>
                <w:szCs w:val="20"/>
              </w:rPr>
              <w:t>July</w:t>
            </w:r>
            <w:r w:rsidR="00850BAF">
              <w:rPr>
                <w:rFonts w:ascii="Cambria" w:hAnsi="Cambria"/>
                <w:bCs/>
                <w:sz w:val="20"/>
                <w:szCs w:val="20"/>
              </w:rPr>
              <w:t xml:space="preserve"> 19,</w:t>
            </w:r>
            <w:r w:rsidR="0032452E" w:rsidRPr="003278D7">
              <w:rPr>
                <w:rFonts w:ascii="Cambria" w:hAnsi="Cambria"/>
                <w:bCs/>
                <w:sz w:val="20"/>
                <w:szCs w:val="20"/>
              </w:rPr>
              <w:t xml:space="preserve"> 2018</w:t>
            </w:r>
          </w:p>
        </w:tc>
      </w:tr>
    </w:tbl>
    <w:p w14:paraId="2ABFAC44" w14:textId="34FEAA7C" w:rsidR="003239B8" w:rsidRPr="005512ED" w:rsidRDefault="00D358AF"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r>
      <w:r w:rsidR="005512ED" w:rsidRPr="005512ED">
        <w:rPr>
          <w:rFonts w:asciiTheme="majorHAnsi" w:hAnsiTheme="majorHAnsi"/>
          <w:b/>
          <w:bCs/>
          <w:sz w:val="20"/>
          <w:szCs w:val="20"/>
        </w:rPr>
        <w:t>JURISDICTION</w:t>
      </w:r>
      <w:r w:rsidR="00EE00E9" w:rsidRPr="005512ED">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512ED" w14:paraId="2C525161" w14:textId="77777777" w:rsidTr="00A24EBA">
        <w:trPr>
          <w:cantSplit/>
        </w:trPr>
        <w:tc>
          <w:tcPr>
            <w:tcW w:w="3600" w:type="dxa"/>
            <w:tcBorders>
              <w:top w:val="single" w:sz="4" w:space="0" w:color="auto"/>
              <w:bottom w:val="single" w:sz="6" w:space="0" w:color="auto"/>
            </w:tcBorders>
            <w:shd w:val="clear" w:color="auto" w:fill="67AF3C"/>
            <w:vAlign w:val="center"/>
          </w:tcPr>
          <w:p w14:paraId="164079F5" w14:textId="287676D7" w:rsidR="003239B8" w:rsidRPr="00A24EBA" w:rsidRDefault="008D6A8A" w:rsidP="005512ED">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5512ED" w:rsidRPr="00A24EBA">
              <w:rPr>
                <w:rFonts w:ascii="Cambria" w:hAnsi="Cambria"/>
                <w:b/>
                <w:bCs/>
                <w:i/>
                <w:color w:val="FFFFFF" w:themeColor="background1"/>
                <w:sz w:val="20"/>
                <w:szCs w:val="20"/>
              </w:rPr>
              <w:t xml:space="preserve"> </w:t>
            </w:r>
            <w:r w:rsidR="003239B8" w:rsidRPr="00A24EBA">
              <w:rPr>
                <w:rFonts w:ascii="Cambria" w:hAnsi="Cambria"/>
                <w:b/>
                <w:bCs/>
                <w:i/>
                <w:color w:val="FFFFFF" w:themeColor="background1"/>
                <w:sz w:val="20"/>
                <w:szCs w:val="20"/>
              </w:rPr>
              <w:t xml:space="preserve">Ratione </w:t>
            </w:r>
            <w:r w:rsidR="006E7949">
              <w:rPr>
                <w:rFonts w:ascii="Cambria" w:hAnsi="Cambria"/>
                <w:b/>
                <w:bCs/>
                <w:i/>
                <w:color w:val="FFFFFF" w:themeColor="background1"/>
                <w:sz w:val="20"/>
                <w:szCs w:val="20"/>
              </w:rPr>
              <w:t>p</w:t>
            </w:r>
            <w:r w:rsidR="003239B8" w:rsidRPr="00A24EBA">
              <w:rPr>
                <w:rFonts w:ascii="Cambria" w:hAnsi="Cambria"/>
                <w:b/>
                <w:bCs/>
                <w:i/>
                <w:color w:val="FFFFFF" w:themeColor="background1"/>
                <w:sz w:val="20"/>
                <w:szCs w:val="20"/>
              </w:rPr>
              <w:t>ersonae</w:t>
            </w:r>
            <w:r w:rsidR="003239B8" w:rsidRPr="00A24EBA">
              <w:rPr>
                <w:rFonts w:ascii="Cambria" w:hAnsi="Cambria"/>
                <w:b/>
                <w:bCs/>
                <w:color w:val="FFFFFF" w:themeColor="background1"/>
                <w:sz w:val="20"/>
                <w:szCs w:val="20"/>
              </w:rPr>
              <w:t>:</w:t>
            </w:r>
          </w:p>
        </w:tc>
        <w:tc>
          <w:tcPr>
            <w:tcW w:w="5760" w:type="dxa"/>
            <w:vAlign w:val="center"/>
          </w:tcPr>
          <w:p w14:paraId="429369E5" w14:textId="7103B14A" w:rsidR="003239B8" w:rsidRPr="005512ED" w:rsidRDefault="005512ED" w:rsidP="000B2504">
            <w:pPr>
              <w:rPr>
                <w:rFonts w:ascii="Cambria" w:hAnsi="Cambria"/>
                <w:bCs/>
                <w:sz w:val="20"/>
                <w:szCs w:val="20"/>
              </w:rPr>
            </w:pPr>
            <w:r w:rsidRPr="005512ED">
              <w:rPr>
                <w:rFonts w:ascii="Cambria" w:hAnsi="Cambria"/>
                <w:bCs/>
                <w:sz w:val="20"/>
                <w:szCs w:val="20"/>
              </w:rPr>
              <w:t>Yes</w:t>
            </w:r>
          </w:p>
        </w:tc>
      </w:tr>
      <w:tr w:rsidR="003239B8" w:rsidRPr="005512ED" w14:paraId="1444AF7C" w14:textId="77777777" w:rsidTr="00A24EBA">
        <w:trPr>
          <w:cantSplit/>
        </w:trPr>
        <w:tc>
          <w:tcPr>
            <w:tcW w:w="3600" w:type="dxa"/>
            <w:tcBorders>
              <w:top w:val="single" w:sz="6" w:space="0" w:color="auto"/>
              <w:bottom w:val="single" w:sz="6" w:space="0" w:color="auto"/>
            </w:tcBorders>
            <w:shd w:val="clear" w:color="auto" w:fill="67AF3C"/>
            <w:vAlign w:val="center"/>
          </w:tcPr>
          <w:p w14:paraId="6D08D23F" w14:textId="6928EF9A" w:rsidR="003239B8" w:rsidRPr="00A24EBA" w:rsidRDefault="008D6A8A" w:rsidP="000B2504">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Pr="00A24EBA">
              <w:rPr>
                <w:rFonts w:ascii="Cambria" w:hAnsi="Cambria"/>
                <w:b/>
                <w:bCs/>
                <w:i/>
                <w:color w:val="FFFFFF" w:themeColor="background1"/>
                <w:sz w:val="20"/>
                <w:szCs w:val="20"/>
              </w:rPr>
              <w:t xml:space="preserve"> </w:t>
            </w:r>
            <w:r w:rsidR="003239B8" w:rsidRPr="00A24EBA">
              <w:rPr>
                <w:rFonts w:ascii="Cambria" w:hAnsi="Cambria"/>
                <w:b/>
                <w:bCs/>
                <w:i/>
                <w:color w:val="FFFFFF" w:themeColor="background1"/>
                <w:sz w:val="20"/>
                <w:szCs w:val="20"/>
              </w:rPr>
              <w:t>Ratione loci</w:t>
            </w:r>
            <w:r w:rsidR="003239B8" w:rsidRPr="00A24EBA">
              <w:rPr>
                <w:rFonts w:ascii="Cambria" w:hAnsi="Cambria"/>
                <w:b/>
                <w:bCs/>
                <w:color w:val="FFFFFF" w:themeColor="background1"/>
                <w:sz w:val="20"/>
                <w:szCs w:val="20"/>
              </w:rPr>
              <w:t>:</w:t>
            </w:r>
          </w:p>
        </w:tc>
        <w:tc>
          <w:tcPr>
            <w:tcW w:w="5760" w:type="dxa"/>
            <w:vAlign w:val="center"/>
          </w:tcPr>
          <w:p w14:paraId="0676BD31" w14:textId="396A7868" w:rsidR="003239B8" w:rsidRPr="005512ED" w:rsidRDefault="005512ED" w:rsidP="000B2504">
            <w:pPr>
              <w:rPr>
                <w:rFonts w:ascii="Cambria" w:hAnsi="Cambria"/>
                <w:bCs/>
                <w:sz w:val="20"/>
                <w:szCs w:val="20"/>
              </w:rPr>
            </w:pPr>
            <w:r w:rsidRPr="005512ED">
              <w:rPr>
                <w:rFonts w:ascii="Cambria" w:hAnsi="Cambria"/>
                <w:bCs/>
                <w:sz w:val="20"/>
                <w:szCs w:val="20"/>
              </w:rPr>
              <w:t>Yes</w:t>
            </w:r>
          </w:p>
        </w:tc>
      </w:tr>
      <w:tr w:rsidR="003239B8" w:rsidRPr="005512ED" w14:paraId="7FCD2C02" w14:textId="77777777" w:rsidTr="00A24EBA">
        <w:trPr>
          <w:cantSplit/>
        </w:trPr>
        <w:tc>
          <w:tcPr>
            <w:tcW w:w="3600" w:type="dxa"/>
            <w:tcBorders>
              <w:top w:val="single" w:sz="6" w:space="0" w:color="auto"/>
              <w:bottom w:val="single" w:sz="6" w:space="0" w:color="auto"/>
            </w:tcBorders>
            <w:shd w:val="clear" w:color="auto" w:fill="67AF3C"/>
            <w:vAlign w:val="center"/>
          </w:tcPr>
          <w:p w14:paraId="2A0CE1BE" w14:textId="69D11019" w:rsidR="003239B8" w:rsidRPr="00A24EBA" w:rsidRDefault="008D6A8A" w:rsidP="000B2504">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Pr="00A24EBA">
              <w:rPr>
                <w:rFonts w:ascii="Cambria" w:hAnsi="Cambria"/>
                <w:b/>
                <w:bCs/>
                <w:i/>
                <w:color w:val="FFFFFF" w:themeColor="background1"/>
                <w:sz w:val="20"/>
                <w:szCs w:val="20"/>
              </w:rPr>
              <w:t xml:space="preserve"> </w:t>
            </w:r>
            <w:proofErr w:type="spellStart"/>
            <w:r w:rsidR="003239B8" w:rsidRPr="00A24EBA">
              <w:rPr>
                <w:rFonts w:ascii="Cambria" w:hAnsi="Cambria"/>
                <w:b/>
                <w:bCs/>
                <w:i/>
                <w:color w:val="FFFFFF" w:themeColor="background1"/>
                <w:sz w:val="20"/>
                <w:szCs w:val="20"/>
              </w:rPr>
              <w:t>Ratione</w:t>
            </w:r>
            <w:proofErr w:type="spellEnd"/>
            <w:r w:rsidR="003239B8" w:rsidRPr="00A24EBA">
              <w:rPr>
                <w:rFonts w:ascii="Cambria" w:hAnsi="Cambria"/>
                <w:b/>
                <w:bCs/>
                <w:i/>
                <w:color w:val="FFFFFF" w:themeColor="background1"/>
                <w:sz w:val="20"/>
                <w:szCs w:val="20"/>
              </w:rPr>
              <w:t xml:space="preserve"> </w:t>
            </w:r>
            <w:r w:rsidR="003239B8" w:rsidRPr="002A3404">
              <w:rPr>
                <w:rFonts w:ascii="Cambria" w:hAnsi="Cambria"/>
                <w:b/>
                <w:bCs/>
                <w:i/>
                <w:noProof/>
                <w:color w:val="FFFFFF" w:themeColor="background1"/>
                <w:sz w:val="20"/>
                <w:szCs w:val="20"/>
                <w:u w:val="thick" w:color="F23452"/>
              </w:rPr>
              <w:t>temporis</w:t>
            </w:r>
            <w:r w:rsidR="003239B8" w:rsidRPr="00A24EBA">
              <w:rPr>
                <w:rFonts w:ascii="Cambria" w:hAnsi="Cambria"/>
                <w:b/>
                <w:bCs/>
                <w:color w:val="FFFFFF" w:themeColor="background1"/>
                <w:sz w:val="20"/>
                <w:szCs w:val="20"/>
              </w:rPr>
              <w:t>:</w:t>
            </w:r>
          </w:p>
        </w:tc>
        <w:tc>
          <w:tcPr>
            <w:tcW w:w="5760" w:type="dxa"/>
            <w:vAlign w:val="center"/>
          </w:tcPr>
          <w:p w14:paraId="4B3D0A9E" w14:textId="6830049E" w:rsidR="003239B8" w:rsidRPr="005512ED" w:rsidRDefault="005512ED" w:rsidP="000B2504">
            <w:pPr>
              <w:rPr>
                <w:bCs/>
                <w:sz w:val="20"/>
                <w:szCs w:val="20"/>
              </w:rPr>
            </w:pPr>
            <w:r w:rsidRPr="005512ED">
              <w:rPr>
                <w:rFonts w:ascii="Cambria" w:hAnsi="Cambria"/>
                <w:bCs/>
                <w:sz w:val="20"/>
                <w:szCs w:val="20"/>
              </w:rPr>
              <w:t>Yes</w:t>
            </w:r>
          </w:p>
        </w:tc>
      </w:tr>
      <w:tr w:rsidR="003239B8" w:rsidRPr="005512ED" w14:paraId="70B8293D" w14:textId="77777777" w:rsidTr="00A24EBA">
        <w:trPr>
          <w:cantSplit/>
        </w:trPr>
        <w:tc>
          <w:tcPr>
            <w:tcW w:w="3600" w:type="dxa"/>
            <w:tcBorders>
              <w:top w:val="single" w:sz="6" w:space="0" w:color="auto"/>
              <w:bottom w:val="single" w:sz="6" w:space="0" w:color="auto"/>
            </w:tcBorders>
            <w:shd w:val="clear" w:color="auto" w:fill="67AF3C"/>
            <w:vAlign w:val="center"/>
          </w:tcPr>
          <w:p w14:paraId="7D1E360B" w14:textId="4A03FA9F" w:rsidR="003239B8" w:rsidRPr="00A24EBA" w:rsidRDefault="008D6A8A" w:rsidP="000B2504">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Pr="00A24EBA">
              <w:rPr>
                <w:rFonts w:ascii="Cambria" w:hAnsi="Cambria"/>
                <w:b/>
                <w:bCs/>
                <w:i/>
                <w:color w:val="FFFFFF" w:themeColor="background1"/>
                <w:sz w:val="20"/>
                <w:szCs w:val="20"/>
              </w:rPr>
              <w:t xml:space="preserve"> </w:t>
            </w:r>
            <w:r w:rsidR="003239B8" w:rsidRPr="00A24EBA">
              <w:rPr>
                <w:rFonts w:ascii="Cambria" w:hAnsi="Cambria"/>
                <w:b/>
                <w:bCs/>
                <w:i/>
                <w:color w:val="FFFFFF" w:themeColor="background1"/>
                <w:sz w:val="20"/>
                <w:szCs w:val="20"/>
              </w:rPr>
              <w:t>Ratione materia</w:t>
            </w:r>
            <w:r w:rsidR="00EE00E9" w:rsidRPr="00A24EBA">
              <w:rPr>
                <w:rFonts w:ascii="Cambria" w:hAnsi="Cambria"/>
                <w:b/>
                <w:bCs/>
                <w:i/>
                <w:color w:val="FFFFFF" w:themeColor="background1"/>
                <w:sz w:val="20"/>
                <w:szCs w:val="20"/>
              </w:rPr>
              <w:t>e</w:t>
            </w:r>
            <w:r w:rsidR="003239B8" w:rsidRPr="00A24EBA">
              <w:rPr>
                <w:rFonts w:ascii="Cambria" w:hAnsi="Cambria"/>
                <w:b/>
                <w:bCs/>
                <w:color w:val="FFFFFF" w:themeColor="background1"/>
                <w:sz w:val="20"/>
                <w:szCs w:val="20"/>
              </w:rPr>
              <w:t>:</w:t>
            </w:r>
          </w:p>
        </w:tc>
        <w:tc>
          <w:tcPr>
            <w:tcW w:w="5760" w:type="dxa"/>
            <w:vAlign w:val="center"/>
          </w:tcPr>
          <w:p w14:paraId="0B0C44CD" w14:textId="15559CF0" w:rsidR="003239B8" w:rsidRPr="005512ED" w:rsidRDefault="005512ED" w:rsidP="008D6A8A">
            <w:pPr>
              <w:jc w:val="both"/>
              <w:rPr>
                <w:rFonts w:ascii="Cambria" w:hAnsi="Cambria"/>
                <w:bCs/>
                <w:sz w:val="20"/>
                <w:szCs w:val="20"/>
              </w:rPr>
            </w:pPr>
            <w:r w:rsidRPr="005512ED">
              <w:rPr>
                <w:rFonts w:ascii="Cambria" w:hAnsi="Cambria"/>
                <w:bCs/>
                <w:sz w:val="20"/>
                <w:szCs w:val="20"/>
              </w:rPr>
              <w:t>Yes</w:t>
            </w:r>
            <w:r w:rsidR="00F70196" w:rsidRPr="005512ED">
              <w:rPr>
                <w:rFonts w:ascii="Cambria" w:hAnsi="Cambria"/>
                <w:bCs/>
                <w:sz w:val="20"/>
                <w:szCs w:val="20"/>
              </w:rPr>
              <w:t>,</w:t>
            </w:r>
            <w:r w:rsidRPr="005512ED">
              <w:rPr>
                <w:rFonts w:ascii="Cambria" w:hAnsi="Cambria"/>
                <w:bCs/>
                <w:sz w:val="20"/>
                <w:szCs w:val="20"/>
              </w:rPr>
              <w:t xml:space="preserve"> American Convention (</w:t>
            </w:r>
            <w:r w:rsidR="008D6A8A">
              <w:rPr>
                <w:rFonts w:ascii="Cambria" w:hAnsi="Cambria"/>
                <w:bCs/>
                <w:sz w:val="20"/>
                <w:szCs w:val="20"/>
              </w:rPr>
              <w:t>document adopted on</w:t>
            </w:r>
            <w:r w:rsidRPr="005512ED">
              <w:rPr>
                <w:rFonts w:ascii="Cambria" w:hAnsi="Cambria"/>
                <w:bCs/>
                <w:sz w:val="20"/>
                <w:szCs w:val="20"/>
              </w:rPr>
              <w:t xml:space="preserve"> S</w:t>
            </w:r>
            <w:r w:rsidR="00F70196" w:rsidRPr="005512ED">
              <w:rPr>
                <w:rFonts w:ascii="Cambria" w:hAnsi="Cambria"/>
                <w:bCs/>
                <w:sz w:val="20"/>
                <w:szCs w:val="20"/>
              </w:rPr>
              <w:t>e</w:t>
            </w:r>
            <w:r w:rsidRPr="005512ED">
              <w:rPr>
                <w:rFonts w:ascii="Cambria" w:hAnsi="Cambria"/>
                <w:bCs/>
                <w:sz w:val="20"/>
                <w:szCs w:val="20"/>
              </w:rPr>
              <w:t>p</w:t>
            </w:r>
            <w:r w:rsidR="00F70196" w:rsidRPr="005512ED">
              <w:rPr>
                <w:rFonts w:ascii="Cambria" w:hAnsi="Cambria"/>
                <w:bCs/>
                <w:sz w:val="20"/>
                <w:szCs w:val="20"/>
              </w:rPr>
              <w:t>temb</w:t>
            </w:r>
            <w:r w:rsidRPr="005512ED">
              <w:rPr>
                <w:rFonts w:ascii="Cambria" w:hAnsi="Cambria"/>
                <w:bCs/>
                <w:sz w:val="20"/>
                <w:szCs w:val="20"/>
              </w:rPr>
              <w:t>er</w:t>
            </w:r>
            <w:r w:rsidR="00D14AE4">
              <w:rPr>
                <w:rFonts w:ascii="Cambria" w:hAnsi="Cambria"/>
                <w:bCs/>
                <w:sz w:val="20"/>
                <w:szCs w:val="20"/>
              </w:rPr>
              <w:t xml:space="preserve"> 25,</w:t>
            </w:r>
            <w:r w:rsidR="00F70196" w:rsidRPr="005512ED">
              <w:rPr>
                <w:rFonts w:ascii="Cambria" w:hAnsi="Cambria"/>
                <w:bCs/>
                <w:sz w:val="20"/>
                <w:szCs w:val="20"/>
              </w:rPr>
              <w:t xml:space="preserve"> 1992)</w:t>
            </w:r>
          </w:p>
        </w:tc>
      </w:tr>
    </w:tbl>
    <w:p w14:paraId="6412EEE9" w14:textId="78873BA1" w:rsidR="003239B8" w:rsidRPr="005F06DE" w:rsidRDefault="003239B8" w:rsidP="003239B8">
      <w:pPr>
        <w:spacing w:before="240" w:after="240"/>
        <w:ind w:firstLine="720"/>
        <w:jc w:val="both"/>
        <w:rPr>
          <w:rFonts w:asciiTheme="majorHAnsi" w:hAnsiTheme="majorHAnsi"/>
          <w:b/>
          <w:bCs/>
          <w:sz w:val="20"/>
          <w:szCs w:val="20"/>
        </w:rPr>
      </w:pPr>
      <w:r w:rsidRPr="005F06DE">
        <w:rPr>
          <w:rFonts w:asciiTheme="majorHAnsi" w:hAnsiTheme="majorHAnsi"/>
          <w:b/>
          <w:bCs/>
          <w:sz w:val="20"/>
          <w:szCs w:val="20"/>
        </w:rPr>
        <w:t xml:space="preserve">IV. </w:t>
      </w:r>
      <w:r w:rsidRPr="005F06DE">
        <w:rPr>
          <w:rFonts w:asciiTheme="majorHAnsi" w:hAnsiTheme="majorHAnsi"/>
          <w:b/>
          <w:bCs/>
          <w:sz w:val="20"/>
          <w:szCs w:val="20"/>
        </w:rPr>
        <w:tab/>
      </w:r>
      <w:r w:rsidR="00A72949" w:rsidRPr="005F06DE">
        <w:rPr>
          <w:rFonts w:asciiTheme="majorHAnsi" w:hAnsiTheme="majorHAnsi"/>
          <w:b/>
          <w:bCs/>
          <w:sz w:val="20"/>
          <w:szCs w:val="20"/>
        </w:rPr>
        <w:t xml:space="preserve">DUPLICATION OF </w:t>
      </w:r>
      <w:r w:rsidR="00D13239" w:rsidRPr="005F06DE">
        <w:rPr>
          <w:rFonts w:asciiTheme="majorHAnsi" w:hAnsiTheme="majorHAnsi"/>
          <w:b/>
          <w:bCs/>
          <w:sz w:val="20"/>
          <w:szCs w:val="20"/>
        </w:rPr>
        <w:t xml:space="preserve">PROCEDURE AND </w:t>
      </w:r>
      <w:r w:rsidR="0062596C">
        <w:rPr>
          <w:rFonts w:asciiTheme="majorHAnsi" w:hAnsiTheme="majorHAnsi"/>
          <w:b/>
          <w:bCs/>
          <w:sz w:val="20"/>
          <w:szCs w:val="20"/>
        </w:rPr>
        <w:t>LAW</w:t>
      </w:r>
      <w:r w:rsidR="00D13239" w:rsidRPr="005F06DE">
        <w:rPr>
          <w:rFonts w:asciiTheme="majorHAnsi" w:hAnsiTheme="majorHAnsi"/>
          <w:b/>
          <w:bCs/>
          <w:sz w:val="20"/>
          <w:szCs w:val="20"/>
        </w:rPr>
        <w:t>SUITS ADJUDICATED INTERNATIONALLY</w:t>
      </w:r>
      <w:r w:rsidR="00EE00E9" w:rsidRPr="005F06DE">
        <w:rPr>
          <w:rFonts w:asciiTheme="majorHAnsi" w:hAnsiTheme="majorHAnsi"/>
          <w:b/>
          <w:bCs/>
          <w:sz w:val="20"/>
          <w:szCs w:val="20"/>
        </w:rPr>
        <w:t xml:space="preserve">, </w:t>
      </w:r>
      <w:r w:rsidR="00D21316" w:rsidRPr="005F06DE">
        <w:rPr>
          <w:rFonts w:asciiTheme="majorHAnsi" w:hAnsiTheme="majorHAnsi"/>
          <w:b/>
          <w:bCs/>
          <w:sz w:val="20"/>
          <w:szCs w:val="20"/>
        </w:rPr>
        <w:t xml:space="preserve"> C</w:t>
      </w:r>
      <w:r w:rsidR="001F4297">
        <w:rPr>
          <w:rFonts w:asciiTheme="majorHAnsi" w:hAnsiTheme="majorHAnsi"/>
          <w:b/>
          <w:bCs/>
          <w:sz w:val="20"/>
          <w:szCs w:val="20"/>
        </w:rPr>
        <w:t>H</w:t>
      </w:r>
      <w:r w:rsidR="00D21316" w:rsidRPr="005F06DE">
        <w:rPr>
          <w:rFonts w:asciiTheme="majorHAnsi" w:hAnsiTheme="majorHAnsi"/>
          <w:b/>
          <w:bCs/>
          <w:sz w:val="20"/>
          <w:szCs w:val="20"/>
        </w:rPr>
        <w:t>ARACTERIZ</w:t>
      </w:r>
      <w:r w:rsidR="00D13239" w:rsidRPr="005F06DE">
        <w:rPr>
          <w:rFonts w:asciiTheme="majorHAnsi" w:hAnsiTheme="majorHAnsi"/>
          <w:b/>
          <w:bCs/>
          <w:sz w:val="20"/>
          <w:szCs w:val="20"/>
        </w:rPr>
        <w:t>ATION</w:t>
      </w:r>
      <w:r w:rsidRPr="005F06DE">
        <w:rPr>
          <w:rFonts w:asciiTheme="majorHAnsi" w:hAnsiTheme="majorHAnsi"/>
          <w:b/>
          <w:bCs/>
          <w:sz w:val="20"/>
          <w:szCs w:val="20"/>
        </w:rPr>
        <w:t xml:space="preserve">, </w:t>
      </w:r>
      <w:r w:rsidR="002558F1" w:rsidRPr="005F06DE">
        <w:rPr>
          <w:rFonts w:asciiTheme="majorHAnsi" w:hAnsiTheme="majorHAnsi"/>
          <w:b/>
          <w:bCs/>
          <w:sz w:val="20"/>
          <w:szCs w:val="20"/>
        </w:rPr>
        <w:t>EXHAUSTION OF INTERNAL RECOURSE</w:t>
      </w:r>
      <w:r w:rsidR="001F4297">
        <w:rPr>
          <w:rFonts w:asciiTheme="majorHAnsi" w:hAnsiTheme="majorHAnsi"/>
          <w:b/>
          <w:bCs/>
          <w:sz w:val="20"/>
          <w:szCs w:val="20"/>
        </w:rPr>
        <w:t>S</w:t>
      </w:r>
      <w:r w:rsidR="00D13239" w:rsidRPr="005F06DE">
        <w:rPr>
          <w:rFonts w:asciiTheme="majorHAnsi" w:hAnsiTheme="majorHAnsi"/>
          <w:b/>
          <w:bCs/>
          <w:sz w:val="20"/>
          <w:szCs w:val="20"/>
        </w:rPr>
        <w:t xml:space="preserve">, AND </w:t>
      </w:r>
      <w:r w:rsidR="00C77A5C">
        <w:rPr>
          <w:rFonts w:asciiTheme="majorHAnsi" w:hAnsiTheme="majorHAnsi"/>
          <w:b/>
          <w:sz w:val="20"/>
          <w:szCs w:val="20"/>
        </w:rPr>
        <w:t>FILING DEAD</w:t>
      </w:r>
      <w:r w:rsidR="00D13239" w:rsidRPr="005F06DE">
        <w:rPr>
          <w:rFonts w:asciiTheme="majorHAnsi" w:hAnsiTheme="majorHAnsi"/>
          <w:b/>
          <w:sz w:val="20"/>
          <w:szCs w:val="20"/>
        </w:rPr>
        <w:t>LINE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F06DE" w14:paraId="0DD64EA0" w14:textId="77777777" w:rsidTr="00A24EBA">
        <w:trPr>
          <w:cantSplit/>
        </w:trPr>
        <w:tc>
          <w:tcPr>
            <w:tcW w:w="3600" w:type="dxa"/>
            <w:tcBorders>
              <w:top w:val="single" w:sz="4" w:space="0" w:color="auto"/>
              <w:bottom w:val="single" w:sz="6" w:space="0" w:color="auto"/>
            </w:tcBorders>
            <w:shd w:val="clear" w:color="auto" w:fill="67AF3C"/>
            <w:vAlign w:val="center"/>
          </w:tcPr>
          <w:p w14:paraId="45645442" w14:textId="4F9A6A46" w:rsidR="00EE00E9" w:rsidRPr="008D6A8A" w:rsidRDefault="008D6A8A" w:rsidP="008D6A8A">
            <w:pPr>
              <w:jc w:val="center"/>
              <w:rPr>
                <w:rFonts w:ascii="Cambria" w:hAnsi="Cambria"/>
                <w:b/>
                <w:bCs/>
                <w:color w:val="FFFFFF" w:themeColor="background1"/>
                <w:sz w:val="20"/>
                <w:szCs w:val="20"/>
              </w:rPr>
            </w:pPr>
            <w:r>
              <w:rPr>
                <w:rFonts w:ascii="Cambria" w:hAnsi="Cambria"/>
                <w:b/>
                <w:bCs/>
                <w:color w:val="FFFFFF" w:themeColor="background1"/>
                <w:sz w:val="20"/>
                <w:szCs w:val="20"/>
              </w:rPr>
              <w:t>Duplication of p</w:t>
            </w:r>
            <w:r w:rsidR="0062596C" w:rsidRPr="00A24EBA">
              <w:rPr>
                <w:rFonts w:ascii="Cambria" w:hAnsi="Cambria"/>
                <w:b/>
                <w:bCs/>
                <w:color w:val="FFFFFF" w:themeColor="background1"/>
                <w:sz w:val="20"/>
                <w:szCs w:val="20"/>
              </w:rPr>
              <w:t xml:space="preserve">rocedure and </w:t>
            </w:r>
            <w:r>
              <w:rPr>
                <w:rFonts w:ascii="Cambria" w:hAnsi="Cambria"/>
                <w:b/>
                <w:bCs/>
                <w:color w:val="FFFFFF" w:themeColor="background1"/>
                <w:sz w:val="20"/>
                <w:szCs w:val="20"/>
              </w:rPr>
              <w:t xml:space="preserve">international </w:t>
            </w:r>
            <w:r>
              <w:rPr>
                <w:rFonts w:ascii="Cambria" w:hAnsi="Cambria"/>
                <w:b/>
                <w:bCs/>
                <w:i/>
                <w:color w:val="FFFFFF" w:themeColor="background1"/>
                <w:sz w:val="20"/>
                <w:szCs w:val="20"/>
              </w:rPr>
              <w:t>res judicata</w:t>
            </w:r>
            <w:r>
              <w:rPr>
                <w:rFonts w:ascii="Cambria" w:hAnsi="Cambria"/>
                <w:b/>
                <w:bCs/>
                <w:color w:val="FFFFFF" w:themeColor="background1"/>
                <w:sz w:val="20"/>
                <w:szCs w:val="20"/>
              </w:rPr>
              <w:t>:</w:t>
            </w:r>
          </w:p>
        </w:tc>
        <w:tc>
          <w:tcPr>
            <w:tcW w:w="5760" w:type="dxa"/>
            <w:vAlign w:val="center"/>
          </w:tcPr>
          <w:p w14:paraId="35014C3B" w14:textId="1273B52B" w:rsidR="00EE00E9" w:rsidRPr="005F06DE" w:rsidRDefault="00D13239" w:rsidP="000B2504">
            <w:pPr>
              <w:jc w:val="both"/>
              <w:rPr>
                <w:rFonts w:ascii="Cambria" w:hAnsi="Cambria"/>
                <w:bCs/>
                <w:sz w:val="20"/>
                <w:szCs w:val="20"/>
              </w:rPr>
            </w:pPr>
            <w:r w:rsidRPr="005F06DE">
              <w:rPr>
                <w:rFonts w:ascii="Cambria" w:hAnsi="Cambria"/>
                <w:bCs/>
                <w:sz w:val="20"/>
                <w:szCs w:val="20"/>
              </w:rPr>
              <w:t>N</w:t>
            </w:r>
            <w:r w:rsidR="00517D73" w:rsidRPr="005F06DE">
              <w:rPr>
                <w:rFonts w:ascii="Cambria" w:hAnsi="Cambria"/>
                <w:bCs/>
                <w:sz w:val="20"/>
                <w:szCs w:val="20"/>
              </w:rPr>
              <w:t>o</w:t>
            </w:r>
          </w:p>
        </w:tc>
      </w:tr>
      <w:tr w:rsidR="003239B8" w:rsidRPr="005F06DE" w14:paraId="3BCB11B1" w14:textId="77777777" w:rsidTr="00A24EBA">
        <w:trPr>
          <w:cantSplit/>
        </w:trPr>
        <w:tc>
          <w:tcPr>
            <w:tcW w:w="3600" w:type="dxa"/>
            <w:tcBorders>
              <w:top w:val="single" w:sz="4" w:space="0" w:color="auto"/>
              <w:bottom w:val="single" w:sz="6" w:space="0" w:color="auto"/>
            </w:tcBorders>
            <w:shd w:val="clear" w:color="auto" w:fill="67AF3C"/>
            <w:vAlign w:val="center"/>
          </w:tcPr>
          <w:p w14:paraId="719305C5" w14:textId="6C14ECAA" w:rsidR="003239B8" w:rsidRPr="00A24EBA" w:rsidRDefault="008D6A8A" w:rsidP="00D21316">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Rights declared </w:t>
            </w:r>
            <w:r w:rsidRPr="006E7949">
              <w:rPr>
                <w:rFonts w:ascii="Cambria" w:hAnsi="Cambria"/>
                <w:b/>
                <w:bCs/>
                <w:noProof/>
                <w:color w:val="FFFFFF" w:themeColor="background1"/>
                <w:sz w:val="20"/>
                <w:szCs w:val="20"/>
              </w:rPr>
              <w:t>admissible</w:t>
            </w:r>
            <w:r>
              <w:rPr>
                <w:rFonts w:ascii="Cambria" w:hAnsi="Cambria"/>
                <w:b/>
                <w:bCs/>
                <w:color w:val="FFFFFF" w:themeColor="background1"/>
                <w:sz w:val="20"/>
                <w:szCs w:val="20"/>
              </w:rPr>
              <w:t>:</w:t>
            </w:r>
          </w:p>
        </w:tc>
        <w:tc>
          <w:tcPr>
            <w:tcW w:w="5760" w:type="dxa"/>
            <w:vAlign w:val="center"/>
          </w:tcPr>
          <w:p w14:paraId="305158DE" w14:textId="4AAC698F" w:rsidR="003239B8" w:rsidRPr="005F06DE" w:rsidRDefault="00A24EBA" w:rsidP="00A24EBA">
            <w:pPr>
              <w:jc w:val="both"/>
              <w:rPr>
                <w:rFonts w:ascii="Cambria" w:hAnsi="Cambria"/>
                <w:bCs/>
                <w:sz w:val="20"/>
                <w:szCs w:val="20"/>
              </w:rPr>
            </w:pPr>
            <w:r w:rsidRPr="006842B2">
              <w:rPr>
                <w:rFonts w:ascii="Cambria" w:hAnsi="Cambria"/>
                <w:bCs/>
                <w:sz w:val="20"/>
                <w:szCs w:val="20"/>
              </w:rPr>
              <w:t>Articles 8 (</w:t>
            </w:r>
            <w:r>
              <w:rPr>
                <w:rFonts w:ascii="Cambria" w:hAnsi="Cambria"/>
                <w:bCs/>
                <w:sz w:val="20"/>
                <w:szCs w:val="20"/>
              </w:rPr>
              <w:t xml:space="preserve">Fair Trial), </w:t>
            </w:r>
            <w:r w:rsidRPr="005F06DE">
              <w:rPr>
                <w:rFonts w:ascii="Cambria" w:hAnsi="Cambria"/>
                <w:bCs/>
                <w:sz w:val="20"/>
                <w:szCs w:val="20"/>
              </w:rPr>
              <w:t>21 (</w:t>
            </w:r>
            <w:r>
              <w:rPr>
                <w:rFonts w:ascii="Cambria" w:hAnsi="Cambria"/>
                <w:bCs/>
                <w:sz w:val="20"/>
                <w:szCs w:val="20"/>
              </w:rPr>
              <w:t>Property), 25 (J</w:t>
            </w:r>
            <w:r w:rsidRPr="006842B2">
              <w:rPr>
                <w:rFonts w:ascii="Cambria" w:hAnsi="Cambria"/>
                <w:bCs/>
                <w:sz w:val="20"/>
                <w:szCs w:val="20"/>
              </w:rPr>
              <w:t>udicial</w:t>
            </w:r>
            <w:r>
              <w:rPr>
                <w:rFonts w:ascii="Cambria" w:hAnsi="Cambria"/>
                <w:bCs/>
                <w:sz w:val="20"/>
                <w:szCs w:val="20"/>
              </w:rPr>
              <w:t xml:space="preserve"> P</w:t>
            </w:r>
            <w:r w:rsidRPr="006842B2">
              <w:rPr>
                <w:rFonts w:ascii="Cambria" w:hAnsi="Cambria"/>
                <w:bCs/>
                <w:sz w:val="20"/>
                <w:szCs w:val="20"/>
              </w:rPr>
              <w:t>rotection</w:t>
            </w:r>
            <w:r>
              <w:rPr>
                <w:rFonts w:ascii="Cambria" w:hAnsi="Cambria"/>
                <w:bCs/>
                <w:sz w:val="20"/>
                <w:szCs w:val="20"/>
              </w:rPr>
              <w:t>) and</w:t>
            </w:r>
            <w:r w:rsidRPr="006842B2">
              <w:rPr>
                <w:rFonts w:ascii="Cambria" w:hAnsi="Cambria"/>
                <w:bCs/>
                <w:sz w:val="20"/>
                <w:szCs w:val="20"/>
              </w:rPr>
              <w:t xml:space="preserve"> 26 (</w:t>
            </w:r>
            <w:r>
              <w:rPr>
                <w:rFonts w:ascii="Cambria" w:hAnsi="Cambria"/>
                <w:bCs/>
                <w:sz w:val="20"/>
                <w:szCs w:val="20"/>
              </w:rPr>
              <w:t>Social, E</w:t>
            </w:r>
            <w:r w:rsidRPr="006842B2">
              <w:rPr>
                <w:rFonts w:ascii="Cambria" w:hAnsi="Cambria"/>
                <w:bCs/>
                <w:sz w:val="20"/>
                <w:szCs w:val="20"/>
              </w:rPr>
              <w:t xml:space="preserve">conomic, </w:t>
            </w:r>
            <w:r>
              <w:rPr>
                <w:rFonts w:ascii="Cambria" w:hAnsi="Cambria"/>
                <w:bCs/>
                <w:sz w:val="20"/>
                <w:szCs w:val="20"/>
              </w:rPr>
              <w:t>and Cultural R</w:t>
            </w:r>
            <w:r w:rsidRPr="006842B2">
              <w:rPr>
                <w:rFonts w:ascii="Cambria" w:hAnsi="Cambria"/>
                <w:bCs/>
                <w:sz w:val="20"/>
                <w:szCs w:val="20"/>
              </w:rPr>
              <w:t xml:space="preserve">ights), </w:t>
            </w:r>
            <w:r w:rsidRPr="002A3404">
              <w:rPr>
                <w:rFonts w:asciiTheme="majorHAnsi" w:hAnsiTheme="majorHAnsi"/>
                <w:bCs/>
                <w:noProof/>
                <w:sz w:val="20"/>
                <w:szCs w:val="20"/>
              </w:rPr>
              <w:t>in relation to</w:t>
            </w:r>
            <w:r w:rsidRPr="006842B2">
              <w:rPr>
                <w:rFonts w:asciiTheme="majorHAnsi" w:hAnsiTheme="majorHAnsi"/>
                <w:bCs/>
                <w:sz w:val="20"/>
                <w:szCs w:val="20"/>
              </w:rPr>
              <w:t xml:space="preserve"> Articles 1.1 (</w:t>
            </w:r>
            <w:r>
              <w:rPr>
                <w:rFonts w:asciiTheme="majorHAnsi" w:hAnsiTheme="majorHAnsi"/>
                <w:bCs/>
                <w:sz w:val="20"/>
                <w:szCs w:val="20"/>
              </w:rPr>
              <w:t>O</w:t>
            </w:r>
            <w:r w:rsidRPr="006842B2">
              <w:rPr>
                <w:rFonts w:asciiTheme="majorHAnsi" w:hAnsiTheme="majorHAnsi"/>
                <w:bCs/>
                <w:sz w:val="20"/>
                <w:szCs w:val="20"/>
              </w:rPr>
              <w:t xml:space="preserve">bligation to </w:t>
            </w:r>
            <w:r>
              <w:rPr>
                <w:rFonts w:asciiTheme="majorHAnsi" w:hAnsiTheme="majorHAnsi"/>
                <w:bCs/>
                <w:sz w:val="20"/>
                <w:szCs w:val="20"/>
              </w:rPr>
              <w:t>Respect R</w:t>
            </w:r>
            <w:r w:rsidRPr="006842B2">
              <w:rPr>
                <w:rFonts w:asciiTheme="majorHAnsi" w:hAnsiTheme="majorHAnsi"/>
                <w:bCs/>
                <w:sz w:val="20"/>
                <w:szCs w:val="20"/>
              </w:rPr>
              <w:t>ights) and 2 (</w:t>
            </w:r>
            <w:r>
              <w:rPr>
                <w:rFonts w:asciiTheme="majorHAnsi" w:hAnsiTheme="majorHAnsi"/>
                <w:bCs/>
                <w:sz w:val="20"/>
                <w:szCs w:val="20"/>
              </w:rPr>
              <w:t>Domestic Legal Effects</w:t>
            </w:r>
            <w:r w:rsidRPr="006842B2">
              <w:rPr>
                <w:rFonts w:asciiTheme="majorHAnsi" w:hAnsiTheme="majorHAnsi"/>
                <w:bCs/>
                <w:sz w:val="20"/>
                <w:szCs w:val="20"/>
              </w:rPr>
              <w:t>) of the American Convention</w:t>
            </w:r>
          </w:p>
        </w:tc>
      </w:tr>
      <w:tr w:rsidR="003239B8" w:rsidRPr="005F06DE" w14:paraId="3CA94724" w14:textId="77777777" w:rsidTr="00A24EBA">
        <w:trPr>
          <w:cantSplit/>
        </w:trPr>
        <w:tc>
          <w:tcPr>
            <w:tcW w:w="3600" w:type="dxa"/>
            <w:tcBorders>
              <w:top w:val="single" w:sz="6" w:space="0" w:color="auto"/>
              <w:bottom w:val="single" w:sz="6" w:space="0" w:color="auto"/>
            </w:tcBorders>
            <w:shd w:val="clear" w:color="auto" w:fill="67AF3C"/>
            <w:vAlign w:val="center"/>
          </w:tcPr>
          <w:p w14:paraId="7872935B" w14:textId="7F2AB97C" w:rsidR="003239B8" w:rsidRPr="00A24EBA" w:rsidRDefault="002558F1" w:rsidP="008D6A8A">
            <w:pPr>
              <w:jc w:val="center"/>
              <w:rPr>
                <w:rFonts w:ascii="Cambria" w:hAnsi="Cambria"/>
                <w:b/>
                <w:bCs/>
                <w:color w:val="FFFFFF" w:themeColor="background1"/>
                <w:sz w:val="20"/>
                <w:szCs w:val="20"/>
              </w:rPr>
            </w:pPr>
            <w:r w:rsidRPr="00A24EBA">
              <w:rPr>
                <w:rFonts w:ascii="Cambria" w:hAnsi="Cambria"/>
                <w:b/>
                <w:bCs/>
                <w:color w:val="FFFFFF" w:themeColor="background1"/>
                <w:sz w:val="20"/>
                <w:szCs w:val="20"/>
              </w:rPr>
              <w:lastRenderedPageBreak/>
              <w:t xml:space="preserve">Exhaustion of </w:t>
            </w:r>
            <w:r w:rsidR="008D6A8A">
              <w:rPr>
                <w:rFonts w:ascii="Cambria" w:hAnsi="Cambria"/>
                <w:b/>
                <w:bCs/>
                <w:color w:val="FFFFFF" w:themeColor="background1"/>
                <w:sz w:val="20"/>
                <w:szCs w:val="20"/>
              </w:rPr>
              <w:t>domestic remedies or applicability of an exception to the rule:</w:t>
            </w:r>
          </w:p>
        </w:tc>
        <w:tc>
          <w:tcPr>
            <w:tcW w:w="5760" w:type="dxa"/>
            <w:vAlign w:val="center"/>
          </w:tcPr>
          <w:p w14:paraId="5E8C0504" w14:textId="56D1A861" w:rsidR="003239B8" w:rsidRPr="005F06DE" w:rsidRDefault="008D6A8A" w:rsidP="00546826">
            <w:pPr>
              <w:rPr>
                <w:rFonts w:ascii="Cambria" w:hAnsi="Cambria"/>
                <w:bCs/>
                <w:sz w:val="20"/>
                <w:szCs w:val="20"/>
              </w:rPr>
            </w:pPr>
            <w:r w:rsidRPr="005F06DE">
              <w:rPr>
                <w:rFonts w:ascii="Cambria" w:hAnsi="Cambria"/>
                <w:bCs/>
                <w:sz w:val="20"/>
                <w:szCs w:val="20"/>
              </w:rPr>
              <w:t xml:space="preserve">Yes, </w:t>
            </w:r>
            <w:r w:rsidR="006E7949">
              <w:rPr>
                <w:rFonts w:ascii="Cambria" w:hAnsi="Cambria"/>
                <w:bCs/>
                <w:noProof/>
                <w:sz w:val="20"/>
                <w:szCs w:val="20"/>
              </w:rPr>
              <w:t>according</w:t>
            </w:r>
            <w:r w:rsidRPr="006E7949">
              <w:rPr>
                <w:rFonts w:ascii="Cambria" w:hAnsi="Cambria"/>
                <w:bCs/>
                <w:noProof/>
                <w:sz w:val="20"/>
                <w:szCs w:val="20"/>
              </w:rPr>
              <w:t xml:space="preserve"> to</w:t>
            </w:r>
            <w:r w:rsidR="006E7949">
              <w:rPr>
                <w:rFonts w:ascii="Cambria" w:hAnsi="Cambria"/>
                <w:bCs/>
                <w:sz w:val="20"/>
                <w:szCs w:val="20"/>
              </w:rPr>
              <w:t xml:space="preserve"> S</w:t>
            </w:r>
            <w:r>
              <w:rPr>
                <w:rFonts w:ascii="Cambria" w:hAnsi="Cambria"/>
                <w:bCs/>
                <w:sz w:val="20"/>
                <w:szCs w:val="20"/>
              </w:rPr>
              <w:t>ection</w:t>
            </w:r>
            <w:r w:rsidRPr="005F06DE">
              <w:rPr>
                <w:rFonts w:ascii="Cambria" w:hAnsi="Cambria"/>
                <w:bCs/>
                <w:sz w:val="20"/>
                <w:szCs w:val="20"/>
              </w:rPr>
              <w:t xml:space="preserve"> VI</w:t>
            </w:r>
          </w:p>
        </w:tc>
      </w:tr>
      <w:tr w:rsidR="003239B8" w:rsidRPr="005F06DE" w14:paraId="0DFB10C6" w14:textId="77777777" w:rsidTr="00A24EBA">
        <w:trPr>
          <w:cantSplit/>
        </w:trPr>
        <w:tc>
          <w:tcPr>
            <w:tcW w:w="3600" w:type="dxa"/>
            <w:tcBorders>
              <w:top w:val="single" w:sz="6" w:space="0" w:color="auto"/>
              <w:bottom w:val="single" w:sz="6" w:space="0" w:color="auto"/>
            </w:tcBorders>
            <w:shd w:val="clear" w:color="auto" w:fill="67AF3C"/>
            <w:vAlign w:val="center"/>
          </w:tcPr>
          <w:p w14:paraId="451AFE01" w14:textId="1EE266B0" w:rsidR="003239B8" w:rsidRPr="00A24EBA" w:rsidRDefault="008D6A8A" w:rsidP="00B35BC9">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p>
        </w:tc>
        <w:tc>
          <w:tcPr>
            <w:tcW w:w="5760" w:type="dxa"/>
            <w:vAlign w:val="center"/>
          </w:tcPr>
          <w:p w14:paraId="378F429B" w14:textId="1EF49366" w:rsidR="003239B8" w:rsidRPr="005F06DE" w:rsidRDefault="005F06DE" w:rsidP="008D6A8A">
            <w:pPr>
              <w:rPr>
                <w:bCs/>
                <w:sz w:val="20"/>
                <w:szCs w:val="20"/>
              </w:rPr>
            </w:pPr>
            <w:r w:rsidRPr="005F06DE">
              <w:rPr>
                <w:rFonts w:ascii="Cambria" w:hAnsi="Cambria"/>
                <w:bCs/>
                <w:sz w:val="20"/>
                <w:szCs w:val="20"/>
              </w:rPr>
              <w:t>Yes</w:t>
            </w:r>
            <w:r w:rsidR="00F70196" w:rsidRPr="005F06DE">
              <w:rPr>
                <w:rFonts w:ascii="Cambria" w:hAnsi="Cambria"/>
                <w:bCs/>
                <w:sz w:val="20"/>
                <w:szCs w:val="20"/>
              </w:rPr>
              <w:t xml:space="preserve">, </w:t>
            </w:r>
            <w:r w:rsidR="006E7949">
              <w:rPr>
                <w:rFonts w:ascii="Cambria" w:hAnsi="Cambria"/>
                <w:bCs/>
                <w:noProof/>
                <w:sz w:val="20"/>
                <w:szCs w:val="20"/>
              </w:rPr>
              <w:t>according</w:t>
            </w:r>
            <w:r w:rsidR="008D6A8A" w:rsidRPr="006E7949">
              <w:rPr>
                <w:rFonts w:ascii="Cambria" w:hAnsi="Cambria"/>
                <w:bCs/>
                <w:noProof/>
                <w:sz w:val="20"/>
                <w:szCs w:val="20"/>
              </w:rPr>
              <w:t xml:space="preserve"> to</w:t>
            </w:r>
            <w:r w:rsidR="006E7949">
              <w:rPr>
                <w:rFonts w:ascii="Cambria" w:hAnsi="Cambria"/>
                <w:bCs/>
                <w:sz w:val="20"/>
                <w:szCs w:val="20"/>
              </w:rPr>
              <w:t xml:space="preserve"> S</w:t>
            </w:r>
            <w:r w:rsidR="008D6A8A">
              <w:rPr>
                <w:rFonts w:ascii="Cambria" w:hAnsi="Cambria"/>
                <w:bCs/>
                <w:sz w:val="20"/>
                <w:szCs w:val="20"/>
              </w:rPr>
              <w:t>ection</w:t>
            </w:r>
            <w:r w:rsidR="002558F1" w:rsidRPr="005F06DE">
              <w:rPr>
                <w:rFonts w:ascii="Cambria" w:hAnsi="Cambria"/>
                <w:bCs/>
                <w:sz w:val="20"/>
                <w:szCs w:val="20"/>
              </w:rPr>
              <w:t xml:space="preserve"> </w:t>
            </w:r>
            <w:r w:rsidR="00F70196" w:rsidRPr="005F06DE">
              <w:rPr>
                <w:rFonts w:ascii="Cambria" w:hAnsi="Cambria"/>
                <w:bCs/>
                <w:sz w:val="20"/>
                <w:szCs w:val="20"/>
              </w:rPr>
              <w:t>VI</w:t>
            </w:r>
          </w:p>
        </w:tc>
      </w:tr>
    </w:tbl>
    <w:p w14:paraId="73BF34F3" w14:textId="56B39370" w:rsidR="003239B8" w:rsidRPr="00140A2F" w:rsidRDefault="00223A29" w:rsidP="003239B8">
      <w:pPr>
        <w:spacing w:before="240" w:after="240"/>
        <w:ind w:firstLine="720"/>
        <w:jc w:val="both"/>
        <w:rPr>
          <w:rFonts w:asciiTheme="majorHAnsi" w:hAnsiTheme="majorHAnsi"/>
          <w:b/>
          <w:sz w:val="20"/>
          <w:szCs w:val="20"/>
        </w:rPr>
      </w:pPr>
      <w:r w:rsidRPr="00140A2F">
        <w:rPr>
          <w:rFonts w:asciiTheme="majorHAnsi" w:hAnsiTheme="majorHAnsi"/>
          <w:b/>
          <w:sz w:val="20"/>
          <w:szCs w:val="20"/>
        </w:rPr>
        <w:t xml:space="preserve">V. </w:t>
      </w:r>
      <w:r w:rsidRPr="00140A2F">
        <w:rPr>
          <w:rFonts w:asciiTheme="majorHAnsi" w:hAnsiTheme="majorHAnsi"/>
          <w:b/>
          <w:sz w:val="20"/>
          <w:szCs w:val="20"/>
        </w:rPr>
        <w:tab/>
      </w:r>
      <w:r w:rsidR="003239B8" w:rsidRPr="00140A2F">
        <w:rPr>
          <w:rFonts w:asciiTheme="majorHAnsi" w:hAnsiTheme="majorHAnsi"/>
          <w:b/>
          <w:sz w:val="20"/>
          <w:szCs w:val="20"/>
        </w:rPr>
        <w:t>AL</w:t>
      </w:r>
      <w:r w:rsidR="00140A2F" w:rsidRPr="00140A2F">
        <w:rPr>
          <w:rFonts w:asciiTheme="majorHAnsi" w:hAnsiTheme="majorHAnsi"/>
          <w:b/>
          <w:sz w:val="20"/>
          <w:szCs w:val="20"/>
        </w:rPr>
        <w:t>LEGED FACTS</w:t>
      </w:r>
      <w:r w:rsidR="003239B8" w:rsidRPr="00140A2F">
        <w:rPr>
          <w:rFonts w:asciiTheme="majorHAnsi" w:hAnsiTheme="majorHAnsi"/>
          <w:b/>
          <w:sz w:val="20"/>
          <w:szCs w:val="20"/>
        </w:rPr>
        <w:t xml:space="preserve"> </w:t>
      </w:r>
    </w:p>
    <w:p w14:paraId="095F30E3" w14:textId="3AE627F4" w:rsidR="00A11E44" w:rsidRPr="007606E0" w:rsidRDefault="00140A2F" w:rsidP="00962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5FF7">
        <w:rPr>
          <w:rFonts w:ascii="Cambria" w:hAnsi="Cambria"/>
          <w:noProof/>
          <w:sz w:val="20"/>
          <w:szCs w:val="20"/>
        </w:rPr>
        <w:t xml:space="preserve">The </w:t>
      </w:r>
      <w:r w:rsidR="00B4540A" w:rsidRPr="00DD5FF7">
        <w:rPr>
          <w:rFonts w:ascii="Cambria" w:hAnsi="Cambria"/>
          <w:noProof/>
          <w:sz w:val="20"/>
          <w:szCs w:val="20"/>
        </w:rPr>
        <w:t>petition in question concerns</w:t>
      </w:r>
      <w:r w:rsidRPr="00DD5FF7">
        <w:rPr>
          <w:rFonts w:ascii="Cambria" w:hAnsi="Cambria"/>
          <w:noProof/>
          <w:sz w:val="20"/>
          <w:szCs w:val="20"/>
        </w:rPr>
        <w:t xml:space="preserve"> the unjustified delay in definitively resolving an ordinary civil action brought in 1996 by Hindenburgh de Melo Rocha (hereinafter, “Mr. Rocha” or “petitioner”),</w:t>
      </w:r>
      <w:r w:rsidRPr="00316554">
        <w:rPr>
          <w:rFonts w:asciiTheme="majorHAnsi" w:hAnsiTheme="majorHAnsi"/>
          <w:noProof/>
          <w:sz w:val="20"/>
          <w:szCs w:val="20"/>
        </w:rPr>
        <w:t xml:space="preserve"> </w:t>
      </w:r>
      <w:r w:rsidR="0089259F" w:rsidRPr="00316554">
        <w:rPr>
          <w:rFonts w:asciiTheme="majorHAnsi" w:hAnsiTheme="majorHAnsi"/>
          <w:noProof/>
          <w:sz w:val="20"/>
          <w:szCs w:val="20"/>
        </w:rPr>
        <w:t>Joaquim Adauto Leitão, Leones Fernandes de Mendonça</w:t>
      </w:r>
      <w:r w:rsidR="00290B4E" w:rsidRPr="00316554">
        <w:rPr>
          <w:rFonts w:asciiTheme="majorHAnsi" w:hAnsiTheme="majorHAnsi"/>
          <w:noProof/>
          <w:sz w:val="20"/>
          <w:szCs w:val="20"/>
        </w:rPr>
        <w:t>, Severino Souza Bizinho, Luís Carlos da Silva Gomes, Maria Ruth de Mello Nunes</w:t>
      </w:r>
      <w:r w:rsidRPr="00316554">
        <w:rPr>
          <w:rFonts w:asciiTheme="majorHAnsi" w:hAnsiTheme="majorHAnsi"/>
          <w:noProof/>
          <w:sz w:val="20"/>
          <w:szCs w:val="20"/>
        </w:rPr>
        <w:t>, and</w:t>
      </w:r>
      <w:r w:rsidR="00290B4E" w:rsidRPr="00316554">
        <w:rPr>
          <w:rFonts w:asciiTheme="majorHAnsi" w:hAnsiTheme="majorHAnsi"/>
          <w:noProof/>
          <w:sz w:val="20"/>
          <w:szCs w:val="20"/>
        </w:rPr>
        <w:t xml:space="preserve"> Maurício Cavalcanti de Albuquerque</w:t>
      </w:r>
      <w:r w:rsidRPr="00DD5FF7">
        <w:rPr>
          <w:rFonts w:asciiTheme="majorHAnsi" w:hAnsiTheme="majorHAnsi"/>
          <w:noProof/>
          <w:sz w:val="20"/>
          <w:szCs w:val="20"/>
        </w:rPr>
        <w:t xml:space="preserve"> (hereinafter, “alleged victims”), all of them </w:t>
      </w:r>
      <w:r w:rsidR="00DA0C97" w:rsidRPr="00DD5FF7">
        <w:rPr>
          <w:rFonts w:asciiTheme="majorHAnsi" w:hAnsiTheme="majorHAnsi"/>
          <w:noProof/>
          <w:sz w:val="20"/>
          <w:szCs w:val="20"/>
        </w:rPr>
        <w:t>elderly, former employees of</w:t>
      </w:r>
      <w:r w:rsidRPr="00DD5FF7">
        <w:rPr>
          <w:rFonts w:asciiTheme="majorHAnsi" w:hAnsiTheme="majorHAnsi"/>
          <w:noProof/>
          <w:sz w:val="20"/>
          <w:szCs w:val="20"/>
        </w:rPr>
        <w:t xml:space="preserve"> Banco do Nordeste S.A.</w:t>
      </w:r>
      <w:r w:rsidR="00DA0C97" w:rsidRPr="00DD5FF7">
        <w:rPr>
          <w:rFonts w:asciiTheme="majorHAnsi" w:hAnsiTheme="majorHAnsi"/>
          <w:noProof/>
          <w:sz w:val="20"/>
          <w:szCs w:val="20"/>
        </w:rPr>
        <w:t>, and pensioners of the Banco do Nordeste do Brasil Employee Pension Fun</w:t>
      </w:r>
      <w:r w:rsidR="006E7949" w:rsidRPr="00DD5FF7">
        <w:rPr>
          <w:rFonts w:asciiTheme="majorHAnsi" w:hAnsiTheme="majorHAnsi"/>
          <w:noProof/>
          <w:sz w:val="20"/>
          <w:szCs w:val="20"/>
        </w:rPr>
        <w:t>d (hereinafter, “CAPEF”</w:t>
      </w:r>
      <w:r w:rsidR="00DA0C97" w:rsidRPr="00DD5FF7">
        <w:rPr>
          <w:rFonts w:asciiTheme="majorHAnsi" w:hAnsiTheme="majorHAnsi"/>
          <w:noProof/>
          <w:sz w:val="20"/>
          <w:szCs w:val="20"/>
        </w:rPr>
        <w:t>), which is a private pension fund.</w:t>
      </w:r>
    </w:p>
    <w:p w14:paraId="23E32971" w14:textId="37C12E5B" w:rsidR="009B1154" w:rsidRPr="004E504B" w:rsidRDefault="007606E0" w:rsidP="004E50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noProof/>
          <w:sz w:val="20"/>
          <w:szCs w:val="20"/>
          <w:u w:val="thick" w:color="F23452"/>
        </w:rPr>
      </w:pPr>
      <w:r w:rsidRPr="007606E0">
        <w:rPr>
          <w:rFonts w:ascii="Cambria" w:hAnsi="Cambria"/>
          <w:sz w:val="20"/>
          <w:szCs w:val="20"/>
        </w:rPr>
        <w:t xml:space="preserve">The </w:t>
      </w:r>
      <w:r w:rsidR="006E7949">
        <w:rPr>
          <w:rFonts w:ascii="Cambria" w:hAnsi="Cambria"/>
          <w:sz w:val="20"/>
          <w:szCs w:val="20"/>
        </w:rPr>
        <w:t>petitioner</w:t>
      </w:r>
      <w:r w:rsidRPr="007606E0">
        <w:rPr>
          <w:rFonts w:ascii="Cambria" w:hAnsi="Cambria"/>
          <w:sz w:val="20"/>
          <w:szCs w:val="20"/>
        </w:rPr>
        <w:t xml:space="preserve"> </w:t>
      </w:r>
      <w:r w:rsidR="007B2CE8">
        <w:rPr>
          <w:rFonts w:ascii="Cambria" w:hAnsi="Cambria"/>
          <w:sz w:val="20"/>
          <w:szCs w:val="20"/>
        </w:rPr>
        <w:t>state</w:t>
      </w:r>
      <w:r w:rsidR="006E7949">
        <w:rPr>
          <w:rFonts w:ascii="Cambria" w:hAnsi="Cambria"/>
          <w:sz w:val="20"/>
          <w:szCs w:val="20"/>
        </w:rPr>
        <w:t>s</w:t>
      </w:r>
      <w:r w:rsidRPr="007606E0">
        <w:rPr>
          <w:rFonts w:ascii="Cambria" w:hAnsi="Cambria"/>
          <w:sz w:val="20"/>
          <w:szCs w:val="20"/>
        </w:rPr>
        <w:t xml:space="preserve"> that</w:t>
      </w:r>
      <w:r w:rsidR="009C248F">
        <w:rPr>
          <w:rFonts w:ascii="Cambria" w:hAnsi="Cambria"/>
          <w:sz w:val="20"/>
          <w:szCs w:val="20"/>
        </w:rPr>
        <w:t xml:space="preserve"> on</w:t>
      </w:r>
      <w:r>
        <w:rPr>
          <w:rFonts w:ascii="Cambria" w:hAnsi="Cambria"/>
          <w:sz w:val="20"/>
          <w:szCs w:val="20"/>
        </w:rPr>
        <w:t xml:space="preserve"> June</w:t>
      </w:r>
      <w:r w:rsidR="009C248F">
        <w:rPr>
          <w:rFonts w:ascii="Cambria" w:hAnsi="Cambria"/>
          <w:sz w:val="20"/>
          <w:szCs w:val="20"/>
        </w:rPr>
        <w:t xml:space="preserve"> 18,</w:t>
      </w:r>
      <w:r>
        <w:rPr>
          <w:rFonts w:ascii="Cambria" w:hAnsi="Cambria"/>
          <w:sz w:val="20"/>
          <w:szCs w:val="20"/>
        </w:rPr>
        <w:t xml:space="preserve"> </w:t>
      </w:r>
      <w:r w:rsidRPr="006E7949">
        <w:rPr>
          <w:rFonts w:ascii="Cambria" w:hAnsi="Cambria"/>
          <w:noProof/>
          <w:sz w:val="20"/>
          <w:szCs w:val="20"/>
        </w:rPr>
        <w:t>1996</w:t>
      </w:r>
      <w:r w:rsidR="006E7949">
        <w:rPr>
          <w:rFonts w:ascii="Cambria" w:hAnsi="Cambria"/>
          <w:noProof/>
          <w:sz w:val="20"/>
          <w:szCs w:val="20"/>
        </w:rPr>
        <w:t>,</w:t>
      </w:r>
      <w:r>
        <w:rPr>
          <w:rFonts w:ascii="Cambria" w:hAnsi="Cambria"/>
          <w:sz w:val="20"/>
          <w:szCs w:val="20"/>
        </w:rPr>
        <w:t xml:space="preserve"> an ordinary civil action was initiated against CAPEF alleging unjust enrichment, with the aim of </w:t>
      </w:r>
      <w:r w:rsidR="00045767">
        <w:rPr>
          <w:rFonts w:ascii="Cambria" w:hAnsi="Cambria"/>
          <w:sz w:val="20"/>
          <w:szCs w:val="20"/>
        </w:rPr>
        <w:t>securing restitution to</w:t>
      </w:r>
      <w:r>
        <w:rPr>
          <w:rFonts w:ascii="Cambria" w:hAnsi="Cambria"/>
          <w:sz w:val="20"/>
          <w:szCs w:val="20"/>
        </w:rPr>
        <w:t xml:space="preserve"> the alleged victims</w:t>
      </w:r>
      <w:r w:rsidR="00045767">
        <w:rPr>
          <w:rFonts w:ascii="Cambria" w:hAnsi="Cambria"/>
          <w:sz w:val="20"/>
          <w:szCs w:val="20"/>
        </w:rPr>
        <w:t xml:space="preserve"> for monthly overcharges dating back to 1987.  The case </w:t>
      </w:r>
      <w:r w:rsidR="00045767" w:rsidRPr="00904F99">
        <w:rPr>
          <w:rFonts w:ascii="Cambria" w:hAnsi="Cambria"/>
          <w:noProof/>
          <w:sz w:val="20"/>
          <w:szCs w:val="20"/>
        </w:rPr>
        <w:t xml:space="preserve">was </w:t>
      </w:r>
      <w:r w:rsidR="00CC5A5D" w:rsidRPr="00904F99">
        <w:rPr>
          <w:rFonts w:ascii="Cambria" w:hAnsi="Cambria"/>
          <w:noProof/>
          <w:sz w:val="20"/>
          <w:szCs w:val="20"/>
        </w:rPr>
        <w:t>brought</w:t>
      </w:r>
      <w:r w:rsidR="00CC5A5D">
        <w:rPr>
          <w:rFonts w:ascii="Cambria" w:hAnsi="Cambria"/>
          <w:sz w:val="20"/>
          <w:szCs w:val="20"/>
        </w:rPr>
        <w:t xml:space="preserve"> before the </w:t>
      </w:r>
      <w:r w:rsidR="001234FF">
        <w:rPr>
          <w:rFonts w:ascii="Cambria" w:hAnsi="Cambria"/>
          <w:sz w:val="20"/>
          <w:szCs w:val="20"/>
        </w:rPr>
        <w:t>Common</w:t>
      </w:r>
      <w:r w:rsidR="004E504B">
        <w:rPr>
          <w:rFonts w:ascii="Cambria" w:hAnsi="Cambria"/>
          <w:sz w:val="20"/>
          <w:szCs w:val="20"/>
        </w:rPr>
        <w:t xml:space="preserve"> Court,</w:t>
      </w:r>
      <w:r w:rsidR="00CC5A5D">
        <w:rPr>
          <w:rFonts w:ascii="Cambria" w:hAnsi="Cambria"/>
          <w:sz w:val="20"/>
          <w:szCs w:val="20"/>
        </w:rPr>
        <w:t xml:space="preserve"> </w:t>
      </w:r>
      <w:r w:rsidR="00CC5A5D" w:rsidRPr="004E504B">
        <w:rPr>
          <w:rFonts w:ascii="Cambria" w:hAnsi="Cambria"/>
          <w:noProof/>
          <w:sz w:val="20"/>
          <w:szCs w:val="20"/>
        </w:rPr>
        <w:t>and</w:t>
      </w:r>
      <w:r w:rsidR="00CC5A5D">
        <w:rPr>
          <w:rFonts w:ascii="Cambria" w:hAnsi="Cambria"/>
          <w:sz w:val="20"/>
          <w:szCs w:val="20"/>
        </w:rPr>
        <w:t xml:space="preserve"> the judge in the court of first instance </w:t>
      </w:r>
      <w:r w:rsidR="00AA2FF6">
        <w:rPr>
          <w:rFonts w:ascii="Cambria" w:hAnsi="Cambria"/>
          <w:sz w:val="20"/>
          <w:szCs w:val="20"/>
        </w:rPr>
        <w:t>issued</w:t>
      </w:r>
      <w:r w:rsidR="00CC5A5D">
        <w:rPr>
          <w:rFonts w:ascii="Cambria" w:hAnsi="Cambria"/>
          <w:sz w:val="20"/>
          <w:szCs w:val="20"/>
        </w:rPr>
        <w:t>, on June</w:t>
      </w:r>
      <w:r w:rsidR="009C248F">
        <w:rPr>
          <w:rFonts w:ascii="Cambria" w:hAnsi="Cambria"/>
          <w:sz w:val="20"/>
          <w:szCs w:val="20"/>
        </w:rPr>
        <w:t xml:space="preserve"> 19,</w:t>
      </w:r>
      <w:r w:rsidR="00CC5A5D">
        <w:rPr>
          <w:rFonts w:ascii="Cambria" w:hAnsi="Cambria"/>
          <w:sz w:val="20"/>
          <w:szCs w:val="20"/>
        </w:rPr>
        <w:t xml:space="preserve"> 1996, </w:t>
      </w:r>
      <w:r w:rsidR="00CC5A5D" w:rsidRPr="004E504B">
        <w:rPr>
          <w:rFonts w:ascii="Cambria" w:hAnsi="Cambria"/>
          <w:noProof/>
          <w:sz w:val="20"/>
          <w:szCs w:val="20"/>
        </w:rPr>
        <w:t xml:space="preserve">a </w:t>
      </w:r>
      <w:r w:rsidR="004E504B" w:rsidRPr="004E504B">
        <w:rPr>
          <w:rFonts w:ascii="Cambria" w:hAnsi="Cambria"/>
          <w:noProof/>
          <w:sz w:val="20"/>
          <w:szCs w:val="20"/>
        </w:rPr>
        <w:t xml:space="preserve">precautionary measure </w:t>
      </w:r>
      <w:r w:rsidR="007B2CE8" w:rsidRPr="004E504B">
        <w:rPr>
          <w:rFonts w:ascii="Cambria" w:hAnsi="Cambria"/>
          <w:sz w:val="20"/>
          <w:szCs w:val="20"/>
        </w:rPr>
        <w:t>in favor</w:t>
      </w:r>
      <w:r w:rsidR="00AA2FF6" w:rsidRPr="004E504B">
        <w:rPr>
          <w:rFonts w:ascii="Cambria" w:hAnsi="Cambria"/>
          <w:sz w:val="20"/>
          <w:szCs w:val="20"/>
        </w:rPr>
        <w:t xml:space="preserve"> of the alleged victims.</w:t>
      </w:r>
      <w:r w:rsidR="007B2CE8" w:rsidRPr="004E504B">
        <w:rPr>
          <w:rFonts w:ascii="Cambria" w:hAnsi="Cambria"/>
          <w:sz w:val="20"/>
          <w:szCs w:val="20"/>
        </w:rPr>
        <w:t xml:space="preserve"> </w:t>
      </w:r>
      <w:r w:rsidR="002E6497" w:rsidRPr="004E504B">
        <w:rPr>
          <w:rFonts w:ascii="Cambria" w:hAnsi="Cambria"/>
          <w:sz w:val="20"/>
          <w:szCs w:val="20"/>
        </w:rPr>
        <w:t xml:space="preserve"> CAPEF</w:t>
      </w:r>
      <w:r w:rsidR="009A6E01" w:rsidRPr="004E504B">
        <w:rPr>
          <w:rFonts w:ascii="Cambria" w:hAnsi="Cambria"/>
          <w:sz w:val="20"/>
          <w:szCs w:val="20"/>
        </w:rPr>
        <w:t xml:space="preserve"> </w:t>
      </w:r>
      <w:r w:rsidR="006315C2" w:rsidRPr="004E504B">
        <w:rPr>
          <w:rFonts w:ascii="Cambria" w:hAnsi="Cambria"/>
          <w:sz w:val="20"/>
          <w:szCs w:val="20"/>
        </w:rPr>
        <w:t xml:space="preserve">sought a </w:t>
      </w:r>
      <w:r w:rsidR="00C1097B">
        <w:rPr>
          <w:rFonts w:ascii="Cambria" w:hAnsi="Cambria"/>
          <w:sz w:val="20"/>
          <w:szCs w:val="20"/>
        </w:rPr>
        <w:t>review appeal</w:t>
      </w:r>
      <w:r w:rsidR="006315C2" w:rsidRPr="004E504B">
        <w:rPr>
          <w:rFonts w:ascii="Cambria" w:hAnsi="Cambria"/>
          <w:sz w:val="20"/>
          <w:szCs w:val="20"/>
        </w:rPr>
        <w:t xml:space="preserve"> against</w:t>
      </w:r>
      <w:r w:rsidR="007B2CE8" w:rsidRPr="004E504B">
        <w:rPr>
          <w:rFonts w:ascii="Cambria" w:hAnsi="Cambria"/>
          <w:sz w:val="20"/>
          <w:szCs w:val="20"/>
        </w:rPr>
        <w:t xml:space="preserve"> this judgment</w:t>
      </w:r>
      <w:r w:rsidR="00F465F6" w:rsidRPr="004E504B">
        <w:rPr>
          <w:rFonts w:ascii="Cambria" w:hAnsi="Cambria"/>
          <w:sz w:val="20"/>
          <w:szCs w:val="20"/>
        </w:rPr>
        <w:t xml:space="preserve"> </w:t>
      </w:r>
      <w:r w:rsidR="009A3C22" w:rsidRPr="004E504B">
        <w:rPr>
          <w:rFonts w:ascii="Cambria" w:hAnsi="Cambria"/>
          <w:sz w:val="20"/>
          <w:szCs w:val="20"/>
        </w:rPr>
        <w:t>arguing</w:t>
      </w:r>
      <w:r w:rsidR="00F465F6" w:rsidRPr="004E504B">
        <w:rPr>
          <w:rFonts w:ascii="Cambria" w:hAnsi="Cambria"/>
          <w:sz w:val="20"/>
          <w:szCs w:val="20"/>
        </w:rPr>
        <w:t xml:space="preserve"> that the damages awarded </w:t>
      </w:r>
      <w:r w:rsidR="00F465F6" w:rsidRPr="00DD5FF7">
        <w:rPr>
          <w:rFonts w:ascii="Cambria" w:hAnsi="Cambria"/>
          <w:noProof/>
          <w:sz w:val="20"/>
          <w:szCs w:val="20"/>
        </w:rPr>
        <w:t>were based</w:t>
      </w:r>
      <w:r w:rsidR="00F465F6" w:rsidRPr="004E504B">
        <w:rPr>
          <w:rFonts w:ascii="Cambria" w:hAnsi="Cambria"/>
          <w:sz w:val="20"/>
          <w:szCs w:val="20"/>
        </w:rPr>
        <w:t xml:space="preserve"> upon an actuarial appraisal dating from December</w:t>
      </w:r>
      <w:r w:rsidR="009C248F" w:rsidRPr="004E504B">
        <w:rPr>
          <w:rFonts w:ascii="Cambria" w:hAnsi="Cambria"/>
          <w:sz w:val="20"/>
          <w:szCs w:val="20"/>
        </w:rPr>
        <w:t xml:space="preserve"> 31,</w:t>
      </w:r>
      <w:r w:rsidR="00F465F6" w:rsidRPr="004E504B">
        <w:rPr>
          <w:rFonts w:ascii="Cambria" w:hAnsi="Cambria"/>
          <w:sz w:val="20"/>
          <w:szCs w:val="20"/>
        </w:rPr>
        <w:t xml:space="preserve"> 1986, at </w:t>
      </w:r>
      <w:r w:rsidR="009B0BB2" w:rsidRPr="004E504B">
        <w:rPr>
          <w:rFonts w:ascii="Cambria" w:hAnsi="Cambria"/>
          <w:sz w:val="20"/>
          <w:szCs w:val="20"/>
        </w:rPr>
        <w:t>which time</w:t>
      </w:r>
      <w:r w:rsidR="00F465F6" w:rsidRPr="004E504B">
        <w:rPr>
          <w:rFonts w:ascii="Cambria" w:hAnsi="Cambria"/>
          <w:sz w:val="20"/>
          <w:szCs w:val="20"/>
        </w:rPr>
        <w:t xml:space="preserve"> the insufficien</w:t>
      </w:r>
      <w:r w:rsidR="009B0BB2" w:rsidRPr="004E504B">
        <w:rPr>
          <w:rFonts w:ascii="Cambria" w:hAnsi="Cambria"/>
          <w:sz w:val="20"/>
          <w:szCs w:val="20"/>
        </w:rPr>
        <w:t xml:space="preserve">cy of funds had </w:t>
      </w:r>
      <w:r w:rsidR="009B0BB2" w:rsidRPr="00DD5FF7">
        <w:rPr>
          <w:rFonts w:ascii="Cambria" w:hAnsi="Cambria"/>
          <w:noProof/>
          <w:sz w:val="20"/>
          <w:szCs w:val="20"/>
        </w:rPr>
        <w:t>been</w:t>
      </w:r>
      <w:r w:rsidR="009A3C22" w:rsidRPr="00DD5FF7">
        <w:rPr>
          <w:rFonts w:ascii="Cambria" w:hAnsi="Cambria"/>
          <w:noProof/>
          <w:sz w:val="20"/>
          <w:szCs w:val="20"/>
        </w:rPr>
        <w:t xml:space="preserve"> verified</w:t>
      </w:r>
      <w:r w:rsidR="009A3C22" w:rsidRPr="004E504B">
        <w:rPr>
          <w:rFonts w:ascii="Cambria" w:hAnsi="Cambria"/>
          <w:sz w:val="20"/>
          <w:szCs w:val="20"/>
        </w:rPr>
        <w:t xml:space="preserve">.  The </w:t>
      </w:r>
      <w:r w:rsidR="00F465F6" w:rsidRPr="004E504B">
        <w:rPr>
          <w:rFonts w:ascii="Cambria" w:hAnsi="Cambria"/>
          <w:sz w:val="20"/>
          <w:szCs w:val="20"/>
        </w:rPr>
        <w:t xml:space="preserve">appeal </w:t>
      </w:r>
      <w:r w:rsidR="00F465F6" w:rsidRPr="002B51DE">
        <w:rPr>
          <w:rFonts w:ascii="Cambria" w:hAnsi="Cambria"/>
          <w:noProof/>
          <w:sz w:val="20"/>
          <w:szCs w:val="20"/>
        </w:rPr>
        <w:t xml:space="preserve">was </w:t>
      </w:r>
      <w:r w:rsidR="009A3C22" w:rsidRPr="002B51DE">
        <w:rPr>
          <w:rFonts w:ascii="Cambria" w:hAnsi="Cambria"/>
          <w:noProof/>
          <w:sz w:val="20"/>
          <w:szCs w:val="20"/>
        </w:rPr>
        <w:t>denied</w:t>
      </w:r>
      <w:r w:rsidR="009A3C22" w:rsidRPr="004E504B">
        <w:rPr>
          <w:rFonts w:ascii="Cambria" w:hAnsi="Cambria"/>
          <w:sz w:val="20"/>
          <w:szCs w:val="20"/>
        </w:rPr>
        <w:t xml:space="preserve"> in</w:t>
      </w:r>
      <w:r w:rsidR="00F465F6" w:rsidRPr="004E504B">
        <w:rPr>
          <w:rFonts w:ascii="Cambria" w:hAnsi="Cambria"/>
          <w:sz w:val="20"/>
          <w:szCs w:val="20"/>
        </w:rPr>
        <w:t xml:space="preserve"> a</w:t>
      </w:r>
      <w:r w:rsidR="009A3C22" w:rsidRPr="004E504B">
        <w:rPr>
          <w:rFonts w:ascii="Cambria" w:hAnsi="Cambria"/>
          <w:sz w:val="20"/>
          <w:szCs w:val="20"/>
        </w:rPr>
        <w:t xml:space="preserve"> ruling</w:t>
      </w:r>
      <w:r w:rsidR="00F465F6" w:rsidRPr="004E504B">
        <w:rPr>
          <w:rFonts w:ascii="Cambria" w:hAnsi="Cambria"/>
          <w:sz w:val="20"/>
          <w:szCs w:val="20"/>
        </w:rPr>
        <w:t xml:space="preserve"> </w:t>
      </w:r>
      <w:r w:rsidR="009A3C22" w:rsidRPr="004E504B">
        <w:rPr>
          <w:rFonts w:ascii="Cambria" w:hAnsi="Cambria"/>
          <w:sz w:val="20"/>
          <w:szCs w:val="20"/>
        </w:rPr>
        <w:t xml:space="preserve">on </w:t>
      </w:r>
      <w:proofErr w:type="gramStart"/>
      <w:r w:rsidR="009A3C22" w:rsidRPr="004E504B">
        <w:rPr>
          <w:rFonts w:ascii="Cambria" w:hAnsi="Cambria"/>
          <w:sz w:val="20"/>
          <w:szCs w:val="20"/>
        </w:rPr>
        <w:t>April</w:t>
      </w:r>
      <w:r w:rsidR="009C248F" w:rsidRPr="004E504B">
        <w:rPr>
          <w:rFonts w:ascii="Cambria" w:hAnsi="Cambria"/>
          <w:sz w:val="20"/>
          <w:szCs w:val="20"/>
        </w:rPr>
        <w:t xml:space="preserve">  22</w:t>
      </w:r>
      <w:proofErr w:type="gramEnd"/>
      <w:r w:rsidR="009C248F" w:rsidRPr="004E504B">
        <w:rPr>
          <w:rFonts w:ascii="Cambria" w:hAnsi="Cambria"/>
          <w:sz w:val="20"/>
          <w:szCs w:val="20"/>
        </w:rPr>
        <w:t>,</w:t>
      </w:r>
      <w:r w:rsidR="009A3C22" w:rsidRPr="004E504B">
        <w:rPr>
          <w:rFonts w:ascii="Cambria" w:hAnsi="Cambria"/>
          <w:sz w:val="20"/>
          <w:szCs w:val="20"/>
        </w:rPr>
        <w:t xml:space="preserve"> 2008,</w:t>
      </w:r>
      <w:r w:rsidR="00F465F6" w:rsidRPr="004E504B">
        <w:rPr>
          <w:rFonts w:ascii="Cambria" w:hAnsi="Cambria"/>
          <w:sz w:val="20"/>
          <w:szCs w:val="20"/>
        </w:rPr>
        <w:t xml:space="preserve"> </w:t>
      </w:r>
      <w:r w:rsidR="009A3C22" w:rsidRPr="004E504B">
        <w:rPr>
          <w:rFonts w:ascii="Cambria" w:hAnsi="Cambria"/>
          <w:sz w:val="20"/>
          <w:szCs w:val="20"/>
        </w:rPr>
        <w:t>ha</w:t>
      </w:r>
      <w:r w:rsidR="00E44C19" w:rsidRPr="004E504B">
        <w:rPr>
          <w:rFonts w:ascii="Cambria" w:hAnsi="Cambria"/>
          <w:sz w:val="20"/>
          <w:szCs w:val="20"/>
        </w:rPr>
        <w:t>nded down by the</w:t>
      </w:r>
      <w:r w:rsidR="009A3C22" w:rsidRPr="004E504B">
        <w:rPr>
          <w:rFonts w:ascii="Cambria" w:hAnsi="Cambria"/>
          <w:sz w:val="20"/>
          <w:szCs w:val="20"/>
        </w:rPr>
        <w:t xml:space="preserve"> Court</w:t>
      </w:r>
      <w:r w:rsidR="00E44C19" w:rsidRPr="004E504B">
        <w:rPr>
          <w:rFonts w:ascii="Cambria" w:hAnsi="Cambria"/>
          <w:sz w:val="20"/>
          <w:szCs w:val="20"/>
        </w:rPr>
        <w:t xml:space="preserve"> of Appeals</w:t>
      </w:r>
      <w:r w:rsidR="009A3C22" w:rsidRPr="004E504B">
        <w:rPr>
          <w:rFonts w:ascii="Cambria" w:hAnsi="Cambria"/>
          <w:sz w:val="20"/>
          <w:szCs w:val="20"/>
        </w:rPr>
        <w:t xml:space="preserve">, </w:t>
      </w:r>
      <w:r w:rsidR="001234FF">
        <w:rPr>
          <w:rFonts w:ascii="Cambria" w:hAnsi="Cambria"/>
          <w:noProof/>
          <w:sz w:val="20"/>
          <w:szCs w:val="20"/>
        </w:rPr>
        <w:t>because</w:t>
      </w:r>
      <w:r w:rsidR="009A3C22" w:rsidRPr="004E504B">
        <w:rPr>
          <w:rFonts w:ascii="Cambria" w:hAnsi="Cambria"/>
          <w:sz w:val="20"/>
          <w:szCs w:val="20"/>
        </w:rPr>
        <w:t xml:space="preserve"> the </w:t>
      </w:r>
      <w:r w:rsidR="00C1097B">
        <w:rPr>
          <w:rFonts w:ascii="Cambria" w:hAnsi="Cambria"/>
          <w:sz w:val="20"/>
          <w:szCs w:val="20"/>
        </w:rPr>
        <w:t>charges</w:t>
      </w:r>
      <w:r w:rsidR="009A3C22" w:rsidRPr="004E504B">
        <w:rPr>
          <w:rFonts w:ascii="Cambria" w:hAnsi="Cambria"/>
          <w:sz w:val="20"/>
          <w:szCs w:val="20"/>
        </w:rPr>
        <w:t xml:space="preserve"> had not </w:t>
      </w:r>
      <w:r w:rsidR="009A3C22" w:rsidRPr="002B51DE">
        <w:rPr>
          <w:rFonts w:ascii="Cambria" w:hAnsi="Cambria"/>
          <w:noProof/>
          <w:sz w:val="20"/>
          <w:szCs w:val="20"/>
        </w:rPr>
        <w:t>been duly approved</w:t>
      </w:r>
      <w:r w:rsidR="009A3C22" w:rsidRPr="004E504B">
        <w:rPr>
          <w:rFonts w:ascii="Cambria" w:hAnsi="Cambria"/>
          <w:sz w:val="20"/>
          <w:szCs w:val="20"/>
        </w:rPr>
        <w:t xml:space="preserve">.  </w:t>
      </w:r>
      <w:r w:rsidR="00C1097B">
        <w:rPr>
          <w:rFonts w:ascii="Cambria" w:hAnsi="Cambria"/>
          <w:sz w:val="20"/>
          <w:szCs w:val="20"/>
        </w:rPr>
        <w:t>Therefore, t</w:t>
      </w:r>
      <w:r w:rsidR="009A3C22" w:rsidRPr="004E504B">
        <w:rPr>
          <w:rFonts w:ascii="Cambria" w:hAnsi="Cambria"/>
          <w:sz w:val="20"/>
          <w:szCs w:val="20"/>
        </w:rPr>
        <w:t>he lower court’s ruling</w:t>
      </w:r>
      <w:r w:rsidR="00C1097B">
        <w:rPr>
          <w:rFonts w:ascii="Cambria" w:hAnsi="Cambria"/>
          <w:sz w:val="20"/>
          <w:szCs w:val="20"/>
        </w:rPr>
        <w:t xml:space="preserve"> </w:t>
      </w:r>
      <w:r w:rsidR="00C1097B" w:rsidRPr="002B51DE">
        <w:rPr>
          <w:rFonts w:ascii="Cambria" w:hAnsi="Cambria"/>
          <w:noProof/>
          <w:sz w:val="20"/>
          <w:szCs w:val="20"/>
        </w:rPr>
        <w:t>was maintained</w:t>
      </w:r>
      <w:r w:rsidR="00C1097B">
        <w:rPr>
          <w:rFonts w:ascii="Cambria" w:hAnsi="Cambria"/>
          <w:sz w:val="20"/>
          <w:szCs w:val="20"/>
        </w:rPr>
        <w:t xml:space="preserve">. </w:t>
      </w:r>
    </w:p>
    <w:p w14:paraId="5CB997A2" w14:textId="325DF6BD" w:rsidR="00283EA4" w:rsidRPr="00316554" w:rsidRDefault="00C675D3" w:rsidP="000A56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75D3">
        <w:rPr>
          <w:rFonts w:ascii="Cambria" w:hAnsi="Cambria"/>
          <w:sz w:val="20"/>
          <w:szCs w:val="20"/>
        </w:rPr>
        <w:t>On September</w:t>
      </w:r>
      <w:r w:rsidR="009C248F" w:rsidRPr="00C675D3">
        <w:rPr>
          <w:rFonts w:ascii="Cambria" w:hAnsi="Cambria"/>
          <w:sz w:val="20"/>
          <w:szCs w:val="20"/>
        </w:rPr>
        <w:t xml:space="preserve"> 22</w:t>
      </w:r>
      <w:r w:rsidR="009C248F">
        <w:rPr>
          <w:rFonts w:ascii="Cambria" w:hAnsi="Cambria"/>
          <w:sz w:val="20"/>
          <w:szCs w:val="20"/>
        </w:rPr>
        <w:t>,</w:t>
      </w:r>
      <w:r>
        <w:rPr>
          <w:rFonts w:ascii="Cambria" w:hAnsi="Cambria"/>
          <w:sz w:val="20"/>
          <w:szCs w:val="20"/>
        </w:rPr>
        <w:t xml:space="preserve"> 2002, the merits of the case were ruled totally in favor of the alleged victims, ordering the </w:t>
      </w:r>
      <w:r w:rsidR="00E33B4C">
        <w:rPr>
          <w:rFonts w:ascii="Cambria" w:hAnsi="Cambria"/>
          <w:sz w:val="20"/>
          <w:szCs w:val="20"/>
        </w:rPr>
        <w:t>re</w:t>
      </w:r>
      <w:r w:rsidR="00AB41A8">
        <w:rPr>
          <w:rFonts w:ascii="Cambria" w:hAnsi="Cambria"/>
          <w:sz w:val="20"/>
          <w:szCs w:val="20"/>
        </w:rPr>
        <w:t>stitution</w:t>
      </w:r>
      <w:r w:rsidR="00E33B4C">
        <w:rPr>
          <w:rFonts w:ascii="Cambria" w:hAnsi="Cambria"/>
          <w:sz w:val="20"/>
          <w:szCs w:val="20"/>
        </w:rPr>
        <w:t xml:space="preserve"> in full of the</w:t>
      </w:r>
      <w:r>
        <w:rPr>
          <w:rFonts w:ascii="Cambria" w:hAnsi="Cambria"/>
          <w:sz w:val="20"/>
          <w:szCs w:val="20"/>
        </w:rPr>
        <w:t xml:space="preserve"> excess value paid into the pension fund.  On October</w:t>
      </w:r>
      <w:r w:rsidR="009C248F">
        <w:rPr>
          <w:rFonts w:ascii="Cambria" w:hAnsi="Cambria"/>
          <w:sz w:val="20"/>
          <w:szCs w:val="20"/>
        </w:rPr>
        <w:t xml:space="preserve"> 4,</w:t>
      </w:r>
      <w:r>
        <w:rPr>
          <w:rFonts w:ascii="Cambria" w:hAnsi="Cambria"/>
          <w:sz w:val="20"/>
          <w:szCs w:val="20"/>
        </w:rPr>
        <w:t xml:space="preserve"> 2002, CAPEF filed </w:t>
      </w:r>
      <w:r w:rsidR="005F3E91">
        <w:rPr>
          <w:rFonts w:ascii="Cambria" w:hAnsi="Cambria"/>
          <w:sz w:val="20"/>
          <w:szCs w:val="20"/>
        </w:rPr>
        <w:t>an appeal; notwithstanding, on October</w:t>
      </w:r>
      <w:r w:rsidR="009C248F">
        <w:rPr>
          <w:rFonts w:ascii="Cambria" w:hAnsi="Cambria"/>
          <w:sz w:val="20"/>
          <w:szCs w:val="20"/>
        </w:rPr>
        <w:t xml:space="preserve"> 6,</w:t>
      </w:r>
      <w:r w:rsidR="005F3E91">
        <w:rPr>
          <w:rFonts w:ascii="Cambria" w:hAnsi="Cambria"/>
          <w:sz w:val="20"/>
          <w:szCs w:val="20"/>
        </w:rPr>
        <w:t xml:space="preserve"> </w:t>
      </w:r>
      <w:r w:rsidR="005F3E91" w:rsidRPr="001234FF">
        <w:rPr>
          <w:rFonts w:ascii="Cambria" w:hAnsi="Cambria"/>
          <w:noProof/>
          <w:sz w:val="20"/>
          <w:szCs w:val="20"/>
        </w:rPr>
        <w:t>2009</w:t>
      </w:r>
      <w:r w:rsidR="001234FF">
        <w:rPr>
          <w:rFonts w:ascii="Cambria" w:hAnsi="Cambria"/>
          <w:noProof/>
          <w:sz w:val="20"/>
          <w:szCs w:val="20"/>
        </w:rPr>
        <w:t>,</w:t>
      </w:r>
      <w:r>
        <w:rPr>
          <w:rFonts w:ascii="Cambria" w:hAnsi="Cambria"/>
          <w:sz w:val="20"/>
          <w:szCs w:val="20"/>
        </w:rPr>
        <w:t xml:space="preserve"> it </w:t>
      </w:r>
      <w:r w:rsidRPr="002B51DE">
        <w:rPr>
          <w:rFonts w:ascii="Cambria" w:hAnsi="Cambria"/>
          <w:noProof/>
          <w:sz w:val="20"/>
          <w:szCs w:val="20"/>
        </w:rPr>
        <w:t>was decided</w:t>
      </w:r>
      <w:r>
        <w:rPr>
          <w:rFonts w:ascii="Cambria" w:hAnsi="Cambria"/>
          <w:sz w:val="20"/>
          <w:szCs w:val="20"/>
        </w:rPr>
        <w:t xml:space="preserve"> that the case should </w:t>
      </w:r>
      <w:r w:rsidRPr="002B51DE">
        <w:rPr>
          <w:rFonts w:ascii="Cambria" w:hAnsi="Cambria"/>
          <w:noProof/>
          <w:sz w:val="20"/>
          <w:szCs w:val="20"/>
        </w:rPr>
        <w:t>be transferred</w:t>
      </w:r>
      <w:r>
        <w:rPr>
          <w:rFonts w:ascii="Cambria" w:hAnsi="Cambria"/>
          <w:sz w:val="20"/>
          <w:szCs w:val="20"/>
        </w:rPr>
        <w:t xml:space="preserve"> to the Labor Court</w:t>
      </w:r>
      <w:r w:rsidR="0062596C">
        <w:rPr>
          <w:rFonts w:ascii="Cambria" w:hAnsi="Cambria"/>
          <w:sz w:val="20"/>
          <w:szCs w:val="20"/>
        </w:rPr>
        <w:t>, whic</w:t>
      </w:r>
      <w:r w:rsidR="00063FA0">
        <w:rPr>
          <w:rFonts w:ascii="Cambria" w:hAnsi="Cambria"/>
          <w:sz w:val="20"/>
          <w:szCs w:val="20"/>
        </w:rPr>
        <w:t xml:space="preserve">h </w:t>
      </w:r>
      <w:r w:rsidR="00063FA0" w:rsidRPr="002B51DE">
        <w:rPr>
          <w:rFonts w:ascii="Cambria" w:hAnsi="Cambria"/>
          <w:noProof/>
          <w:sz w:val="20"/>
          <w:szCs w:val="20"/>
        </w:rPr>
        <w:t>was done</w:t>
      </w:r>
      <w:r w:rsidR="00063FA0">
        <w:rPr>
          <w:rFonts w:ascii="Cambria" w:hAnsi="Cambria"/>
          <w:sz w:val="20"/>
          <w:szCs w:val="20"/>
        </w:rPr>
        <w:t xml:space="preserve"> without the Court of Appeals</w:t>
      </w:r>
      <w:r w:rsidR="0062596C">
        <w:rPr>
          <w:rFonts w:ascii="Cambria" w:hAnsi="Cambria"/>
          <w:sz w:val="20"/>
          <w:szCs w:val="20"/>
        </w:rPr>
        <w:t xml:space="preserve"> ruling on the merits of the </w:t>
      </w:r>
      <w:r w:rsidR="0062596C" w:rsidRPr="002B51DE">
        <w:rPr>
          <w:rFonts w:ascii="Cambria" w:hAnsi="Cambria"/>
          <w:noProof/>
          <w:sz w:val="20"/>
          <w:szCs w:val="20"/>
        </w:rPr>
        <w:t>case</w:t>
      </w:r>
      <w:r w:rsidR="0062596C">
        <w:rPr>
          <w:rFonts w:ascii="Cambria" w:hAnsi="Cambria"/>
          <w:sz w:val="20"/>
          <w:szCs w:val="20"/>
        </w:rPr>
        <w:t>.  On February</w:t>
      </w:r>
      <w:r w:rsidR="009C248F">
        <w:rPr>
          <w:rFonts w:ascii="Cambria" w:hAnsi="Cambria"/>
          <w:sz w:val="20"/>
          <w:szCs w:val="20"/>
        </w:rPr>
        <w:t xml:space="preserve"> 24,</w:t>
      </w:r>
      <w:r w:rsidR="0062596C">
        <w:rPr>
          <w:rFonts w:ascii="Cambria" w:hAnsi="Cambria"/>
          <w:sz w:val="20"/>
          <w:szCs w:val="20"/>
        </w:rPr>
        <w:t xml:space="preserve"> 2010, the lawsuit was </w:t>
      </w:r>
      <w:r w:rsidR="001234FF">
        <w:rPr>
          <w:rFonts w:ascii="Cambria" w:hAnsi="Cambria"/>
          <w:sz w:val="20"/>
          <w:szCs w:val="20"/>
        </w:rPr>
        <w:t xml:space="preserve">then </w:t>
      </w:r>
      <w:r w:rsidR="0062596C">
        <w:rPr>
          <w:rFonts w:ascii="Cambria" w:hAnsi="Cambria"/>
          <w:sz w:val="20"/>
          <w:szCs w:val="20"/>
        </w:rPr>
        <w:t xml:space="preserve">transferred to the Labor Court, following a motion alleging conflict of jurisdiction, despite the fact that, according to the </w:t>
      </w:r>
      <w:r w:rsidR="001234FF">
        <w:rPr>
          <w:rFonts w:ascii="Cambria" w:hAnsi="Cambria"/>
          <w:sz w:val="20"/>
          <w:szCs w:val="20"/>
        </w:rPr>
        <w:t>petitioner</w:t>
      </w:r>
      <w:r w:rsidR="0062596C">
        <w:rPr>
          <w:rFonts w:ascii="Cambria" w:hAnsi="Cambria"/>
          <w:sz w:val="20"/>
          <w:szCs w:val="20"/>
        </w:rPr>
        <w:t xml:space="preserve">, similar cases had </w:t>
      </w:r>
      <w:r w:rsidR="0062596C" w:rsidRPr="00DD5FF7">
        <w:rPr>
          <w:rFonts w:ascii="Cambria" w:hAnsi="Cambria"/>
          <w:noProof/>
          <w:sz w:val="20"/>
          <w:szCs w:val="20"/>
        </w:rPr>
        <w:t>been heard</w:t>
      </w:r>
      <w:r w:rsidR="0062596C">
        <w:rPr>
          <w:rFonts w:ascii="Cambria" w:hAnsi="Cambria"/>
          <w:sz w:val="20"/>
          <w:szCs w:val="20"/>
        </w:rPr>
        <w:t xml:space="preserve"> at the </w:t>
      </w:r>
      <w:r w:rsidR="001234FF">
        <w:rPr>
          <w:rFonts w:ascii="Cambria" w:hAnsi="Cambria"/>
          <w:sz w:val="20"/>
          <w:szCs w:val="20"/>
        </w:rPr>
        <w:t xml:space="preserve">Common Court </w:t>
      </w:r>
      <w:r w:rsidR="00E44C19">
        <w:rPr>
          <w:rFonts w:ascii="Cambria" w:hAnsi="Cambria"/>
          <w:sz w:val="20"/>
          <w:szCs w:val="20"/>
        </w:rPr>
        <w:t>based on an opinion issued by</w:t>
      </w:r>
      <w:r w:rsidR="0062596C">
        <w:rPr>
          <w:rFonts w:ascii="Cambria" w:hAnsi="Cambria"/>
          <w:sz w:val="20"/>
          <w:szCs w:val="20"/>
        </w:rPr>
        <w:t xml:space="preserve"> the Federal Supreme Court (hereinafter, “STF”).  The </w:t>
      </w:r>
      <w:r w:rsidR="001234FF">
        <w:rPr>
          <w:rFonts w:ascii="Cambria" w:hAnsi="Cambria"/>
          <w:sz w:val="20"/>
          <w:szCs w:val="20"/>
        </w:rPr>
        <w:t>petitioner</w:t>
      </w:r>
      <w:r w:rsidR="0062596C">
        <w:rPr>
          <w:rFonts w:ascii="Cambria" w:hAnsi="Cambria"/>
          <w:sz w:val="20"/>
          <w:szCs w:val="20"/>
        </w:rPr>
        <w:t xml:space="preserve"> </w:t>
      </w:r>
      <w:r w:rsidR="00B5256F">
        <w:rPr>
          <w:rFonts w:ascii="Cambria" w:hAnsi="Cambria"/>
          <w:sz w:val="20"/>
          <w:szCs w:val="20"/>
        </w:rPr>
        <w:t>cited</w:t>
      </w:r>
      <w:r w:rsidR="0062596C">
        <w:rPr>
          <w:rFonts w:ascii="Cambria" w:hAnsi="Cambria"/>
          <w:sz w:val="20"/>
          <w:szCs w:val="20"/>
        </w:rPr>
        <w:t xml:space="preserve"> Recommendation no. 45/2008</w:t>
      </w:r>
      <w:r w:rsidR="00B5256F">
        <w:rPr>
          <w:rFonts w:ascii="Cambria" w:hAnsi="Cambria"/>
          <w:sz w:val="20"/>
          <w:szCs w:val="20"/>
        </w:rPr>
        <w:t>,</w:t>
      </w:r>
      <w:r w:rsidR="0062596C">
        <w:rPr>
          <w:rFonts w:ascii="Cambria" w:hAnsi="Cambria"/>
          <w:sz w:val="20"/>
          <w:szCs w:val="20"/>
        </w:rPr>
        <w:t xml:space="preserve"> as </w:t>
      </w:r>
      <w:r w:rsidR="00810069">
        <w:rPr>
          <w:rFonts w:ascii="Cambria" w:hAnsi="Cambria"/>
          <w:sz w:val="20"/>
          <w:szCs w:val="20"/>
        </w:rPr>
        <w:t>presented by the Federal Office of the Public Prosecutor on September</w:t>
      </w:r>
      <w:r w:rsidR="009C248F">
        <w:rPr>
          <w:rFonts w:ascii="Cambria" w:hAnsi="Cambria"/>
          <w:sz w:val="20"/>
          <w:szCs w:val="20"/>
        </w:rPr>
        <w:t xml:space="preserve"> 17,</w:t>
      </w:r>
      <w:r w:rsidR="00810069">
        <w:rPr>
          <w:rFonts w:ascii="Cambria" w:hAnsi="Cambria"/>
          <w:sz w:val="20"/>
          <w:szCs w:val="20"/>
        </w:rPr>
        <w:t xml:space="preserve"> </w:t>
      </w:r>
      <w:r w:rsidR="00810069" w:rsidRPr="001234FF">
        <w:rPr>
          <w:rFonts w:ascii="Cambria" w:hAnsi="Cambria"/>
          <w:noProof/>
          <w:sz w:val="20"/>
          <w:szCs w:val="20"/>
        </w:rPr>
        <w:t>2008</w:t>
      </w:r>
      <w:r w:rsidR="001234FF">
        <w:rPr>
          <w:rFonts w:ascii="Cambria" w:hAnsi="Cambria"/>
          <w:noProof/>
          <w:sz w:val="20"/>
          <w:szCs w:val="20"/>
        </w:rPr>
        <w:t>,</w:t>
      </w:r>
      <w:r w:rsidR="00810069">
        <w:rPr>
          <w:rFonts w:ascii="Cambria" w:hAnsi="Cambria"/>
          <w:sz w:val="20"/>
          <w:szCs w:val="20"/>
        </w:rPr>
        <w:t xml:space="preserve"> relating to labor litigation brought by people in an identical situation, and in which the </w:t>
      </w:r>
      <w:r w:rsidR="001234FF">
        <w:rPr>
          <w:rFonts w:ascii="Cambria" w:hAnsi="Cambria"/>
          <w:sz w:val="20"/>
          <w:szCs w:val="20"/>
        </w:rPr>
        <w:t>agency</w:t>
      </w:r>
      <w:r w:rsidR="00810069">
        <w:rPr>
          <w:rFonts w:ascii="Cambria" w:hAnsi="Cambria"/>
          <w:sz w:val="20"/>
          <w:szCs w:val="20"/>
        </w:rPr>
        <w:t xml:space="preserve"> stated that the increase in the contribution percentage of the alleged victims was a violation of</w:t>
      </w:r>
      <w:r w:rsidR="00864018">
        <w:rPr>
          <w:rFonts w:ascii="Cambria" w:hAnsi="Cambria"/>
          <w:sz w:val="20"/>
          <w:szCs w:val="20"/>
        </w:rPr>
        <w:t xml:space="preserve"> their right to life and elderly</w:t>
      </w:r>
      <w:r w:rsidR="00810069">
        <w:rPr>
          <w:rFonts w:ascii="Cambria" w:hAnsi="Cambria"/>
          <w:sz w:val="20"/>
          <w:szCs w:val="20"/>
        </w:rPr>
        <w:t xml:space="preserve"> protections.</w:t>
      </w:r>
    </w:p>
    <w:p w14:paraId="56FB1BE9" w14:textId="4AD59ED5" w:rsidR="00DD767C" w:rsidRPr="00A63482" w:rsidRDefault="002B51DE" w:rsidP="00283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Nonetheless, the State</w:t>
      </w:r>
      <w:r w:rsidR="00864018" w:rsidRPr="009A40F7">
        <w:rPr>
          <w:rFonts w:ascii="Cambria" w:hAnsi="Cambria"/>
          <w:sz w:val="20"/>
          <w:szCs w:val="20"/>
        </w:rPr>
        <w:t xml:space="preserve"> </w:t>
      </w:r>
      <w:r>
        <w:rPr>
          <w:rFonts w:ascii="Cambria" w:hAnsi="Cambria"/>
          <w:sz w:val="20"/>
          <w:szCs w:val="20"/>
        </w:rPr>
        <w:t xml:space="preserve">claims that the instant petition </w:t>
      </w:r>
      <w:r w:rsidR="00864018">
        <w:rPr>
          <w:rFonts w:ascii="Cambria" w:hAnsi="Cambria"/>
          <w:sz w:val="20"/>
          <w:szCs w:val="20"/>
        </w:rPr>
        <w:t xml:space="preserve">refers to the 20% </w:t>
      </w:r>
      <w:r w:rsidR="008E114E">
        <w:rPr>
          <w:rFonts w:ascii="Cambria" w:hAnsi="Cambria"/>
          <w:sz w:val="20"/>
          <w:szCs w:val="20"/>
        </w:rPr>
        <w:t>deduction</w:t>
      </w:r>
      <w:r w:rsidR="00864018">
        <w:rPr>
          <w:rFonts w:ascii="Cambria" w:hAnsi="Cambria"/>
          <w:sz w:val="20"/>
          <w:szCs w:val="20"/>
        </w:rPr>
        <w:t xml:space="preserve"> by CAPEF</w:t>
      </w:r>
      <w:r w:rsidR="00B5256F">
        <w:rPr>
          <w:rFonts w:ascii="Cambria" w:hAnsi="Cambria"/>
          <w:sz w:val="20"/>
          <w:szCs w:val="20"/>
        </w:rPr>
        <w:t>,</w:t>
      </w:r>
      <w:r w:rsidR="00864018">
        <w:rPr>
          <w:rFonts w:ascii="Cambria" w:hAnsi="Cambria"/>
          <w:sz w:val="20"/>
          <w:szCs w:val="20"/>
        </w:rPr>
        <w:t xml:space="preserve"> </w:t>
      </w:r>
      <w:r w:rsidR="00B5256F">
        <w:rPr>
          <w:rFonts w:ascii="Cambria" w:hAnsi="Cambria"/>
          <w:sz w:val="20"/>
          <w:szCs w:val="20"/>
        </w:rPr>
        <w:t>dating back to</w:t>
      </w:r>
      <w:r w:rsidR="00864018">
        <w:rPr>
          <w:rFonts w:ascii="Cambria" w:hAnsi="Cambria"/>
          <w:sz w:val="20"/>
          <w:szCs w:val="20"/>
        </w:rPr>
        <w:t xml:space="preserve"> 1987</w:t>
      </w:r>
      <w:r w:rsidR="00B5256F">
        <w:rPr>
          <w:rFonts w:ascii="Cambria" w:hAnsi="Cambria"/>
          <w:sz w:val="20"/>
          <w:szCs w:val="20"/>
        </w:rPr>
        <w:t>,</w:t>
      </w:r>
      <w:r w:rsidR="00864018">
        <w:rPr>
          <w:rFonts w:ascii="Cambria" w:hAnsi="Cambria"/>
          <w:sz w:val="20"/>
          <w:szCs w:val="20"/>
        </w:rPr>
        <w:t xml:space="preserve"> on the benefits of its insured</w:t>
      </w:r>
      <w:r w:rsidR="008E114E">
        <w:rPr>
          <w:rFonts w:ascii="Cambria" w:hAnsi="Cambria"/>
          <w:sz w:val="20"/>
          <w:szCs w:val="20"/>
        </w:rPr>
        <w:t xml:space="preserve"> clients</w:t>
      </w:r>
      <w:r w:rsidR="00864018">
        <w:rPr>
          <w:rFonts w:ascii="Cambria" w:hAnsi="Cambria"/>
          <w:sz w:val="20"/>
          <w:szCs w:val="20"/>
        </w:rPr>
        <w:t xml:space="preserve">, in </w:t>
      </w:r>
      <w:r w:rsidR="00864018" w:rsidRPr="008E114E">
        <w:rPr>
          <w:rFonts w:ascii="Cambria" w:hAnsi="Cambria"/>
          <w:sz w:val="20"/>
          <w:szCs w:val="20"/>
        </w:rPr>
        <w:t>violation</w:t>
      </w:r>
      <w:r w:rsidR="00864018">
        <w:rPr>
          <w:rFonts w:ascii="Cambria" w:hAnsi="Cambria"/>
          <w:sz w:val="20"/>
          <w:szCs w:val="20"/>
        </w:rPr>
        <w:t xml:space="preserve"> of</w:t>
      </w:r>
      <w:r w:rsidR="004C05CD">
        <w:rPr>
          <w:rFonts w:ascii="Cambria" w:hAnsi="Cambria"/>
          <w:sz w:val="20"/>
          <w:szCs w:val="20"/>
        </w:rPr>
        <w:t xml:space="preserve"> the statu</w:t>
      </w:r>
      <w:r w:rsidR="008E114E">
        <w:rPr>
          <w:rFonts w:ascii="Cambria" w:hAnsi="Cambria"/>
          <w:sz w:val="20"/>
          <w:szCs w:val="20"/>
        </w:rPr>
        <w:t>to</w:t>
      </w:r>
      <w:r w:rsidR="004C05CD">
        <w:rPr>
          <w:rFonts w:ascii="Cambria" w:hAnsi="Cambria"/>
          <w:sz w:val="20"/>
          <w:szCs w:val="20"/>
        </w:rPr>
        <w:t xml:space="preserve">ry provisions which </w:t>
      </w:r>
      <w:r w:rsidR="008E114E">
        <w:rPr>
          <w:rFonts w:ascii="Cambria" w:hAnsi="Cambria"/>
          <w:sz w:val="20"/>
          <w:szCs w:val="20"/>
        </w:rPr>
        <w:t>allow for</w:t>
      </w:r>
      <w:r w:rsidR="004C05CD">
        <w:rPr>
          <w:rFonts w:ascii="Cambria" w:hAnsi="Cambria"/>
          <w:sz w:val="20"/>
          <w:szCs w:val="20"/>
        </w:rPr>
        <w:t xml:space="preserve"> a 10% </w:t>
      </w:r>
      <w:r w:rsidR="008E114E">
        <w:rPr>
          <w:rFonts w:ascii="Cambria" w:hAnsi="Cambria"/>
          <w:sz w:val="20"/>
          <w:szCs w:val="20"/>
        </w:rPr>
        <w:t>deduction</w:t>
      </w:r>
      <w:r w:rsidR="004C05CD">
        <w:rPr>
          <w:rFonts w:ascii="Cambria" w:hAnsi="Cambria"/>
          <w:sz w:val="20"/>
          <w:szCs w:val="20"/>
        </w:rPr>
        <w:t>.  For th</w:t>
      </w:r>
      <w:r w:rsidR="00B5256F">
        <w:rPr>
          <w:rFonts w:ascii="Cambria" w:hAnsi="Cambria"/>
          <w:sz w:val="20"/>
          <w:szCs w:val="20"/>
        </w:rPr>
        <w:t xml:space="preserve">is reason, the </w:t>
      </w:r>
      <w:r>
        <w:rPr>
          <w:rFonts w:ascii="Cambria" w:hAnsi="Cambria"/>
          <w:sz w:val="20"/>
          <w:szCs w:val="20"/>
        </w:rPr>
        <w:t>State</w:t>
      </w:r>
      <w:r w:rsidR="004C05CD">
        <w:rPr>
          <w:rFonts w:ascii="Cambria" w:hAnsi="Cambria"/>
          <w:sz w:val="20"/>
          <w:szCs w:val="20"/>
        </w:rPr>
        <w:t xml:space="preserve"> alleges that 104 beneficiaries brought an unjust enrichment case against CAPEF, for which </w:t>
      </w:r>
      <w:r w:rsidR="004C05CD" w:rsidRPr="002B51DE">
        <w:rPr>
          <w:rFonts w:ascii="Cambria" w:hAnsi="Cambria"/>
          <w:noProof/>
          <w:sz w:val="20"/>
          <w:szCs w:val="20"/>
        </w:rPr>
        <w:t xml:space="preserve">a </w:t>
      </w:r>
      <w:r w:rsidRPr="002B51DE">
        <w:rPr>
          <w:rFonts w:ascii="Cambria" w:hAnsi="Cambria"/>
          <w:noProof/>
          <w:sz w:val="20"/>
          <w:szCs w:val="20"/>
        </w:rPr>
        <w:t>precautionary measure</w:t>
      </w:r>
      <w:r w:rsidR="004C05CD">
        <w:rPr>
          <w:rFonts w:ascii="Cambria" w:hAnsi="Cambria"/>
          <w:sz w:val="20"/>
          <w:szCs w:val="20"/>
        </w:rPr>
        <w:t xml:space="preserve"> was handed down already in 1996.  Following a ruling in favor of the seven alleged victims in the </w:t>
      </w:r>
      <w:r>
        <w:rPr>
          <w:rFonts w:ascii="Cambria" w:hAnsi="Cambria"/>
          <w:sz w:val="20"/>
          <w:szCs w:val="20"/>
        </w:rPr>
        <w:t>first</w:t>
      </w:r>
      <w:r w:rsidR="004C05CD">
        <w:rPr>
          <w:rFonts w:ascii="Cambria" w:hAnsi="Cambria"/>
          <w:sz w:val="20"/>
          <w:szCs w:val="20"/>
        </w:rPr>
        <w:t xml:space="preserve"> instance i</w:t>
      </w:r>
      <w:r>
        <w:rPr>
          <w:rFonts w:ascii="Cambria" w:hAnsi="Cambria"/>
          <w:sz w:val="20"/>
          <w:szCs w:val="20"/>
        </w:rPr>
        <w:t xml:space="preserve">n 2002, CAPEF filed an appeal. </w:t>
      </w:r>
      <w:r w:rsidR="004C05CD">
        <w:rPr>
          <w:rFonts w:ascii="Cambria" w:hAnsi="Cambria"/>
          <w:sz w:val="20"/>
          <w:szCs w:val="20"/>
        </w:rPr>
        <w:t>In the meantime, due to the jurisdictional conflict</w:t>
      </w:r>
      <w:r>
        <w:rPr>
          <w:rFonts w:ascii="Cambria" w:hAnsi="Cambria"/>
          <w:sz w:val="20"/>
          <w:szCs w:val="20"/>
        </w:rPr>
        <w:t xml:space="preserve"> and the overturning of the C</w:t>
      </w:r>
      <w:r w:rsidR="00CF40D7">
        <w:rPr>
          <w:rFonts w:ascii="Cambria" w:hAnsi="Cambria"/>
          <w:sz w:val="20"/>
          <w:szCs w:val="20"/>
        </w:rPr>
        <w:t xml:space="preserve">ourt of first instance’s ruling, the </w:t>
      </w:r>
      <w:r w:rsidR="00CF40D7" w:rsidRPr="00DD5FF7">
        <w:rPr>
          <w:rFonts w:ascii="Cambria" w:hAnsi="Cambria"/>
          <w:noProof/>
          <w:sz w:val="20"/>
          <w:szCs w:val="20"/>
        </w:rPr>
        <w:t>appeal</w:t>
      </w:r>
      <w:r>
        <w:rPr>
          <w:rFonts w:ascii="Cambria" w:hAnsi="Cambria"/>
          <w:sz w:val="20"/>
          <w:szCs w:val="20"/>
        </w:rPr>
        <w:t xml:space="preserve"> was not ruled on.</w:t>
      </w:r>
      <w:r w:rsidR="00CF40D7">
        <w:rPr>
          <w:rFonts w:ascii="Cambria" w:hAnsi="Cambria"/>
          <w:sz w:val="20"/>
          <w:szCs w:val="20"/>
        </w:rPr>
        <w:t xml:space="preserve"> One should note, furthermore, that between the years 2004 and 2008, the parties </w:t>
      </w:r>
      <w:r>
        <w:rPr>
          <w:rFonts w:ascii="Cambria" w:hAnsi="Cambria"/>
          <w:sz w:val="20"/>
          <w:szCs w:val="20"/>
        </w:rPr>
        <w:t>tried to follow</w:t>
      </w:r>
      <w:r w:rsidR="00CF40D7">
        <w:rPr>
          <w:rFonts w:ascii="Cambria" w:hAnsi="Cambria"/>
          <w:sz w:val="20"/>
          <w:szCs w:val="20"/>
        </w:rPr>
        <w:t xml:space="preserve"> amicable solutions and </w:t>
      </w:r>
      <w:r w:rsidR="00324946">
        <w:rPr>
          <w:rFonts w:ascii="Cambria" w:hAnsi="Cambria"/>
          <w:sz w:val="20"/>
          <w:szCs w:val="20"/>
        </w:rPr>
        <w:t>arrangements</w:t>
      </w:r>
      <w:r w:rsidR="00CF40D7">
        <w:rPr>
          <w:rFonts w:ascii="Cambria" w:hAnsi="Cambria"/>
          <w:sz w:val="20"/>
          <w:szCs w:val="20"/>
        </w:rPr>
        <w:t xml:space="preserve">.  As such, in 2009, upon taking back up the consideration of the appeal after not having been able to reach an agreement, </w:t>
      </w:r>
      <w:r w:rsidR="00063FA0">
        <w:rPr>
          <w:rFonts w:ascii="Cambria" w:hAnsi="Cambria"/>
          <w:sz w:val="20"/>
          <w:szCs w:val="20"/>
        </w:rPr>
        <w:t>the Court of Appeals</w:t>
      </w:r>
      <w:r w:rsidR="00CF40D7">
        <w:rPr>
          <w:rFonts w:ascii="Cambria" w:hAnsi="Cambria"/>
          <w:sz w:val="20"/>
          <w:szCs w:val="20"/>
        </w:rPr>
        <w:t xml:space="preserve"> </w:t>
      </w:r>
      <w:r w:rsidR="00E73602">
        <w:rPr>
          <w:rFonts w:ascii="Cambria" w:hAnsi="Cambria"/>
          <w:sz w:val="20"/>
          <w:szCs w:val="20"/>
        </w:rPr>
        <w:t xml:space="preserve">in line to hear the case </w:t>
      </w:r>
      <w:r w:rsidR="00324946">
        <w:rPr>
          <w:rFonts w:ascii="Cambria" w:hAnsi="Cambria"/>
          <w:sz w:val="20"/>
          <w:szCs w:val="20"/>
        </w:rPr>
        <w:t>ruled</w:t>
      </w:r>
      <w:r w:rsidR="00E73602">
        <w:rPr>
          <w:rFonts w:ascii="Cambria" w:hAnsi="Cambria"/>
          <w:sz w:val="20"/>
          <w:szCs w:val="20"/>
        </w:rPr>
        <w:t xml:space="preserve"> that the trial court did not have jurisdiction to </w:t>
      </w:r>
      <w:r w:rsidR="00324946">
        <w:rPr>
          <w:rFonts w:ascii="Cambria" w:hAnsi="Cambria"/>
          <w:sz w:val="20"/>
          <w:szCs w:val="20"/>
        </w:rPr>
        <w:t>decide</w:t>
      </w:r>
      <w:r w:rsidR="00E73602" w:rsidRPr="00A63482">
        <w:rPr>
          <w:rFonts w:ascii="Cambria" w:hAnsi="Cambria"/>
          <w:sz w:val="20"/>
          <w:szCs w:val="20"/>
        </w:rPr>
        <w:t xml:space="preserve"> the case, given that it was a matter of labor law.</w:t>
      </w:r>
      <w:r w:rsidR="00063FA0" w:rsidRPr="00A63482">
        <w:rPr>
          <w:rFonts w:ascii="Cambria" w:hAnsi="Cambria"/>
          <w:sz w:val="20"/>
          <w:szCs w:val="20"/>
        </w:rPr>
        <w:t xml:space="preserve">  The cases </w:t>
      </w:r>
      <w:r w:rsidR="00063FA0" w:rsidRPr="00DD5FF7">
        <w:rPr>
          <w:rFonts w:ascii="Cambria" w:hAnsi="Cambria"/>
          <w:noProof/>
          <w:sz w:val="20"/>
          <w:szCs w:val="20"/>
        </w:rPr>
        <w:t>were then remanded</w:t>
      </w:r>
      <w:r w:rsidR="00063FA0" w:rsidRPr="00A63482">
        <w:rPr>
          <w:rFonts w:ascii="Cambria" w:hAnsi="Cambria"/>
          <w:sz w:val="20"/>
          <w:szCs w:val="20"/>
        </w:rPr>
        <w:t xml:space="preserve"> to the Labor Court.</w:t>
      </w:r>
    </w:p>
    <w:p w14:paraId="30793B04" w14:textId="4E146D02" w:rsidR="0059466B" w:rsidRPr="0059466B" w:rsidRDefault="00A63482" w:rsidP="005946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63482">
        <w:rPr>
          <w:rFonts w:ascii="Cambria" w:hAnsi="Cambria"/>
          <w:sz w:val="20"/>
          <w:szCs w:val="20"/>
        </w:rPr>
        <w:t>The appeal</w:t>
      </w:r>
      <w:r>
        <w:rPr>
          <w:rFonts w:ascii="Cambria" w:hAnsi="Cambria"/>
          <w:sz w:val="20"/>
          <w:szCs w:val="20"/>
        </w:rPr>
        <w:t xml:space="preserve"> </w:t>
      </w:r>
      <w:r w:rsidRPr="00DD5FF7">
        <w:rPr>
          <w:rFonts w:ascii="Cambria" w:hAnsi="Cambria"/>
          <w:noProof/>
          <w:sz w:val="20"/>
          <w:szCs w:val="20"/>
        </w:rPr>
        <w:t xml:space="preserve">was then </w:t>
      </w:r>
      <w:r w:rsidR="002B51DE" w:rsidRPr="00DD5FF7">
        <w:rPr>
          <w:rFonts w:ascii="Cambria" w:hAnsi="Cambria"/>
          <w:noProof/>
          <w:sz w:val="20"/>
          <w:szCs w:val="20"/>
        </w:rPr>
        <w:t>converted</w:t>
      </w:r>
      <w:r>
        <w:rPr>
          <w:rFonts w:ascii="Cambria" w:hAnsi="Cambria"/>
          <w:sz w:val="20"/>
          <w:szCs w:val="20"/>
        </w:rPr>
        <w:t xml:space="preserve"> to an ordinary </w:t>
      </w:r>
      <w:r w:rsidRPr="002B51DE">
        <w:rPr>
          <w:rFonts w:ascii="Cambria" w:hAnsi="Cambria"/>
          <w:noProof/>
          <w:sz w:val="20"/>
          <w:szCs w:val="20"/>
        </w:rPr>
        <w:t>motion</w:t>
      </w:r>
      <w:r>
        <w:rPr>
          <w:rFonts w:ascii="Cambria" w:hAnsi="Cambria"/>
          <w:sz w:val="20"/>
          <w:szCs w:val="20"/>
        </w:rPr>
        <w:t xml:space="preserve"> and, face</w:t>
      </w:r>
      <w:r w:rsidR="000A7E4D">
        <w:rPr>
          <w:rFonts w:ascii="Cambria" w:hAnsi="Cambria"/>
          <w:sz w:val="20"/>
          <w:szCs w:val="20"/>
        </w:rPr>
        <w:t>d</w:t>
      </w:r>
      <w:r>
        <w:rPr>
          <w:rFonts w:ascii="Cambria" w:hAnsi="Cambria"/>
          <w:sz w:val="20"/>
          <w:szCs w:val="20"/>
        </w:rPr>
        <w:t xml:space="preserve"> </w:t>
      </w:r>
      <w:r w:rsidR="000A7E4D">
        <w:rPr>
          <w:rFonts w:ascii="Cambria" w:hAnsi="Cambria"/>
          <w:sz w:val="20"/>
          <w:szCs w:val="20"/>
        </w:rPr>
        <w:t>with such a</w:t>
      </w:r>
      <w:r>
        <w:rPr>
          <w:rFonts w:ascii="Cambria" w:hAnsi="Cambria"/>
          <w:sz w:val="20"/>
          <w:szCs w:val="20"/>
        </w:rPr>
        <w:t xml:space="preserve"> decision, </w:t>
      </w:r>
      <w:r w:rsidRPr="005923BB">
        <w:rPr>
          <w:rFonts w:ascii="Cambria" w:hAnsi="Cambria"/>
          <w:sz w:val="20"/>
          <w:szCs w:val="20"/>
        </w:rPr>
        <w:t>CAPEF</w:t>
      </w:r>
      <w:r w:rsidR="000A7E4D" w:rsidRPr="005923BB">
        <w:rPr>
          <w:rFonts w:ascii="Cambria" w:hAnsi="Cambria"/>
          <w:sz w:val="20"/>
          <w:szCs w:val="20"/>
        </w:rPr>
        <w:t xml:space="preserve"> </w:t>
      </w:r>
      <w:r w:rsidR="005923BB" w:rsidRPr="005923BB">
        <w:rPr>
          <w:rFonts w:ascii="Cambria" w:hAnsi="Cambria"/>
          <w:sz w:val="20"/>
          <w:szCs w:val="20"/>
        </w:rPr>
        <w:t>filed</w:t>
      </w:r>
      <w:r w:rsidR="00E0439C" w:rsidRPr="005923BB">
        <w:rPr>
          <w:rFonts w:ascii="Cambria" w:hAnsi="Cambria"/>
          <w:sz w:val="20"/>
          <w:szCs w:val="20"/>
        </w:rPr>
        <w:t xml:space="preserve"> a motion for a</w:t>
      </w:r>
      <w:r w:rsidR="000A7E4D" w:rsidRPr="005923BB">
        <w:rPr>
          <w:rFonts w:ascii="Cambria" w:hAnsi="Cambria"/>
          <w:sz w:val="20"/>
          <w:szCs w:val="20"/>
        </w:rPr>
        <w:t xml:space="preserve"> re</w:t>
      </w:r>
      <w:r w:rsidR="00E0439C" w:rsidRPr="005923BB">
        <w:rPr>
          <w:rFonts w:ascii="Cambria" w:hAnsi="Cambria"/>
          <w:sz w:val="20"/>
          <w:szCs w:val="20"/>
        </w:rPr>
        <w:t>trial</w:t>
      </w:r>
      <w:r w:rsidR="000A7E4D" w:rsidRPr="005923BB">
        <w:rPr>
          <w:rFonts w:ascii="Cambria" w:hAnsi="Cambria"/>
          <w:sz w:val="20"/>
          <w:szCs w:val="20"/>
        </w:rPr>
        <w:t>,</w:t>
      </w:r>
      <w:r w:rsidR="000A7E4D">
        <w:rPr>
          <w:rFonts w:ascii="Cambria" w:hAnsi="Cambria"/>
          <w:sz w:val="20"/>
          <w:szCs w:val="20"/>
        </w:rPr>
        <w:t xml:space="preserve"> arguing that</w:t>
      </w:r>
      <w:r w:rsidR="00E0439C">
        <w:rPr>
          <w:rFonts w:ascii="Cambria" w:hAnsi="Cambria"/>
          <w:sz w:val="20"/>
          <w:szCs w:val="20"/>
        </w:rPr>
        <w:t xml:space="preserve"> since the </w:t>
      </w:r>
      <w:r w:rsidR="002B51DE">
        <w:rPr>
          <w:rFonts w:ascii="Cambria" w:hAnsi="Cambria"/>
          <w:sz w:val="20"/>
          <w:szCs w:val="20"/>
        </w:rPr>
        <w:t>Trial Court</w:t>
      </w:r>
      <w:r w:rsidR="00E0439C">
        <w:rPr>
          <w:rFonts w:ascii="Cambria" w:hAnsi="Cambria"/>
          <w:sz w:val="20"/>
          <w:szCs w:val="20"/>
        </w:rPr>
        <w:t xml:space="preserve"> had </w:t>
      </w:r>
      <w:r w:rsidR="00E0439C" w:rsidRPr="00DD5FF7">
        <w:rPr>
          <w:rFonts w:ascii="Cambria" w:hAnsi="Cambria"/>
          <w:noProof/>
          <w:sz w:val="20"/>
          <w:szCs w:val="20"/>
        </w:rPr>
        <w:t>been found</w:t>
      </w:r>
      <w:r w:rsidR="00E0439C">
        <w:rPr>
          <w:rFonts w:ascii="Cambria" w:hAnsi="Cambria"/>
          <w:sz w:val="20"/>
          <w:szCs w:val="20"/>
        </w:rPr>
        <w:t xml:space="preserve"> to lack jurisdiction, the previous </w:t>
      </w:r>
      <w:r w:rsidR="00324946">
        <w:rPr>
          <w:rFonts w:ascii="Cambria" w:hAnsi="Cambria"/>
          <w:sz w:val="20"/>
          <w:szCs w:val="20"/>
        </w:rPr>
        <w:t>ruling</w:t>
      </w:r>
      <w:r w:rsidR="00E0439C">
        <w:rPr>
          <w:rFonts w:ascii="Cambria" w:hAnsi="Cambria"/>
          <w:sz w:val="20"/>
          <w:szCs w:val="20"/>
        </w:rPr>
        <w:t xml:space="preserve"> should </w:t>
      </w:r>
      <w:r w:rsidR="00E0439C" w:rsidRPr="00DD5FF7">
        <w:rPr>
          <w:rFonts w:ascii="Cambria" w:hAnsi="Cambria"/>
          <w:noProof/>
          <w:sz w:val="20"/>
          <w:szCs w:val="20"/>
        </w:rPr>
        <w:t>be overturned</w:t>
      </w:r>
      <w:r w:rsidR="00E0439C">
        <w:rPr>
          <w:rFonts w:ascii="Cambria" w:hAnsi="Cambria"/>
          <w:sz w:val="20"/>
          <w:szCs w:val="20"/>
        </w:rPr>
        <w:t xml:space="preserve"> and the case retried in </w:t>
      </w:r>
      <w:r w:rsidR="002B51DE">
        <w:rPr>
          <w:rFonts w:ascii="Cambria" w:hAnsi="Cambria"/>
          <w:sz w:val="20"/>
          <w:szCs w:val="20"/>
        </w:rPr>
        <w:t xml:space="preserve">the </w:t>
      </w:r>
      <w:r w:rsidR="00E0439C" w:rsidRPr="002B51DE">
        <w:rPr>
          <w:rFonts w:ascii="Cambria" w:hAnsi="Cambria"/>
          <w:noProof/>
          <w:sz w:val="20"/>
          <w:szCs w:val="20"/>
        </w:rPr>
        <w:t>first</w:t>
      </w:r>
      <w:r w:rsidR="00E0439C">
        <w:rPr>
          <w:rFonts w:ascii="Cambria" w:hAnsi="Cambria"/>
          <w:sz w:val="20"/>
          <w:szCs w:val="20"/>
        </w:rPr>
        <w:t xml:space="preserve"> instance.  In 2012, the case </w:t>
      </w:r>
      <w:r w:rsidR="00E0439C" w:rsidRPr="00DD5FF7">
        <w:rPr>
          <w:rFonts w:ascii="Cambria" w:hAnsi="Cambria"/>
          <w:noProof/>
          <w:sz w:val="20"/>
          <w:szCs w:val="20"/>
        </w:rPr>
        <w:t>was remanded</w:t>
      </w:r>
      <w:r w:rsidR="00E0439C">
        <w:rPr>
          <w:rFonts w:ascii="Cambria" w:hAnsi="Cambria"/>
          <w:sz w:val="20"/>
          <w:szCs w:val="20"/>
        </w:rPr>
        <w:t xml:space="preserve"> to the 9</w:t>
      </w:r>
      <w:r w:rsidR="00E0439C" w:rsidRPr="00E0439C">
        <w:rPr>
          <w:rFonts w:ascii="Cambria" w:hAnsi="Cambria"/>
          <w:sz w:val="20"/>
          <w:szCs w:val="20"/>
          <w:vertAlign w:val="superscript"/>
        </w:rPr>
        <w:t>th</w:t>
      </w:r>
      <w:r w:rsidR="00E0439C">
        <w:rPr>
          <w:rFonts w:ascii="Cambria" w:hAnsi="Cambria"/>
          <w:sz w:val="20"/>
          <w:szCs w:val="20"/>
        </w:rPr>
        <w:t xml:space="preserve"> Circuit of the Labor Court, which then led to a renewed conflict over jurisdiction.  Following the decision of the Supreme Court on February</w:t>
      </w:r>
      <w:r w:rsidR="008641B4">
        <w:rPr>
          <w:rFonts w:ascii="Cambria" w:hAnsi="Cambria"/>
          <w:sz w:val="20"/>
          <w:szCs w:val="20"/>
        </w:rPr>
        <w:t xml:space="preserve"> 20,</w:t>
      </w:r>
      <w:r w:rsidR="00E0439C">
        <w:rPr>
          <w:rFonts w:ascii="Cambria" w:hAnsi="Cambria"/>
          <w:sz w:val="20"/>
          <w:szCs w:val="20"/>
        </w:rPr>
        <w:t xml:space="preserve"> </w:t>
      </w:r>
      <w:r w:rsidR="00E0439C" w:rsidRPr="002B51DE">
        <w:rPr>
          <w:rFonts w:ascii="Cambria" w:hAnsi="Cambria"/>
          <w:noProof/>
          <w:sz w:val="20"/>
          <w:szCs w:val="20"/>
        </w:rPr>
        <w:t>2013</w:t>
      </w:r>
      <w:r w:rsidR="002B51DE">
        <w:rPr>
          <w:rFonts w:ascii="Cambria" w:hAnsi="Cambria"/>
          <w:noProof/>
          <w:sz w:val="20"/>
          <w:szCs w:val="20"/>
        </w:rPr>
        <w:t>,</w:t>
      </w:r>
      <w:r w:rsidR="00E0439C">
        <w:rPr>
          <w:rFonts w:ascii="Cambria" w:hAnsi="Cambria"/>
          <w:sz w:val="20"/>
          <w:szCs w:val="20"/>
        </w:rPr>
        <w:t xml:space="preserve"> in a similar cas</w:t>
      </w:r>
      <w:r w:rsidR="00E0439C" w:rsidRPr="00B4414F">
        <w:rPr>
          <w:rFonts w:ascii="Cambria" w:hAnsi="Cambria"/>
          <w:sz w:val="20"/>
          <w:szCs w:val="20"/>
        </w:rPr>
        <w:t>e, the trial court’s jurisdiction</w:t>
      </w:r>
      <w:r w:rsidR="005923BB" w:rsidRPr="00B4414F">
        <w:rPr>
          <w:rFonts w:ascii="Cambria" w:hAnsi="Cambria"/>
          <w:sz w:val="20"/>
          <w:szCs w:val="20"/>
        </w:rPr>
        <w:t xml:space="preserve"> in cases concerning matters of retirement </w:t>
      </w:r>
      <w:r w:rsidR="005923BB" w:rsidRPr="002B51DE">
        <w:rPr>
          <w:rFonts w:ascii="Cambria" w:hAnsi="Cambria"/>
          <w:noProof/>
          <w:sz w:val="20"/>
          <w:szCs w:val="20"/>
        </w:rPr>
        <w:t>was confirmed</w:t>
      </w:r>
      <w:r w:rsidR="005923BB" w:rsidRPr="00B4414F">
        <w:rPr>
          <w:rFonts w:ascii="Cambria" w:hAnsi="Cambria"/>
          <w:sz w:val="20"/>
          <w:szCs w:val="20"/>
        </w:rPr>
        <w:t>.</w:t>
      </w:r>
    </w:p>
    <w:p w14:paraId="650AB4D4" w14:textId="6CDE2C81" w:rsidR="003239B8" w:rsidRPr="00B2280C" w:rsidRDefault="003239B8" w:rsidP="008D6A8A">
      <w:pPr>
        <w:spacing w:before="240" w:after="240"/>
        <w:ind w:firstLine="720"/>
        <w:jc w:val="both"/>
        <w:rPr>
          <w:rFonts w:ascii="Cambria" w:hAnsi="Cambria"/>
          <w:sz w:val="20"/>
          <w:szCs w:val="20"/>
        </w:rPr>
      </w:pPr>
      <w:r w:rsidRPr="00B2280C">
        <w:rPr>
          <w:rFonts w:asciiTheme="majorHAnsi" w:eastAsia="Cambria" w:hAnsiTheme="majorHAnsi" w:cs="Cambria"/>
          <w:b/>
          <w:bCs/>
          <w:color w:val="000000"/>
          <w:sz w:val="20"/>
          <w:szCs w:val="20"/>
          <w:u w:color="000000"/>
          <w:lang w:eastAsia="es-ES"/>
        </w:rPr>
        <w:lastRenderedPageBreak/>
        <w:t>VI.</w:t>
      </w:r>
      <w:r w:rsidRPr="00B2280C">
        <w:rPr>
          <w:rFonts w:asciiTheme="majorHAnsi" w:eastAsia="Cambria" w:hAnsiTheme="majorHAnsi" w:cs="Cambria"/>
          <w:b/>
          <w:bCs/>
          <w:color w:val="000000"/>
          <w:sz w:val="20"/>
          <w:szCs w:val="20"/>
          <w:u w:color="000000"/>
          <w:lang w:eastAsia="es-ES"/>
        </w:rPr>
        <w:tab/>
      </w:r>
      <w:r w:rsidR="00B4414F" w:rsidRPr="00B2280C">
        <w:rPr>
          <w:rFonts w:asciiTheme="majorHAnsi" w:eastAsia="Cambria" w:hAnsiTheme="majorHAnsi" w:cs="Cambria"/>
          <w:b/>
          <w:bCs/>
          <w:color w:val="000000"/>
          <w:sz w:val="20"/>
          <w:szCs w:val="20"/>
          <w:u w:color="000000"/>
          <w:lang w:eastAsia="es-ES"/>
        </w:rPr>
        <w:t xml:space="preserve">ANALYSIS OF EXHAUSTION OF </w:t>
      </w:r>
      <w:r w:rsidR="008D6A8A">
        <w:rPr>
          <w:rFonts w:asciiTheme="majorHAnsi" w:eastAsia="Cambria" w:hAnsiTheme="majorHAnsi" w:cs="Cambria"/>
          <w:b/>
          <w:bCs/>
          <w:color w:val="000000"/>
          <w:sz w:val="20"/>
          <w:szCs w:val="20"/>
          <w:u w:color="000000"/>
          <w:lang w:eastAsia="es-ES"/>
        </w:rPr>
        <w:t>DOMESTIC REMEDIES AND TIMELINESS OF THE PETITION</w:t>
      </w:r>
    </w:p>
    <w:p w14:paraId="66C82552" w14:textId="766449B8" w:rsidR="003239B8" w:rsidRPr="005C2EBC" w:rsidRDefault="002B51DE" w:rsidP="001609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noProof/>
          <w:sz w:val="20"/>
          <w:szCs w:val="20"/>
        </w:rPr>
        <w:t>Concerning the</w:t>
      </w:r>
      <w:r w:rsidR="00B2280C">
        <w:rPr>
          <w:rFonts w:ascii="Cambria" w:hAnsi="Cambria"/>
          <w:sz w:val="20"/>
          <w:szCs w:val="20"/>
        </w:rPr>
        <w:t xml:space="preserve"> exhaustion of internal recourse</w:t>
      </w:r>
      <w:r w:rsidR="001C3F17">
        <w:rPr>
          <w:rFonts w:ascii="Cambria" w:hAnsi="Cambria"/>
          <w:sz w:val="20"/>
          <w:szCs w:val="20"/>
        </w:rPr>
        <w:t>s</w:t>
      </w:r>
      <w:r w:rsidR="00B2280C">
        <w:rPr>
          <w:rFonts w:ascii="Cambria" w:hAnsi="Cambria"/>
          <w:sz w:val="20"/>
          <w:szCs w:val="20"/>
        </w:rPr>
        <w:t xml:space="preserve">, the </w:t>
      </w:r>
      <w:r>
        <w:rPr>
          <w:rFonts w:ascii="Cambria" w:hAnsi="Cambria"/>
          <w:sz w:val="20"/>
          <w:szCs w:val="20"/>
        </w:rPr>
        <w:t>petitioner</w:t>
      </w:r>
      <w:r w:rsidR="00EB1EFB">
        <w:rPr>
          <w:rFonts w:ascii="Cambria" w:hAnsi="Cambria"/>
          <w:sz w:val="20"/>
          <w:szCs w:val="20"/>
        </w:rPr>
        <w:t xml:space="preserve"> argue</w:t>
      </w:r>
      <w:r>
        <w:rPr>
          <w:rFonts w:ascii="Cambria" w:hAnsi="Cambria"/>
          <w:sz w:val="20"/>
          <w:szCs w:val="20"/>
        </w:rPr>
        <w:t>s</w:t>
      </w:r>
      <w:r w:rsidR="00B2280C">
        <w:rPr>
          <w:rFonts w:ascii="Cambria" w:hAnsi="Cambria"/>
          <w:sz w:val="20"/>
          <w:szCs w:val="20"/>
        </w:rPr>
        <w:t xml:space="preserve"> that the case brought in 1996 </w:t>
      </w:r>
      <w:r w:rsidR="001C3F17">
        <w:rPr>
          <w:rFonts w:ascii="Cambria" w:hAnsi="Cambria"/>
          <w:sz w:val="20"/>
          <w:szCs w:val="20"/>
        </w:rPr>
        <w:t>has yet to receive a</w:t>
      </w:r>
      <w:r w:rsidR="00B2280C">
        <w:rPr>
          <w:rFonts w:ascii="Cambria" w:hAnsi="Cambria"/>
          <w:sz w:val="20"/>
          <w:szCs w:val="20"/>
        </w:rPr>
        <w:t xml:space="preserve"> final judgment, </w:t>
      </w:r>
      <w:r w:rsidR="00721146">
        <w:rPr>
          <w:rFonts w:ascii="Cambria" w:hAnsi="Cambria"/>
          <w:noProof/>
          <w:sz w:val="20"/>
          <w:szCs w:val="20"/>
        </w:rPr>
        <w:t>claiming for the application of</w:t>
      </w:r>
      <w:r w:rsidR="00B2280C">
        <w:rPr>
          <w:rFonts w:ascii="Cambria" w:hAnsi="Cambria"/>
          <w:sz w:val="20"/>
          <w:szCs w:val="20"/>
        </w:rPr>
        <w:t xml:space="preserve"> the exception outlined in Article 46.2.c of the American Conventio</w:t>
      </w:r>
      <w:r w:rsidR="00B2280C" w:rsidRPr="009A40F7">
        <w:rPr>
          <w:rFonts w:ascii="Cambria" w:hAnsi="Cambria"/>
          <w:sz w:val="20"/>
          <w:szCs w:val="20"/>
        </w:rPr>
        <w:t xml:space="preserve">n.  The </w:t>
      </w:r>
      <w:r w:rsidR="00721146">
        <w:rPr>
          <w:rFonts w:ascii="Cambria" w:hAnsi="Cambria"/>
          <w:sz w:val="20"/>
          <w:szCs w:val="20"/>
        </w:rPr>
        <w:t>State</w:t>
      </w:r>
      <w:r w:rsidR="00B2280C" w:rsidRPr="009A40F7">
        <w:rPr>
          <w:rFonts w:ascii="Cambria" w:hAnsi="Cambria"/>
          <w:sz w:val="20"/>
          <w:szCs w:val="20"/>
        </w:rPr>
        <w:t>, f</w:t>
      </w:r>
      <w:r w:rsidR="00B2280C">
        <w:rPr>
          <w:rFonts w:ascii="Cambria" w:hAnsi="Cambria"/>
          <w:sz w:val="20"/>
          <w:szCs w:val="20"/>
        </w:rPr>
        <w:t xml:space="preserve">or its part, maintains that </w:t>
      </w:r>
      <w:r w:rsidR="00721146">
        <w:rPr>
          <w:rFonts w:ascii="Cambria" w:hAnsi="Cambria"/>
          <w:sz w:val="20"/>
          <w:szCs w:val="20"/>
        </w:rPr>
        <w:t>the domestic remedies</w:t>
      </w:r>
      <w:r w:rsidR="00B2280C">
        <w:rPr>
          <w:rFonts w:ascii="Cambria" w:hAnsi="Cambria"/>
          <w:sz w:val="20"/>
          <w:szCs w:val="20"/>
        </w:rPr>
        <w:t xml:space="preserve"> have not been exhausted, on the basis that the delay in judgment arises from the differing jurisdictional conflicts and the actions of the par</w:t>
      </w:r>
      <w:r w:rsidR="00B2280C" w:rsidRPr="005C2EBC">
        <w:rPr>
          <w:rFonts w:ascii="Cambria" w:hAnsi="Cambria"/>
          <w:sz w:val="20"/>
          <w:szCs w:val="20"/>
        </w:rPr>
        <w:t>ties.</w:t>
      </w:r>
    </w:p>
    <w:p w14:paraId="274CA1BE" w14:textId="12CD4DB9" w:rsidR="007D095F" w:rsidRPr="00B803C5" w:rsidRDefault="005C2EBC" w:rsidP="007D09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E36C0A" w:themeColor="accent6" w:themeShade="BF"/>
          <w:sz w:val="20"/>
          <w:szCs w:val="20"/>
        </w:rPr>
      </w:pPr>
      <w:r w:rsidRPr="005C2EBC">
        <w:rPr>
          <w:rFonts w:ascii="Cambria" w:hAnsi="Cambria"/>
          <w:sz w:val="20"/>
          <w:szCs w:val="20"/>
        </w:rPr>
        <w:t>The Commission</w:t>
      </w:r>
      <w:r>
        <w:rPr>
          <w:rFonts w:ascii="Cambria" w:hAnsi="Cambria"/>
          <w:sz w:val="20"/>
          <w:szCs w:val="20"/>
        </w:rPr>
        <w:t xml:space="preserve"> reaffirms that there are no convention-related or regulatory</w:t>
      </w:r>
      <w:r w:rsidR="00AD7521">
        <w:rPr>
          <w:rFonts w:ascii="Cambria" w:hAnsi="Cambria"/>
          <w:sz w:val="20"/>
          <w:szCs w:val="20"/>
        </w:rPr>
        <w:t xml:space="preserve"> standards defining the specific lapse of time required to constitute “unjust delay,” such that each case must </w:t>
      </w:r>
      <w:r w:rsidR="00AD7521" w:rsidRPr="00DD5FF7">
        <w:rPr>
          <w:rFonts w:ascii="Cambria" w:hAnsi="Cambria"/>
          <w:noProof/>
          <w:sz w:val="20"/>
          <w:szCs w:val="20"/>
        </w:rPr>
        <w:t>be evaluated</w:t>
      </w:r>
      <w:r w:rsidR="00AD7521">
        <w:rPr>
          <w:rFonts w:ascii="Cambria" w:hAnsi="Cambria"/>
          <w:sz w:val="20"/>
          <w:szCs w:val="20"/>
        </w:rPr>
        <w:t xml:space="preserve"> individually.</w:t>
      </w:r>
      <w:r w:rsidR="007D095F">
        <w:rPr>
          <w:rStyle w:val="FootnoteReference"/>
          <w:rFonts w:ascii="Cambria" w:hAnsi="Cambria"/>
          <w:sz w:val="20"/>
          <w:szCs w:val="20"/>
          <w:lang w:val="pt-BR"/>
        </w:rPr>
        <w:footnoteReference w:id="6"/>
      </w:r>
      <w:r w:rsidR="00AD7521">
        <w:rPr>
          <w:rFonts w:ascii="Cambria" w:hAnsi="Cambria"/>
          <w:sz w:val="20"/>
          <w:szCs w:val="20"/>
        </w:rPr>
        <w:t xml:space="preserve">  </w:t>
      </w:r>
      <w:r w:rsidR="00721146">
        <w:rPr>
          <w:rFonts w:ascii="Cambria" w:hAnsi="Cambria"/>
          <w:noProof/>
          <w:sz w:val="20"/>
          <w:szCs w:val="20"/>
        </w:rPr>
        <w:t>At this particular</w:t>
      </w:r>
      <w:r w:rsidR="00AD7521">
        <w:rPr>
          <w:rFonts w:ascii="Cambria" w:hAnsi="Cambria"/>
          <w:sz w:val="20"/>
          <w:szCs w:val="20"/>
        </w:rPr>
        <w:t xml:space="preserve"> </w:t>
      </w:r>
      <w:r w:rsidR="00B803C5">
        <w:rPr>
          <w:rFonts w:ascii="Cambria" w:hAnsi="Cambria"/>
          <w:sz w:val="20"/>
          <w:szCs w:val="20"/>
        </w:rPr>
        <w:t>case</w:t>
      </w:r>
      <w:r w:rsidR="00AD7521">
        <w:rPr>
          <w:rFonts w:ascii="Cambria" w:hAnsi="Cambria"/>
          <w:sz w:val="20"/>
          <w:szCs w:val="20"/>
        </w:rPr>
        <w:t xml:space="preserve">, the Commission finds that </w:t>
      </w:r>
      <w:r w:rsidR="009A40F7">
        <w:rPr>
          <w:rFonts w:ascii="Cambria" w:hAnsi="Cambria"/>
          <w:sz w:val="20"/>
          <w:szCs w:val="20"/>
        </w:rPr>
        <w:t>a determination</w:t>
      </w:r>
      <w:r w:rsidR="00AD7521">
        <w:rPr>
          <w:rFonts w:ascii="Cambria" w:hAnsi="Cambria"/>
          <w:sz w:val="20"/>
          <w:szCs w:val="20"/>
        </w:rPr>
        <w:t xml:space="preserve"> of</w:t>
      </w:r>
      <w:r w:rsidR="008E114E">
        <w:rPr>
          <w:rFonts w:ascii="Cambria" w:hAnsi="Cambria"/>
          <w:sz w:val="20"/>
          <w:szCs w:val="20"/>
        </w:rPr>
        <w:t xml:space="preserve"> the</w:t>
      </w:r>
      <w:r w:rsidR="003E4EA6">
        <w:rPr>
          <w:rFonts w:ascii="Cambria" w:hAnsi="Cambria"/>
          <w:sz w:val="20"/>
          <w:szCs w:val="20"/>
        </w:rPr>
        <w:t xml:space="preserve"> reasonableness of</w:t>
      </w:r>
      <w:r w:rsidR="00AD7521">
        <w:rPr>
          <w:rFonts w:ascii="Cambria" w:hAnsi="Cambria"/>
          <w:sz w:val="20"/>
          <w:szCs w:val="20"/>
        </w:rPr>
        <w:t xml:space="preserve"> time elapsed in the resolutio</w:t>
      </w:r>
      <w:r w:rsidR="00B803C5">
        <w:rPr>
          <w:rFonts w:ascii="Cambria" w:hAnsi="Cambria"/>
          <w:sz w:val="20"/>
          <w:szCs w:val="20"/>
        </w:rPr>
        <w:t xml:space="preserve">n of the lawsuit is a matter which should </w:t>
      </w:r>
      <w:r w:rsidR="00B803C5" w:rsidRPr="00DD5FF7">
        <w:rPr>
          <w:rFonts w:ascii="Cambria" w:hAnsi="Cambria"/>
          <w:noProof/>
          <w:sz w:val="20"/>
          <w:szCs w:val="20"/>
        </w:rPr>
        <w:t xml:space="preserve">be </w:t>
      </w:r>
      <w:r w:rsidR="00721146" w:rsidRPr="00DD5FF7">
        <w:rPr>
          <w:rFonts w:ascii="Cambria" w:hAnsi="Cambria"/>
          <w:noProof/>
          <w:sz w:val="20"/>
          <w:szCs w:val="20"/>
        </w:rPr>
        <w:t>ruled</w:t>
      </w:r>
      <w:r w:rsidR="00B803C5">
        <w:rPr>
          <w:rFonts w:ascii="Cambria" w:hAnsi="Cambria"/>
          <w:sz w:val="20"/>
          <w:szCs w:val="20"/>
        </w:rPr>
        <w:t xml:space="preserve"> during the phase for </w:t>
      </w:r>
      <w:r w:rsidR="00721146">
        <w:rPr>
          <w:rFonts w:ascii="Cambria" w:hAnsi="Cambria"/>
          <w:sz w:val="20"/>
          <w:szCs w:val="20"/>
        </w:rPr>
        <w:t xml:space="preserve">the </w:t>
      </w:r>
      <w:r w:rsidR="00B803C5" w:rsidRPr="00721146">
        <w:rPr>
          <w:rFonts w:ascii="Cambria" w:hAnsi="Cambria"/>
          <w:noProof/>
          <w:sz w:val="20"/>
          <w:szCs w:val="20"/>
        </w:rPr>
        <w:t>establishment</w:t>
      </w:r>
      <w:r w:rsidR="00B803C5">
        <w:rPr>
          <w:rFonts w:ascii="Cambria" w:hAnsi="Cambria"/>
          <w:sz w:val="20"/>
          <w:szCs w:val="20"/>
        </w:rPr>
        <w:t xml:space="preserve"> of the merits</w:t>
      </w:r>
      <w:r w:rsidR="00721146">
        <w:rPr>
          <w:rFonts w:ascii="Cambria" w:hAnsi="Cambria"/>
          <w:sz w:val="20"/>
          <w:szCs w:val="20"/>
        </w:rPr>
        <w:t xml:space="preserve">. The Commission finds applicable the </w:t>
      </w:r>
      <w:r w:rsidR="00B803C5" w:rsidRPr="008E114E">
        <w:rPr>
          <w:rFonts w:ascii="Cambria" w:hAnsi="Cambria"/>
          <w:sz w:val="20"/>
          <w:szCs w:val="20"/>
        </w:rPr>
        <w:t xml:space="preserve">exception to the exhaustion of </w:t>
      </w:r>
      <w:r w:rsidR="00721146">
        <w:rPr>
          <w:rFonts w:ascii="Cambria" w:hAnsi="Cambria"/>
          <w:sz w:val="20"/>
          <w:szCs w:val="20"/>
        </w:rPr>
        <w:t>domestic remedies</w:t>
      </w:r>
      <w:r w:rsidR="008E114E" w:rsidRPr="008E114E">
        <w:rPr>
          <w:rFonts w:ascii="Cambria" w:hAnsi="Cambria"/>
          <w:sz w:val="20"/>
          <w:szCs w:val="20"/>
        </w:rPr>
        <w:t xml:space="preserve"> as</w:t>
      </w:r>
      <w:r w:rsidR="00B803C5" w:rsidRPr="008E114E">
        <w:rPr>
          <w:rFonts w:ascii="Cambria" w:hAnsi="Cambria"/>
          <w:sz w:val="20"/>
          <w:szCs w:val="20"/>
        </w:rPr>
        <w:t xml:space="preserve"> outlined in Article 46.2.c of the American Convention, applies.</w:t>
      </w:r>
    </w:p>
    <w:p w14:paraId="41E5BF87" w14:textId="5F05E29C" w:rsidR="003239B8" w:rsidRPr="00B803C5" w:rsidRDefault="003239B8" w:rsidP="003239B8">
      <w:pPr>
        <w:pStyle w:val="ListParagraph"/>
        <w:spacing w:before="240" w:after="240"/>
        <w:jc w:val="both"/>
        <w:rPr>
          <w:rFonts w:asciiTheme="majorHAnsi" w:hAnsiTheme="majorHAnsi"/>
          <w:b/>
          <w:sz w:val="20"/>
          <w:szCs w:val="20"/>
        </w:rPr>
      </w:pPr>
      <w:r w:rsidRPr="00B803C5">
        <w:rPr>
          <w:rFonts w:asciiTheme="majorHAnsi" w:hAnsiTheme="majorHAnsi"/>
          <w:b/>
          <w:bCs/>
          <w:sz w:val="20"/>
          <w:szCs w:val="20"/>
        </w:rPr>
        <w:t>VII.</w:t>
      </w:r>
      <w:r w:rsidRPr="00B803C5">
        <w:rPr>
          <w:rFonts w:asciiTheme="majorHAnsi" w:hAnsiTheme="majorHAnsi"/>
          <w:b/>
          <w:bCs/>
          <w:sz w:val="20"/>
          <w:szCs w:val="20"/>
        </w:rPr>
        <w:tab/>
      </w:r>
      <w:r w:rsidR="008D6A8A">
        <w:rPr>
          <w:rFonts w:asciiTheme="majorHAnsi" w:hAnsiTheme="majorHAnsi"/>
          <w:b/>
          <w:bCs/>
          <w:sz w:val="20"/>
          <w:szCs w:val="20"/>
        </w:rPr>
        <w:t>EXAMINATION OF COLORABLE CLAIM OF THE ALLEGED FACTS</w:t>
      </w:r>
    </w:p>
    <w:p w14:paraId="25F17F27" w14:textId="69BC8D7F" w:rsidR="00A11E44" w:rsidRPr="00DD5FF7" w:rsidRDefault="00721146" w:rsidP="00DD5F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noProof/>
          <w:sz w:val="20"/>
          <w:szCs w:val="20"/>
        </w:rPr>
      </w:pPr>
      <w:r w:rsidRPr="00721146">
        <w:rPr>
          <w:rFonts w:ascii="Cambria" w:hAnsi="Cambria"/>
          <w:noProof/>
          <w:sz w:val="20"/>
          <w:szCs w:val="20"/>
        </w:rPr>
        <w:t xml:space="preserve">Based on the elements of fact and law submitted by the parties and the nature of the matter brought before it, the Commission finds that should the alleged facts be proven, </w:t>
      </w:r>
      <w:r w:rsidR="00DD5FF7" w:rsidRPr="00DD5FF7">
        <w:rPr>
          <w:rFonts w:ascii="Cambria" w:hAnsi="Cambria"/>
          <w:noProof/>
          <w:sz w:val="20"/>
          <w:szCs w:val="20"/>
        </w:rPr>
        <w:t xml:space="preserve">they could tend to establish violations of </w:t>
      </w:r>
      <w:r w:rsidR="001F3E08" w:rsidRPr="00DD5FF7">
        <w:rPr>
          <w:rFonts w:ascii="Cambria" w:hAnsi="Cambria"/>
          <w:noProof/>
          <w:sz w:val="20"/>
          <w:szCs w:val="20"/>
        </w:rPr>
        <w:t>Articles 8 (judicia</w:t>
      </w:r>
      <w:r w:rsidR="003E4EA6" w:rsidRPr="00DD5FF7">
        <w:rPr>
          <w:rFonts w:ascii="Cambria" w:hAnsi="Cambria"/>
          <w:noProof/>
          <w:sz w:val="20"/>
          <w:szCs w:val="20"/>
        </w:rPr>
        <w:t>l safeguard</w:t>
      </w:r>
      <w:r w:rsidR="001F3E08" w:rsidRPr="00DD5FF7">
        <w:rPr>
          <w:rFonts w:ascii="Cambria" w:hAnsi="Cambria"/>
          <w:noProof/>
          <w:sz w:val="20"/>
          <w:szCs w:val="20"/>
        </w:rPr>
        <w:t>s), 21 (private property), 25 (judicial protection), and 26 (economic, social, cultural, and environmental rights), with regard to Articles 1.1 (obligation to honor rights) and 2 (duty to take internal measures to protect rights) of the American Convention.</w:t>
      </w:r>
    </w:p>
    <w:p w14:paraId="3CA7BE3B" w14:textId="0EC5D1A6" w:rsidR="003239B8" w:rsidRPr="00F45D47" w:rsidRDefault="003239B8" w:rsidP="003239B8">
      <w:pPr>
        <w:pStyle w:val="ListParagraph"/>
        <w:spacing w:before="240" w:after="240"/>
        <w:jc w:val="both"/>
        <w:rPr>
          <w:rFonts w:asciiTheme="majorHAnsi" w:hAnsiTheme="majorHAnsi"/>
          <w:b/>
          <w:bCs/>
          <w:sz w:val="20"/>
          <w:szCs w:val="20"/>
        </w:rPr>
      </w:pPr>
      <w:r w:rsidRPr="00F45D47">
        <w:rPr>
          <w:rFonts w:asciiTheme="majorHAnsi" w:hAnsiTheme="majorHAnsi"/>
          <w:b/>
          <w:bCs/>
          <w:sz w:val="20"/>
          <w:szCs w:val="20"/>
        </w:rPr>
        <w:t xml:space="preserve">VIII. </w:t>
      </w:r>
      <w:r w:rsidRPr="00F45D47">
        <w:rPr>
          <w:rFonts w:asciiTheme="majorHAnsi" w:hAnsiTheme="majorHAnsi"/>
          <w:b/>
          <w:bCs/>
          <w:sz w:val="20"/>
          <w:szCs w:val="20"/>
        </w:rPr>
        <w:tab/>
      </w:r>
      <w:r w:rsidR="00E9193D" w:rsidRPr="00F45D47">
        <w:rPr>
          <w:rFonts w:asciiTheme="majorHAnsi" w:hAnsiTheme="majorHAnsi"/>
          <w:b/>
          <w:bCs/>
          <w:sz w:val="20"/>
          <w:szCs w:val="20"/>
        </w:rPr>
        <w:t>DECISI</w:t>
      </w:r>
      <w:r w:rsidR="00A53003" w:rsidRPr="00F45D47">
        <w:rPr>
          <w:rFonts w:asciiTheme="majorHAnsi" w:hAnsiTheme="majorHAnsi"/>
          <w:b/>
          <w:bCs/>
          <w:sz w:val="20"/>
          <w:szCs w:val="20"/>
        </w:rPr>
        <w:t>O</w:t>
      </w:r>
      <w:r w:rsidR="00E9193D" w:rsidRPr="00F45D47">
        <w:rPr>
          <w:rFonts w:asciiTheme="majorHAnsi" w:hAnsiTheme="majorHAnsi"/>
          <w:b/>
          <w:bCs/>
          <w:sz w:val="20"/>
          <w:szCs w:val="20"/>
        </w:rPr>
        <w:t>N</w:t>
      </w:r>
    </w:p>
    <w:p w14:paraId="0A39A6B8" w14:textId="231B3018" w:rsidR="000419AD" w:rsidRPr="00F45D47" w:rsidRDefault="006E7949" w:rsidP="006E79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declare </w:t>
      </w:r>
      <w:r w:rsidR="00721146" w:rsidRPr="00721146">
        <w:rPr>
          <w:rFonts w:ascii="Cambria" w:hAnsi="Cambria"/>
          <w:noProof/>
          <w:sz w:val="20"/>
          <w:szCs w:val="20"/>
        </w:rPr>
        <w:t>the</w:t>
      </w:r>
      <w:r>
        <w:rPr>
          <w:rFonts w:ascii="Cambria" w:hAnsi="Cambria"/>
          <w:sz w:val="20"/>
          <w:szCs w:val="20"/>
        </w:rPr>
        <w:t xml:space="preserve"> instant petition </w:t>
      </w:r>
      <w:r w:rsidRPr="00721146">
        <w:rPr>
          <w:rFonts w:ascii="Cambria" w:hAnsi="Cambria"/>
          <w:noProof/>
          <w:sz w:val="20"/>
          <w:szCs w:val="20"/>
        </w:rPr>
        <w:t>admissible</w:t>
      </w:r>
      <w:r>
        <w:rPr>
          <w:rFonts w:ascii="Cambria" w:hAnsi="Cambria"/>
          <w:sz w:val="20"/>
          <w:szCs w:val="20"/>
        </w:rPr>
        <w:t xml:space="preserve"> </w:t>
      </w:r>
      <w:r w:rsidRPr="00DD5FF7">
        <w:rPr>
          <w:rFonts w:ascii="Cambria" w:hAnsi="Cambria"/>
          <w:noProof/>
          <w:sz w:val="20"/>
          <w:szCs w:val="20"/>
        </w:rPr>
        <w:t>with regard to</w:t>
      </w:r>
      <w:r>
        <w:rPr>
          <w:rFonts w:ascii="Cambria" w:hAnsi="Cambria"/>
          <w:sz w:val="20"/>
          <w:szCs w:val="20"/>
        </w:rPr>
        <w:t xml:space="preserve"> </w:t>
      </w:r>
      <w:r w:rsidR="00E9193D" w:rsidRPr="00F45D47">
        <w:rPr>
          <w:rFonts w:asciiTheme="majorHAnsi" w:hAnsiTheme="majorHAnsi"/>
          <w:sz w:val="20"/>
          <w:szCs w:val="20"/>
        </w:rPr>
        <w:t>Articles 8, 21, 25, and 26 of the American Convention</w:t>
      </w:r>
      <w:r w:rsidR="00A24EBA">
        <w:rPr>
          <w:rFonts w:asciiTheme="majorHAnsi" w:hAnsiTheme="majorHAnsi"/>
          <w:sz w:val="20"/>
          <w:szCs w:val="20"/>
        </w:rPr>
        <w:t>;</w:t>
      </w:r>
    </w:p>
    <w:p w14:paraId="60BD86AE" w14:textId="6158BA63" w:rsidR="008D768D" w:rsidRPr="00316554" w:rsidRDefault="00F45D47" w:rsidP="00F7019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5D47">
        <w:rPr>
          <w:rFonts w:asciiTheme="majorHAnsi" w:hAnsiTheme="majorHAnsi"/>
          <w:sz w:val="20"/>
          <w:szCs w:val="20"/>
        </w:rPr>
        <w:t>To notify</w:t>
      </w:r>
      <w:r>
        <w:rPr>
          <w:rFonts w:asciiTheme="majorHAnsi" w:hAnsiTheme="majorHAnsi"/>
          <w:sz w:val="20"/>
          <w:szCs w:val="20"/>
        </w:rPr>
        <w:t xml:space="preserve"> the parties of the </w:t>
      </w:r>
      <w:r w:rsidR="006E7949" w:rsidRPr="00DD5FF7">
        <w:rPr>
          <w:rFonts w:asciiTheme="majorHAnsi" w:hAnsiTheme="majorHAnsi"/>
          <w:noProof/>
          <w:sz w:val="20"/>
          <w:szCs w:val="20"/>
        </w:rPr>
        <w:t>instant</w:t>
      </w:r>
      <w:r>
        <w:rPr>
          <w:rFonts w:asciiTheme="majorHAnsi" w:hAnsiTheme="majorHAnsi"/>
          <w:sz w:val="20"/>
          <w:szCs w:val="20"/>
        </w:rPr>
        <w:t xml:space="preserve"> decision; proceed </w:t>
      </w:r>
      <w:r w:rsidR="006E7949">
        <w:rPr>
          <w:rFonts w:asciiTheme="majorHAnsi" w:hAnsiTheme="majorHAnsi"/>
          <w:sz w:val="20"/>
          <w:szCs w:val="20"/>
        </w:rPr>
        <w:t>to the examination of the merits of the matter</w:t>
      </w:r>
      <w:r w:rsidRPr="00DD5FF7">
        <w:rPr>
          <w:rFonts w:asciiTheme="majorHAnsi" w:hAnsiTheme="majorHAnsi"/>
          <w:noProof/>
          <w:sz w:val="20"/>
          <w:szCs w:val="20"/>
        </w:rPr>
        <w:t>;</w:t>
      </w:r>
      <w:r>
        <w:rPr>
          <w:rFonts w:asciiTheme="majorHAnsi" w:hAnsiTheme="majorHAnsi"/>
          <w:sz w:val="20"/>
          <w:szCs w:val="20"/>
        </w:rPr>
        <w:t xml:space="preserve"> to publish this decision and include it in the </w:t>
      </w:r>
      <w:r w:rsidR="006E7949">
        <w:rPr>
          <w:rFonts w:asciiTheme="majorHAnsi" w:hAnsiTheme="majorHAnsi"/>
          <w:sz w:val="20"/>
          <w:szCs w:val="20"/>
        </w:rPr>
        <w:t xml:space="preserve">IACHR’s </w:t>
      </w:r>
      <w:r>
        <w:rPr>
          <w:rFonts w:asciiTheme="majorHAnsi" w:hAnsiTheme="majorHAnsi"/>
          <w:sz w:val="20"/>
          <w:szCs w:val="20"/>
        </w:rPr>
        <w:t>Annual Report to the General Assembly of the Organization of American States.</w:t>
      </w:r>
    </w:p>
    <w:p w14:paraId="300F8C15" w14:textId="33C9CBB4" w:rsidR="00316554" w:rsidRPr="00316554" w:rsidRDefault="00316554" w:rsidP="003165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b/>
      </w:r>
      <w:r w:rsidRPr="00316554">
        <w:rPr>
          <w:rFonts w:asciiTheme="majorHAnsi" w:hAnsiTheme="majorHAnsi"/>
          <w:sz w:val="20"/>
          <w:szCs w:val="20"/>
        </w:rPr>
        <w:t xml:space="preserve">Approved by the Inter-American Commission on Human Rights on the </w:t>
      </w:r>
      <w:r>
        <w:rPr>
          <w:rFonts w:asciiTheme="majorHAnsi" w:hAnsiTheme="majorHAnsi"/>
          <w:sz w:val="20"/>
          <w:szCs w:val="20"/>
        </w:rPr>
        <w:t>31</w:t>
      </w:r>
      <w:r w:rsidRPr="00316554">
        <w:rPr>
          <w:rFonts w:asciiTheme="majorHAnsi" w:hAnsiTheme="majorHAnsi"/>
          <w:sz w:val="20"/>
          <w:szCs w:val="20"/>
          <w:vertAlign w:val="superscript"/>
        </w:rPr>
        <w:t>st</w:t>
      </w:r>
      <w:r>
        <w:rPr>
          <w:rFonts w:asciiTheme="majorHAnsi" w:hAnsiTheme="majorHAnsi"/>
          <w:sz w:val="20"/>
          <w:szCs w:val="20"/>
        </w:rPr>
        <w:t xml:space="preserve"> </w:t>
      </w:r>
      <w:r w:rsidRPr="00316554">
        <w:rPr>
          <w:rFonts w:asciiTheme="majorHAnsi" w:hAnsiTheme="majorHAnsi"/>
          <w:sz w:val="20"/>
          <w:szCs w:val="20"/>
        </w:rPr>
        <w:t>day of the month of March, 2019. (Signed):  Esmeralda E. Arosemena Bernal de Troitiño, President; Joel Hernández García, First Vice President</w:t>
      </w:r>
      <w:r w:rsidR="00B507AC">
        <w:rPr>
          <w:rFonts w:asciiTheme="majorHAnsi" w:hAnsiTheme="majorHAnsi"/>
          <w:sz w:val="20"/>
          <w:szCs w:val="20"/>
        </w:rPr>
        <w:t xml:space="preserve"> (diss</w:t>
      </w:r>
      <w:r w:rsidR="00A13E39">
        <w:rPr>
          <w:rFonts w:asciiTheme="majorHAnsi" w:hAnsiTheme="majorHAnsi"/>
          <w:sz w:val="20"/>
          <w:szCs w:val="20"/>
        </w:rPr>
        <w:t>enting opinion</w:t>
      </w:r>
      <w:r w:rsidR="00B507AC">
        <w:rPr>
          <w:rFonts w:asciiTheme="majorHAnsi" w:hAnsiTheme="majorHAnsi"/>
          <w:sz w:val="20"/>
          <w:szCs w:val="20"/>
        </w:rPr>
        <w:t>)</w:t>
      </w:r>
      <w:r w:rsidRPr="00316554">
        <w:rPr>
          <w:rFonts w:asciiTheme="majorHAnsi" w:hAnsiTheme="majorHAnsi"/>
          <w:sz w:val="20"/>
          <w:szCs w:val="20"/>
        </w:rPr>
        <w:t>; Antonia Urrejola, Second Vice President; Margarette May Macaulay, Francisco José Eguiguren Praeli, and Luis Ernesto Vargas Silva, Commissioners.</w:t>
      </w:r>
    </w:p>
    <w:sectPr w:rsidR="00316554" w:rsidRPr="0031655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BC66" w14:textId="77777777" w:rsidR="00146520" w:rsidRDefault="00146520">
      <w:r>
        <w:separator/>
      </w:r>
    </w:p>
  </w:endnote>
  <w:endnote w:type="continuationSeparator" w:id="0">
    <w:p w14:paraId="189BCB1A" w14:textId="77777777" w:rsidR="00146520" w:rsidRDefault="0014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46DD" w14:textId="77777777" w:rsidR="006E7949" w:rsidRDefault="006E7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15B1847" w14:textId="77777777" w:rsidR="001C3F17" w:rsidRPr="00934A2C" w:rsidRDefault="001C3F1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0226E">
          <w:rPr>
            <w:noProof/>
            <w:sz w:val="16"/>
            <w:szCs w:val="22"/>
          </w:rPr>
          <w:t>1</w:t>
        </w:r>
        <w:r w:rsidRPr="00934A2C">
          <w:rPr>
            <w:noProof/>
            <w:sz w:val="16"/>
            <w:szCs w:val="22"/>
          </w:rPr>
          <w:fldChar w:fldCharType="end"/>
        </w:r>
      </w:p>
    </w:sdtContent>
  </w:sdt>
  <w:p w14:paraId="3EBF21DA" w14:textId="77777777" w:rsidR="001C3F17" w:rsidRDefault="001C3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0FEF" w14:textId="77777777" w:rsidR="001C3F17" w:rsidRPr="00934A2C" w:rsidRDefault="001C3F17">
    <w:pPr>
      <w:pStyle w:val="Footer"/>
      <w:jc w:val="center"/>
      <w:rPr>
        <w:sz w:val="16"/>
        <w:szCs w:val="22"/>
      </w:rPr>
    </w:pPr>
  </w:p>
  <w:p w14:paraId="57A3223C" w14:textId="77777777" w:rsidR="001C3F17" w:rsidRDefault="001C3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E971" w14:textId="77777777" w:rsidR="00146520" w:rsidRPr="000F35ED" w:rsidRDefault="0014652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80596F" w14:textId="77777777" w:rsidR="00146520" w:rsidRPr="000F35ED" w:rsidRDefault="00146520" w:rsidP="000F35ED">
      <w:pPr>
        <w:rPr>
          <w:rFonts w:asciiTheme="majorHAnsi" w:hAnsiTheme="majorHAnsi"/>
          <w:sz w:val="16"/>
          <w:szCs w:val="16"/>
        </w:rPr>
      </w:pPr>
      <w:r w:rsidRPr="000F35ED">
        <w:rPr>
          <w:rFonts w:asciiTheme="majorHAnsi" w:hAnsiTheme="majorHAnsi"/>
          <w:sz w:val="16"/>
          <w:szCs w:val="16"/>
        </w:rPr>
        <w:separator/>
      </w:r>
    </w:p>
    <w:p w14:paraId="08F3EB3E" w14:textId="77777777" w:rsidR="00146520" w:rsidRPr="000F35ED" w:rsidRDefault="0014652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6BDBACE" w14:textId="77777777" w:rsidR="00146520" w:rsidRPr="000F35ED" w:rsidRDefault="0014652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81ED744" w14:textId="0C487D41" w:rsidR="001C3F17" w:rsidRPr="0048091C" w:rsidRDefault="001C3F17"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B22E46">
        <w:rPr>
          <w:rFonts w:asciiTheme="majorHAnsi" w:hAnsiTheme="majorHAnsi"/>
          <w:sz w:val="16"/>
          <w:szCs w:val="16"/>
          <w:lang w:val="pt-BR"/>
        </w:rPr>
        <w:t xml:space="preserve"> </w:t>
      </w:r>
      <w:r>
        <w:rPr>
          <w:rFonts w:asciiTheme="majorHAnsi" w:hAnsiTheme="majorHAnsi"/>
          <w:sz w:val="16"/>
          <w:szCs w:val="16"/>
          <w:lang w:val="pt-BR"/>
        </w:rPr>
        <w:t>Joaquim Adauto Leitão, Leones Fernandes de Mendonça</w:t>
      </w:r>
      <w:r w:rsidRPr="0048091C">
        <w:rPr>
          <w:rFonts w:asciiTheme="majorHAnsi" w:hAnsiTheme="majorHAnsi"/>
          <w:sz w:val="16"/>
          <w:szCs w:val="16"/>
          <w:lang w:val="pt-BR"/>
        </w:rPr>
        <w:t>, Severino Souza Bizinho, Luís Carlos da Silva Gomes, Maria Ruth de</w:t>
      </w:r>
      <w:r>
        <w:rPr>
          <w:rFonts w:asciiTheme="majorHAnsi" w:hAnsiTheme="majorHAnsi"/>
          <w:sz w:val="16"/>
          <w:szCs w:val="16"/>
          <w:lang w:val="pt-BR"/>
        </w:rPr>
        <w:t xml:space="preserve"> Mello Nunes, and</w:t>
      </w:r>
      <w:r w:rsidRPr="0048091C">
        <w:rPr>
          <w:rFonts w:asciiTheme="majorHAnsi" w:hAnsiTheme="majorHAnsi"/>
          <w:sz w:val="16"/>
          <w:szCs w:val="16"/>
          <w:lang w:val="pt-BR"/>
        </w:rPr>
        <w:t xml:space="preserve"> Maurício Cavalcanti de Albuquerque.</w:t>
      </w:r>
    </w:p>
  </w:footnote>
  <w:footnote w:id="3">
    <w:p w14:paraId="523546A9" w14:textId="3C0EBC22" w:rsidR="001C3F17" w:rsidRPr="003C3381" w:rsidRDefault="001C3F17" w:rsidP="0048091C">
      <w:pPr>
        <w:pStyle w:val="FootnoteText"/>
        <w:ind w:firstLine="720"/>
        <w:jc w:val="both"/>
        <w:rPr>
          <w:rFonts w:asciiTheme="majorHAnsi" w:hAnsiTheme="majorHAnsi"/>
          <w:sz w:val="16"/>
          <w:szCs w:val="16"/>
        </w:rPr>
      </w:pPr>
      <w:r w:rsidRPr="003C3381">
        <w:rPr>
          <w:rStyle w:val="FootnoteReference"/>
          <w:rFonts w:asciiTheme="majorHAnsi" w:hAnsiTheme="majorHAnsi"/>
          <w:sz w:val="16"/>
          <w:szCs w:val="16"/>
        </w:rPr>
        <w:footnoteRef/>
      </w:r>
      <w:r>
        <w:rPr>
          <w:rFonts w:asciiTheme="majorHAnsi" w:hAnsiTheme="majorHAnsi"/>
          <w:sz w:val="16"/>
          <w:szCs w:val="16"/>
        </w:rPr>
        <w:t xml:space="preserve"> In accordance with</w:t>
      </w:r>
      <w:r w:rsidRPr="003C3381">
        <w:rPr>
          <w:rFonts w:asciiTheme="majorHAnsi" w:hAnsiTheme="majorHAnsi"/>
          <w:sz w:val="16"/>
          <w:szCs w:val="16"/>
        </w:rPr>
        <w:t xml:space="preserve"> Article 17.2.</w:t>
      </w:r>
      <w:proofErr w:type="spellStart"/>
      <w:r w:rsidRPr="003C3381">
        <w:rPr>
          <w:rFonts w:asciiTheme="majorHAnsi" w:hAnsiTheme="majorHAnsi"/>
          <w:sz w:val="16"/>
          <w:szCs w:val="16"/>
        </w:rPr>
        <w:t>a</w:t>
      </w:r>
      <w:proofErr w:type="spellEnd"/>
      <w:r w:rsidRPr="003C3381">
        <w:rPr>
          <w:rFonts w:asciiTheme="majorHAnsi" w:hAnsiTheme="majorHAnsi"/>
          <w:sz w:val="16"/>
          <w:szCs w:val="16"/>
        </w:rPr>
        <w:t xml:space="preserve"> of the Commission Regulations, Com</w:t>
      </w:r>
      <w:r>
        <w:rPr>
          <w:rFonts w:asciiTheme="majorHAnsi" w:hAnsiTheme="majorHAnsi"/>
          <w:sz w:val="16"/>
          <w:szCs w:val="16"/>
        </w:rPr>
        <w:t>m</w:t>
      </w:r>
      <w:r w:rsidRPr="003C3381">
        <w:rPr>
          <w:rFonts w:asciiTheme="majorHAnsi" w:hAnsiTheme="majorHAnsi"/>
          <w:sz w:val="16"/>
          <w:szCs w:val="16"/>
        </w:rPr>
        <w:t>issioner Flávia Piovesan, a Brazilian national, did not take part in</w:t>
      </w:r>
      <w:r>
        <w:rPr>
          <w:rFonts w:asciiTheme="majorHAnsi" w:hAnsiTheme="majorHAnsi"/>
          <w:sz w:val="16"/>
          <w:szCs w:val="16"/>
        </w:rPr>
        <w:t xml:space="preserve"> either</w:t>
      </w:r>
      <w:r w:rsidRPr="003C3381">
        <w:rPr>
          <w:rFonts w:asciiTheme="majorHAnsi" w:hAnsiTheme="majorHAnsi"/>
          <w:sz w:val="16"/>
          <w:szCs w:val="16"/>
        </w:rPr>
        <w:t xml:space="preserve"> the debate</w:t>
      </w:r>
      <w:r>
        <w:rPr>
          <w:rFonts w:asciiTheme="majorHAnsi" w:hAnsiTheme="majorHAnsi"/>
          <w:sz w:val="16"/>
          <w:szCs w:val="16"/>
        </w:rPr>
        <w:t xml:space="preserve"> or the ruling on</w:t>
      </w:r>
      <w:r w:rsidRPr="003C3381">
        <w:rPr>
          <w:rFonts w:asciiTheme="majorHAnsi" w:hAnsiTheme="majorHAnsi"/>
          <w:sz w:val="16"/>
          <w:szCs w:val="16"/>
        </w:rPr>
        <w:t xml:space="preserve"> the present matter.</w:t>
      </w:r>
    </w:p>
  </w:footnote>
  <w:footnote w:id="4">
    <w:p w14:paraId="60E49E14" w14:textId="5F8AF589" w:rsidR="001C3F17" w:rsidRPr="003C3381" w:rsidRDefault="001C3F17" w:rsidP="0048091C">
      <w:pPr>
        <w:pStyle w:val="FootnoteText"/>
        <w:ind w:firstLine="720"/>
        <w:jc w:val="both"/>
        <w:rPr>
          <w:rFonts w:asciiTheme="majorHAnsi" w:hAnsiTheme="majorHAnsi"/>
          <w:sz w:val="16"/>
          <w:szCs w:val="16"/>
        </w:rPr>
      </w:pPr>
      <w:r w:rsidRPr="003C3381">
        <w:rPr>
          <w:rStyle w:val="FootnoteReference"/>
          <w:rFonts w:asciiTheme="majorHAnsi" w:hAnsiTheme="majorHAnsi"/>
          <w:sz w:val="16"/>
          <w:szCs w:val="16"/>
        </w:rPr>
        <w:footnoteRef/>
      </w:r>
      <w:r w:rsidRPr="003C3381">
        <w:rPr>
          <w:rFonts w:asciiTheme="majorHAnsi" w:hAnsiTheme="majorHAnsi"/>
          <w:sz w:val="16"/>
          <w:szCs w:val="16"/>
        </w:rPr>
        <w:t xml:space="preserve"> Her</w:t>
      </w:r>
      <w:r>
        <w:rPr>
          <w:rFonts w:asciiTheme="majorHAnsi" w:hAnsiTheme="majorHAnsi"/>
          <w:sz w:val="16"/>
          <w:szCs w:val="16"/>
        </w:rPr>
        <w:t>e</w:t>
      </w:r>
      <w:r w:rsidRPr="003C3381">
        <w:rPr>
          <w:rFonts w:asciiTheme="majorHAnsi" w:hAnsiTheme="majorHAnsi"/>
          <w:sz w:val="16"/>
          <w:szCs w:val="16"/>
        </w:rPr>
        <w:t>inafter, “American Convention.”</w:t>
      </w:r>
    </w:p>
  </w:footnote>
  <w:footnote w:id="5">
    <w:p w14:paraId="3D91598E" w14:textId="2D51963A" w:rsidR="001C3F17" w:rsidRPr="00316554" w:rsidRDefault="001C3F17" w:rsidP="0048091C">
      <w:pPr>
        <w:pStyle w:val="FootnoteText"/>
        <w:ind w:firstLine="720"/>
        <w:jc w:val="both"/>
        <w:rPr>
          <w:rFonts w:asciiTheme="majorHAnsi" w:hAnsiTheme="majorHAnsi"/>
          <w:sz w:val="16"/>
          <w:szCs w:val="16"/>
        </w:rPr>
      </w:pPr>
      <w:r w:rsidRPr="003C3381">
        <w:rPr>
          <w:rStyle w:val="FootnoteReference"/>
          <w:rFonts w:asciiTheme="majorHAnsi" w:hAnsiTheme="majorHAnsi"/>
          <w:sz w:val="16"/>
          <w:szCs w:val="16"/>
        </w:rPr>
        <w:footnoteRef/>
      </w:r>
      <w:r w:rsidRPr="003C3381">
        <w:rPr>
          <w:rFonts w:asciiTheme="majorHAnsi" w:hAnsiTheme="majorHAnsi"/>
          <w:sz w:val="16"/>
          <w:szCs w:val="16"/>
        </w:rPr>
        <w:t xml:space="preserve"> </w:t>
      </w:r>
      <w:r w:rsidR="008D6A8A">
        <w:rPr>
          <w:rFonts w:asciiTheme="majorHAnsi" w:hAnsiTheme="majorHAnsi"/>
          <w:sz w:val="16"/>
          <w:szCs w:val="16"/>
        </w:rPr>
        <w:t>The observations submitted by each party were transmitted to the opposing party</w:t>
      </w:r>
    </w:p>
  </w:footnote>
  <w:footnote w:id="6">
    <w:p w14:paraId="0C2572D5" w14:textId="07F35755" w:rsidR="001C3F17" w:rsidRPr="00AD7521" w:rsidRDefault="001C3F17" w:rsidP="0048091C">
      <w:pPr>
        <w:pStyle w:val="FootnoteText"/>
        <w:ind w:firstLine="720"/>
        <w:jc w:val="both"/>
        <w:rPr>
          <w:rFonts w:asciiTheme="majorHAnsi" w:hAnsiTheme="majorHAnsi"/>
          <w:sz w:val="16"/>
          <w:szCs w:val="16"/>
        </w:rPr>
      </w:pPr>
      <w:r w:rsidRPr="00AD7521">
        <w:rPr>
          <w:rStyle w:val="FootnoteReference"/>
          <w:rFonts w:asciiTheme="majorHAnsi" w:hAnsiTheme="majorHAnsi"/>
          <w:sz w:val="16"/>
          <w:szCs w:val="16"/>
        </w:rPr>
        <w:footnoteRef/>
      </w:r>
      <w:r w:rsidRPr="00AD7521">
        <w:rPr>
          <w:rFonts w:asciiTheme="majorHAnsi" w:hAnsiTheme="majorHAnsi"/>
          <w:sz w:val="16"/>
          <w:szCs w:val="16"/>
        </w:rPr>
        <w:t xml:space="preserve"> IACHR. Report No. 14/08. Petition 652-04. Standing. Hugo Hum</w:t>
      </w:r>
      <w:r w:rsidR="00EB1EFB">
        <w:rPr>
          <w:rFonts w:asciiTheme="majorHAnsi" w:hAnsiTheme="majorHAnsi"/>
          <w:sz w:val="16"/>
          <w:szCs w:val="16"/>
        </w:rPr>
        <w:t xml:space="preserve">berto Ruiz Fuentes. Guatemala. </w:t>
      </w:r>
      <w:r w:rsidRPr="00AD7521">
        <w:rPr>
          <w:rFonts w:asciiTheme="majorHAnsi" w:hAnsiTheme="majorHAnsi"/>
          <w:sz w:val="16"/>
          <w:szCs w:val="16"/>
        </w:rPr>
        <w:t>March</w:t>
      </w:r>
      <w:r w:rsidR="00EB1EFB">
        <w:rPr>
          <w:rFonts w:asciiTheme="majorHAnsi" w:hAnsiTheme="majorHAnsi"/>
          <w:sz w:val="16"/>
          <w:szCs w:val="16"/>
        </w:rPr>
        <w:t xml:space="preserve"> 5,</w:t>
      </w:r>
      <w:r w:rsidRPr="00AD7521">
        <w:rPr>
          <w:rFonts w:asciiTheme="majorHAnsi" w:hAnsiTheme="majorHAnsi"/>
          <w:sz w:val="16"/>
          <w:szCs w:val="16"/>
        </w:rPr>
        <w:t xml:space="preserve"> 2008,</w:t>
      </w:r>
      <w:r>
        <w:rPr>
          <w:rFonts w:asciiTheme="majorHAnsi" w:hAnsiTheme="majorHAnsi"/>
          <w:sz w:val="16"/>
          <w:szCs w:val="16"/>
        </w:rPr>
        <w:t xml:space="preserve"> </w:t>
      </w:r>
      <w:r>
        <w:rPr>
          <w:rFonts w:ascii="Lucida Grande" w:hAnsi="Lucida Grande" w:cs="Lucida Grande"/>
          <w:b/>
        </w:rPr>
        <w:t>¶</w:t>
      </w:r>
      <w:r w:rsidRPr="00AD7521">
        <w:rPr>
          <w:rFonts w:asciiTheme="majorHAnsi" w:hAnsiTheme="majorHAnsi"/>
          <w:sz w:val="16"/>
          <w:szCs w:val="16"/>
        </w:rPr>
        <w:t xml:space="preserve">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08CB" w14:textId="77777777" w:rsidR="001C3F17" w:rsidRDefault="001C3F17" w:rsidP="000B250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52FD1C" w14:textId="77777777" w:rsidR="001C3F17" w:rsidRDefault="001C3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7662" w14:textId="689D1CE8" w:rsidR="001C3F17" w:rsidRDefault="006E7949" w:rsidP="00A50FCF">
    <w:pPr>
      <w:pStyle w:val="Header"/>
      <w:tabs>
        <w:tab w:val="clear" w:pos="4320"/>
        <w:tab w:val="clear" w:pos="8640"/>
      </w:tabs>
      <w:jc w:val="center"/>
      <w:rPr>
        <w:sz w:val="22"/>
        <w:szCs w:val="22"/>
      </w:rPr>
    </w:pPr>
    <w:r>
      <w:rPr>
        <w:noProof/>
        <w:sz w:val="22"/>
        <w:szCs w:val="22"/>
      </w:rPr>
      <w:drawing>
        <wp:inline distT="0" distB="0" distL="0" distR="0" wp14:anchorId="6E6ADAE7" wp14:editId="145CBBF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22D9C58" w14:textId="77777777" w:rsidR="001C3F17" w:rsidRPr="00EC7D62" w:rsidRDefault="00146520" w:rsidP="00A50FCF">
    <w:pPr>
      <w:pStyle w:val="Header"/>
      <w:tabs>
        <w:tab w:val="clear" w:pos="4320"/>
        <w:tab w:val="clear" w:pos="8640"/>
      </w:tabs>
      <w:jc w:val="center"/>
      <w:rPr>
        <w:sz w:val="22"/>
        <w:szCs w:val="22"/>
      </w:rPr>
    </w:pPr>
    <w:r>
      <w:rPr>
        <w:sz w:val="22"/>
        <w:szCs w:val="22"/>
      </w:rPr>
      <w:pict w14:anchorId="5D1134A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0FD3" w14:textId="77777777" w:rsidR="006E7949" w:rsidRDefault="006E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0FAMtPwrEtAAAA"/>
  </w:docVars>
  <w:rsids>
    <w:rsidRoot w:val="006B2D5C"/>
    <w:rsid w:val="0000036F"/>
    <w:rsid w:val="00000CDA"/>
    <w:rsid w:val="00006E1F"/>
    <w:rsid w:val="000070D7"/>
    <w:rsid w:val="0001788C"/>
    <w:rsid w:val="000259F8"/>
    <w:rsid w:val="000337EF"/>
    <w:rsid w:val="00040871"/>
    <w:rsid w:val="00040C3A"/>
    <w:rsid w:val="000419AD"/>
    <w:rsid w:val="000433C9"/>
    <w:rsid w:val="00045767"/>
    <w:rsid w:val="00063FA0"/>
    <w:rsid w:val="000716C5"/>
    <w:rsid w:val="00075E23"/>
    <w:rsid w:val="0009344A"/>
    <w:rsid w:val="000A392E"/>
    <w:rsid w:val="000A4A22"/>
    <w:rsid w:val="000A5662"/>
    <w:rsid w:val="000A575F"/>
    <w:rsid w:val="000A7E4D"/>
    <w:rsid w:val="000B2504"/>
    <w:rsid w:val="000C2B47"/>
    <w:rsid w:val="000D10DB"/>
    <w:rsid w:val="000E5EB5"/>
    <w:rsid w:val="000F35ED"/>
    <w:rsid w:val="00103F76"/>
    <w:rsid w:val="00107131"/>
    <w:rsid w:val="0010736F"/>
    <w:rsid w:val="00113F73"/>
    <w:rsid w:val="00121CC2"/>
    <w:rsid w:val="001234FF"/>
    <w:rsid w:val="00126384"/>
    <w:rsid w:val="00133EE5"/>
    <w:rsid w:val="001363FC"/>
    <w:rsid w:val="00140A2F"/>
    <w:rsid w:val="00146520"/>
    <w:rsid w:val="001609F4"/>
    <w:rsid w:val="00167A34"/>
    <w:rsid w:val="00176342"/>
    <w:rsid w:val="00185DD0"/>
    <w:rsid w:val="001A7870"/>
    <w:rsid w:val="001B3A00"/>
    <w:rsid w:val="001C1B41"/>
    <w:rsid w:val="001C3F17"/>
    <w:rsid w:val="001D65EF"/>
    <w:rsid w:val="001E10DB"/>
    <w:rsid w:val="001E49E7"/>
    <w:rsid w:val="001F3E08"/>
    <w:rsid w:val="001F4297"/>
    <w:rsid w:val="001F7201"/>
    <w:rsid w:val="002022DC"/>
    <w:rsid w:val="00223A29"/>
    <w:rsid w:val="002250A3"/>
    <w:rsid w:val="0022736D"/>
    <w:rsid w:val="00235217"/>
    <w:rsid w:val="002418C2"/>
    <w:rsid w:val="00246D1F"/>
    <w:rsid w:val="00247403"/>
    <w:rsid w:val="00247542"/>
    <w:rsid w:val="002558F1"/>
    <w:rsid w:val="00264F9C"/>
    <w:rsid w:val="00266B61"/>
    <w:rsid w:val="0026712A"/>
    <w:rsid w:val="002704DB"/>
    <w:rsid w:val="00283EA4"/>
    <w:rsid w:val="00290B4E"/>
    <w:rsid w:val="002A0AAE"/>
    <w:rsid w:val="002A3404"/>
    <w:rsid w:val="002A5820"/>
    <w:rsid w:val="002B51DE"/>
    <w:rsid w:val="002D2B26"/>
    <w:rsid w:val="002D5143"/>
    <w:rsid w:val="002D7EA2"/>
    <w:rsid w:val="002E187C"/>
    <w:rsid w:val="002E5F1A"/>
    <w:rsid w:val="002E6497"/>
    <w:rsid w:val="00302733"/>
    <w:rsid w:val="00307D5E"/>
    <w:rsid w:val="00314078"/>
    <w:rsid w:val="0031535D"/>
    <w:rsid w:val="00316554"/>
    <w:rsid w:val="00322A27"/>
    <w:rsid w:val="003239B8"/>
    <w:rsid w:val="0032452E"/>
    <w:rsid w:val="00324946"/>
    <w:rsid w:val="003278D7"/>
    <w:rsid w:val="0033169F"/>
    <w:rsid w:val="00333C65"/>
    <w:rsid w:val="003415A0"/>
    <w:rsid w:val="00344977"/>
    <w:rsid w:val="00346C95"/>
    <w:rsid w:val="00350A35"/>
    <w:rsid w:val="00356185"/>
    <w:rsid w:val="00360380"/>
    <w:rsid w:val="00372277"/>
    <w:rsid w:val="00372722"/>
    <w:rsid w:val="0037519E"/>
    <w:rsid w:val="00386CF0"/>
    <w:rsid w:val="0038709A"/>
    <w:rsid w:val="003B70FB"/>
    <w:rsid w:val="003C3381"/>
    <w:rsid w:val="003C676B"/>
    <w:rsid w:val="003D034C"/>
    <w:rsid w:val="003D3BC2"/>
    <w:rsid w:val="003E4EA6"/>
    <w:rsid w:val="003E6CA1"/>
    <w:rsid w:val="003E7F34"/>
    <w:rsid w:val="004065A8"/>
    <w:rsid w:val="00414DFC"/>
    <w:rsid w:val="00414F3D"/>
    <w:rsid w:val="004165C2"/>
    <w:rsid w:val="00441ECB"/>
    <w:rsid w:val="00445193"/>
    <w:rsid w:val="0044634B"/>
    <w:rsid w:val="00447408"/>
    <w:rsid w:val="00461FFC"/>
    <w:rsid w:val="00462C1B"/>
    <w:rsid w:val="00467B7E"/>
    <w:rsid w:val="00471F05"/>
    <w:rsid w:val="00473BB4"/>
    <w:rsid w:val="00477592"/>
    <w:rsid w:val="0048091C"/>
    <w:rsid w:val="00486F1C"/>
    <w:rsid w:val="0049419D"/>
    <w:rsid w:val="004A6A54"/>
    <w:rsid w:val="004C04C2"/>
    <w:rsid w:val="004C05CD"/>
    <w:rsid w:val="004C20D2"/>
    <w:rsid w:val="004C2312"/>
    <w:rsid w:val="004C4B62"/>
    <w:rsid w:val="004C54C9"/>
    <w:rsid w:val="004D4ABA"/>
    <w:rsid w:val="004D6025"/>
    <w:rsid w:val="004D607A"/>
    <w:rsid w:val="004E2649"/>
    <w:rsid w:val="004E504B"/>
    <w:rsid w:val="004F2F8B"/>
    <w:rsid w:val="00501399"/>
    <w:rsid w:val="0050633D"/>
    <w:rsid w:val="00507BC4"/>
    <w:rsid w:val="005128E4"/>
    <w:rsid w:val="005133DB"/>
    <w:rsid w:val="00517D73"/>
    <w:rsid w:val="0052434B"/>
    <w:rsid w:val="00525560"/>
    <w:rsid w:val="00544C49"/>
    <w:rsid w:val="0054502C"/>
    <w:rsid w:val="00546826"/>
    <w:rsid w:val="005512ED"/>
    <w:rsid w:val="005516A1"/>
    <w:rsid w:val="00563557"/>
    <w:rsid w:val="0057402A"/>
    <w:rsid w:val="005771D0"/>
    <w:rsid w:val="00580A6D"/>
    <w:rsid w:val="0059191A"/>
    <w:rsid w:val="005921FF"/>
    <w:rsid w:val="005923BB"/>
    <w:rsid w:val="0059466B"/>
    <w:rsid w:val="005A24ED"/>
    <w:rsid w:val="005A6D0E"/>
    <w:rsid w:val="005B52B0"/>
    <w:rsid w:val="005B6806"/>
    <w:rsid w:val="005C2EBC"/>
    <w:rsid w:val="005C4225"/>
    <w:rsid w:val="005D6CE5"/>
    <w:rsid w:val="005E6981"/>
    <w:rsid w:val="005F06DE"/>
    <w:rsid w:val="005F0DAD"/>
    <w:rsid w:val="005F0F33"/>
    <w:rsid w:val="005F3E91"/>
    <w:rsid w:val="00600DEB"/>
    <w:rsid w:val="00604276"/>
    <w:rsid w:val="00613B05"/>
    <w:rsid w:val="0062596C"/>
    <w:rsid w:val="00627C9F"/>
    <w:rsid w:val="006311E9"/>
    <w:rsid w:val="006315C2"/>
    <w:rsid w:val="00632354"/>
    <w:rsid w:val="00642810"/>
    <w:rsid w:val="00652333"/>
    <w:rsid w:val="0068009E"/>
    <w:rsid w:val="0068246B"/>
    <w:rsid w:val="006842B2"/>
    <w:rsid w:val="00692219"/>
    <w:rsid w:val="0069622D"/>
    <w:rsid w:val="00696458"/>
    <w:rsid w:val="006A17D2"/>
    <w:rsid w:val="006A20E7"/>
    <w:rsid w:val="006A73E6"/>
    <w:rsid w:val="006B2D5C"/>
    <w:rsid w:val="006B5EE6"/>
    <w:rsid w:val="006C4EB1"/>
    <w:rsid w:val="006D56B9"/>
    <w:rsid w:val="006E0166"/>
    <w:rsid w:val="006E441B"/>
    <w:rsid w:val="006E7949"/>
    <w:rsid w:val="006E7B34"/>
    <w:rsid w:val="0070697F"/>
    <w:rsid w:val="00712214"/>
    <w:rsid w:val="00721146"/>
    <w:rsid w:val="0072199C"/>
    <w:rsid w:val="00722C9F"/>
    <w:rsid w:val="007253B8"/>
    <w:rsid w:val="0073741F"/>
    <w:rsid w:val="007606E0"/>
    <w:rsid w:val="0076643F"/>
    <w:rsid w:val="007665A8"/>
    <w:rsid w:val="00776B7E"/>
    <w:rsid w:val="00777F63"/>
    <w:rsid w:val="00794309"/>
    <w:rsid w:val="007A4A24"/>
    <w:rsid w:val="007A5758"/>
    <w:rsid w:val="007A5817"/>
    <w:rsid w:val="007B05C4"/>
    <w:rsid w:val="007B1F68"/>
    <w:rsid w:val="007B2CE8"/>
    <w:rsid w:val="007B60E9"/>
    <w:rsid w:val="007B63AD"/>
    <w:rsid w:val="007B6CC3"/>
    <w:rsid w:val="007B76D3"/>
    <w:rsid w:val="007C15C2"/>
    <w:rsid w:val="007C3334"/>
    <w:rsid w:val="007D095F"/>
    <w:rsid w:val="007D2B98"/>
    <w:rsid w:val="007E202C"/>
    <w:rsid w:val="007E21BC"/>
    <w:rsid w:val="007E7C82"/>
    <w:rsid w:val="007F588D"/>
    <w:rsid w:val="00803F1C"/>
    <w:rsid w:val="0080600E"/>
    <w:rsid w:val="00810069"/>
    <w:rsid w:val="0081569D"/>
    <w:rsid w:val="00817612"/>
    <w:rsid w:val="00820DB1"/>
    <w:rsid w:val="008338A4"/>
    <w:rsid w:val="00834D49"/>
    <w:rsid w:val="00835395"/>
    <w:rsid w:val="00837C45"/>
    <w:rsid w:val="00844730"/>
    <w:rsid w:val="008457C2"/>
    <w:rsid w:val="00850BAF"/>
    <w:rsid w:val="00853E36"/>
    <w:rsid w:val="00857A82"/>
    <w:rsid w:val="00864018"/>
    <w:rsid w:val="008641B4"/>
    <w:rsid w:val="008678CB"/>
    <w:rsid w:val="00873836"/>
    <w:rsid w:val="0087548C"/>
    <w:rsid w:val="00885737"/>
    <w:rsid w:val="00890650"/>
    <w:rsid w:val="0089259F"/>
    <w:rsid w:val="00896804"/>
    <w:rsid w:val="00897E12"/>
    <w:rsid w:val="008A7E0F"/>
    <w:rsid w:val="008B12F5"/>
    <w:rsid w:val="008C349D"/>
    <w:rsid w:val="008D4A57"/>
    <w:rsid w:val="008D6A8A"/>
    <w:rsid w:val="008D768D"/>
    <w:rsid w:val="008E114E"/>
    <w:rsid w:val="008E3759"/>
    <w:rsid w:val="008E3BFE"/>
    <w:rsid w:val="008F1912"/>
    <w:rsid w:val="0090032F"/>
    <w:rsid w:val="0090270B"/>
    <w:rsid w:val="009041DC"/>
    <w:rsid w:val="00904A70"/>
    <w:rsid w:val="00904F99"/>
    <w:rsid w:val="009157E8"/>
    <w:rsid w:val="00917B5A"/>
    <w:rsid w:val="009209E3"/>
    <w:rsid w:val="00920A58"/>
    <w:rsid w:val="00920A8C"/>
    <w:rsid w:val="00931250"/>
    <w:rsid w:val="00931359"/>
    <w:rsid w:val="009313B2"/>
    <w:rsid w:val="00934A2C"/>
    <w:rsid w:val="00937374"/>
    <w:rsid w:val="00940BA5"/>
    <w:rsid w:val="009621BA"/>
    <w:rsid w:val="0096706E"/>
    <w:rsid w:val="00974491"/>
    <w:rsid w:val="009751F1"/>
    <w:rsid w:val="00975C4E"/>
    <w:rsid w:val="00981FBA"/>
    <w:rsid w:val="00997BC5"/>
    <w:rsid w:val="009A3C22"/>
    <w:rsid w:val="009A40F7"/>
    <w:rsid w:val="009A4F41"/>
    <w:rsid w:val="009A6E01"/>
    <w:rsid w:val="009B0BB2"/>
    <w:rsid w:val="009B1154"/>
    <w:rsid w:val="009B363C"/>
    <w:rsid w:val="009B381B"/>
    <w:rsid w:val="009C248F"/>
    <w:rsid w:val="009D1753"/>
    <w:rsid w:val="009D7611"/>
    <w:rsid w:val="009E0B61"/>
    <w:rsid w:val="009E53DE"/>
    <w:rsid w:val="00A11212"/>
    <w:rsid w:val="00A11E44"/>
    <w:rsid w:val="00A13E39"/>
    <w:rsid w:val="00A24EBA"/>
    <w:rsid w:val="00A328B3"/>
    <w:rsid w:val="00A37F2E"/>
    <w:rsid w:val="00A50FCF"/>
    <w:rsid w:val="00A528D1"/>
    <w:rsid w:val="00A53003"/>
    <w:rsid w:val="00A5524A"/>
    <w:rsid w:val="00A574AF"/>
    <w:rsid w:val="00A610CD"/>
    <w:rsid w:val="00A63482"/>
    <w:rsid w:val="00A72949"/>
    <w:rsid w:val="00A758AA"/>
    <w:rsid w:val="00A75CC3"/>
    <w:rsid w:val="00A85EAE"/>
    <w:rsid w:val="00AA09A2"/>
    <w:rsid w:val="00AA2FF6"/>
    <w:rsid w:val="00AA7996"/>
    <w:rsid w:val="00AA7E79"/>
    <w:rsid w:val="00AB41A8"/>
    <w:rsid w:val="00AC027D"/>
    <w:rsid w:val="00AC19CB"/>
    <w:rsid w:val="00AD17CD"/>
    <w:rsid w:val="00AD4D22"/>
    <w:rsid w:val="00AD7521"/>
    <w:rsid w:val="00AE04D2"/>
    <w:rsid w:val="00AE5488"/>
    <w:rsid w:val="00AE6F91"/>
    <w:rsid w:val="00AE700D"/>
    <w:rsid w:val="00AF5571"/>
    <w:rsid w:val="00B0226E"/>
    <w:rsid w:val="00B07341"/>
    <w:rsid w:val="00B07D87"/>
    <w:rsid w:val="00B2280C"/>
    <w:rsid w:val="00B22E46"/>
    <w:rsid w:val="00B2395C"/>
    <w:rsid w:val="00B30539"/>
    <w:rsid w:val="00B314DB"/>
    <w:rsid w:val="00B35BC9"/>
    <w:rsid w:val="00B361F2"/>
    <w:rsid w:val="00B3718B"/>
    <w:rsid w:val="00B4414F"/>
    <w:rsid w:val="00B4540A"/>
    <w:rsid w:val="00B4632A"/>
    <w:rsid w:val="00B507AC"/>
    <w:rsid w:val="00B51266"/>
    <w:rsid w:val="00B5256F"/>
    <w:rsid w:val="00B530F1"/>
    <w:rsid w:val="00B7440A"/>
    <w:rsid w:val="00B803C5"/>
    <w:rsid w:val="00BA276C"/>
    <w:rsid w:val="00BB306F"/>
    <w:rsid w:val="00BD4B89"/>
    <w:rsid w:val="00BD5922"/>
    <w:rsid w:val="00BF02CB"/>
    <w:rsid w:val="00BF6FD8"/>
    <w:rsid w:val="00C03680"/>
    <w:rsid w:val="00C054DF"/>
    <w:rsid w:val="00C1097B"/>
    <w:rsid w:val="00C21762"/>
    <w:rsid w:val="00C21FEF"/>
    <w:rsid w:val="00C24543"/>
    <w:rsid w:val="00C256A2"/>
    <w:rsid w:val="00C30022"/>
    <w:rsid w:val="00C51515"/>
    <w:rsid w:val="00C5660B"/>
    <w:rsid w:val="00C569F6"/>
    <w:rsid w:val="00C66111"/>
    <w:rsid w:val="00C66B72"/>
    <w:rsid w:val="00C674C0"/>
    <w:rsid w:val="00C675D3"/>
    <w:rsid w:val="00C77A5C"/>
    <w:rsid w:val="00C87AC4"/>
    <w:rsid w:val="00C9567A"/>
    <w:rsid w:val="00CB18A8"/>
    <w:rsid w:val="00CB212D"/>
    <w:rsid w:val="00CB2660"/>
    <w:rsid w:val="00CB5FDC"/>
    <w:rsid w:val="00CC2EF4"/>
    <w:rsid w:val="00CC5A5D"/>
    <w:rsid w:val="00CC5E90"/>
    <w:rsid w:val="00CD046C"/>
    <w:rsid w:val="00CE076C"/>
    <w:rsid w:val="00CE5199"/>
    <w:rsid w:val="00CE66D5"/>
    <w:rsid w:val="00CF40D7"/>
    <w:rsid w:val="00CF637A"/>
    <w:rsid w:val="00D00074"/>
    <w:rsid w:val="00D031BF"/>
    <w:rsid w:val="00D059A8"/>
    <w:rsid w:val="00D059DE"/>
    <w:rsid w:val="00D05ABD"/>
    <w:rsid w:val="00D13239"/>
    <w:rsid w:val="00D13FCE"/>
    <w:rsid w:val="00D14AE4"/>
    <w:rsid w:val="00D21316"/>
    <w:rsid w:val="00D30161"/>
    <w:rsid w:val="00D306D1"/>
    <w:rsid w:val="00D30800"/>
    <w:rsid w:val="00D34786"/>
    <w:rsid w:val="00D358AF"/>
    <w:rsid w:val="00D37BFC"/>
    <w:rsid w:val="00D47A8E"/>
    <w:rsid w:val="00D52D14"/>
    <w:rsid w:val="00D712D3"/>
    <w:rsid w:val="00D71422"/>
    <w:rsid w:val="00D72DC6"/>
    <w:rsid w:val="00D7558D"/>
    <w:rsid w:val="00D81D92"/>
    <w:rsid w:val="00D83E0E"/>
    <w:rsid w:val="00D876F9"/>
    <w:rsid w:val="00D96567"/>
    <w:rsid w:val="00DA0C97"/>
    <w:rsid w:val="00DA2224"/>
    <w:rsid w:val="00DA7B5F"/>
    <w:rsid w:val="00DC11E7"/>
    <w:rsid w:val="00DC7023"/>
    <w:rsid w:val="00DC769A"/>
    <w:rsid w:val="00DD3D86"/>
    <w:rsid w:val="00DD3ED6"/>
    <w:rsid w:val="00DD4AD2"/>
    <w:rsid w:val="00DD5FF7"/>
    <w:rsid w:val="00DD767C"/>
    <w:rsid w:val="00DE31E2"/>
    <w:rsid w:val="00DF0538"/>
    <w:rsid w:val="00DF1EC4"/>
    <w:rsid w:val="00E0340B"/>
    <w:rsid w:val="00E0439C"/>
    <w:rsid w:val="00E04A90"/>
    <w:rsid w:val="00E0551F"/>
    <w:rsid w:val="00E219C7"/>
    <w:rsid w:val="00E33B4C"/>
    <w:rsid w:val="00E36382"/>
    <w:rsid w:val="00E41070"/>
    <w:rsid w:val="00E4118C"/>
    <w:rsid w:val="00E43157"/>
    <w:rsid w:val="00E44C19"/>
    <w:rsid w:val="00E461CE"/>
    <w:rsid w:val="00E47290"/>
    <w:rsid w:val="00E66A49"/>
    <w:rsid w:val="00E720CA"/>
    <w:rsid w:val="00E73602"/>
    <w:rsid w:val="00E84EB5"/>
    <w:rsid w:val="00E85662"/>
    <w:rsid w:val="00E85AD8"/>
    <w:rsid w:val="00E86FCE"/>
    <w:rsid w:val="00E8789F"/>
    <w:rsid w:val="00E9193D"/>
    <w:rsid w:val="00E97B71"/>
    <w:rsid w:val="00EA3D34"/>
    <w:rsid w:val="00EB1EFB"/>
    <w:rsid w:val="00EB454D"/>
    <w:rsid w:val="00EB54DD"/>
    <w:rsid w:val="00ED549D"/>
    <w:rsid w:val="00ED76BE"/>
    <w:rsid w:val="00EE00E9"/>
    <w:rsid w:val="00EE4212"/>
    <w:rsid w:val="00EF4AF9"/>
    <w:rsid w:val="00EF619B"/>
    <w:rsid w:val="00F00B55"/>
    <w:rsid w:val="00F02AD1"/>
    <w:rsid w:val="00F253CC"/>
    <w:rsid w:val="00F2618F"/>
    <w:rsid w:val="00F36CA1"/>
    <w:rsid w:val="00F37106"/>
    <w:rsid w:val="00F45D47"/>
    <w:rsid w:val="00F465F6"/>
    <w:rsid w:val="00F519CF"/>
    <w:rsid w:val="00F56BA5"/>
    <w:rsid w:val="00F60E22"/>
    <w:rsid w:val="00F62048"/>
    <w:rsid w:val="00F64CC6"/>
    <w:rsid w:val="00F70196"/>
    <w:rsid w:val="00F70B41"/>
    <w:rsid w:val="00F7348D"/>
    <w:rsid w:val="00F764FB"/>
    <w:rsid w:val="00F81395"/>
    <w:rsid w:val="00F81BB8"/>
    <w:rsid w:val="00F917D1"/>
    <w:rsid w:val="00F9653B"/>
    <w:rsid w:val="00FB2B42"/>
    <w:rsid w:val="00FB62CF"/>
    <w:rsid w:val="00FC103C"/>
    <w:rsid w:val="00FC2BBE"/>
    <w:rsid w:val="00FD3391"/>
    <w:rsid w:val="00FD3C3B"/>
    <w:rsid w:val="00FE07DD"/>
    <w:rsid w:val="00FE6450"/>
    <w:rsid w:val="00FE684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C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E46"/>
    <w:rPr>
      <w:sz w:val="16"/>
      <w:szCs w:val="16"/>
    </w:rPr>
  </w:style>
  <w:style w:type="paragraph" w:styleId="CommentText">
    <w:name w:val="annotation text"/>
    <w:basedOn w:val="Normal"/>
    <w:link w:val="CommentTextChar"/>
    <w:uiPriority w:val="99"/>
    <w:semiHidden/>
    <w:unhideWhenUsed/>
    <w:rsid w:val="00B22E46"/>
    <w:rPr>
      <w:sz w:val="20"/>
      <w:szCs w:val="20"/>
    </w:rPr>
  </w:style>
  <w:style w:type="character" w:customStyle="1" w:styleId="CommentTextChar">
    <w:name w:val="Comment Text Char"/>
    <w:basedOn w:val="DefaultParagraphFont"/>
    <w:link w:val="CommentText"/>
    <w:uiPriority w:val="99"/>
    <w:semiHidden/>
    <w:rsid w:val="00B22E46"/>
    <w:rPr>
      <w:lang w:val="en-US" w:eastAsia="en-US"/>
    </w:rPr>
  </w:style>
  <w:style w:type="paragraph" w:styleId="CommentSubject">
    <w:name w:val="annotation subject"/>
    <w:basedOn w:val="CommentText"/>
    <w:next w:val="CommentText"/>
    <w:link w:val="CommentSubjectChar"/>
    <w:uiPriority w:val="99"/>
    <w:semiHidden/>
    <w:unhideWhenUsed/>
    <w:rsid w:val="00B22E46"/>
    <w:rPr>
      <w:b/>
      <w:bCs/>
    </w:rPr>
  </w:style>
  <w:style w:type="character" w:customStyle="1" w:styleId="CommentSubjectChar">
    <w:name w:val="Comment Subject Char"/>
    <w:basedOn w:val="CommentTextChar"/>
    <w:link w:val="CommentSubject"/>
    <w:uiPriority w:val="99"/>
    <w:semiHidden/>
    <w:rsid w:val="00B22E4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2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55F4-CD27-492A-9757-341EC965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32/19</dc:title>
  <dc:creator/>
  <cp:lastModifiedBy/>
  <cp:revision>1</cp:revision>
  <dcterms:created xsi:type="dcterms:W3CDTF">2019-05-24T14:14:00Z</dcterms:created>
  <dcterms:modified xsi:type="dcterms:W3CDTF">2019-05-24T14:14:00Z</dcterms:modified>
</cp:coreProperties>
</file>