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046773" w:rsidRDefault="00D306D1" w:rsidP="00627C9F">
      <w:pPr>
        <w:jc w:val="both"/>
        <w:rPr>
          <w:rFonts w:asciiTheme="majorHAnsi" w:hAnsiTheme="majorHAnsi" w:cs="Univers"/>
          <w:b/>
          <w:bCs/>
          <w:sz w:val="20"/>
          <w:szCs w:val="20"/>
        </w:rPr>
      </w:pPr>
      <w:r w:rsidRPr="0004677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B6A0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" fillcolor="#67af3c" stroked="f" strokeweight="2pt"/>
            </w:pict>
          </mc:Fallback>
        </mc:AlternateContent>
      </w:r>
      <w:r w:rsidR="003E6CA1" w:rsidRPr="0004677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Default="000A0270" w:rsidP="00AE5488">
                            <w:r>
                              <w:rPr>
                                <w:noProof/>
                              </w:rPr>
                              <w:drawing>
                                <wp:inline distT="0" distB="0" distL="0" distR="0" wp14:anchorId="149E15A4" wp14:editId="0FB0E210">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82E60">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82E60" w:rsidRDefault="000A0270" w:rsidP="00AE5488">
                      <w:r>
                        <w:rPr>
                          <w:noProof/>
                        </w:rPr>
                        <w:drawing>
                          <wp:inline distT="0" distB="0" distL="0" distR="0" wp14:anchorId="149E15A4" wp14:editId="0FB0E210">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B82E60">
                        <w:tab/>
                        <w:t xml:space="preserve">                              </w:t>
                      </w:r>
                    </w:p>
                  </w:txbxContent>
                </v:textbox>
              </v:shape>
            </w:pict>
          </mc:Fallback>
        </mc:AlternateContent>
      </w:r>
    </w:p>
    <w:p w:rsidR="00040C3A" w:rsidRPr="00046773" w:rsidRDefault="00040C3A" w:rsidP="00040C3A">
      <w:pPr>
        <w:tabs>
          <w:tab w:val="center" w:pos="5400"/>
        </w:tabs>
        <w:suppressAutoHyphens/>
        <w:jc w:val="both"/>
        <w:rPr>
          <w:rFonts w:asciiTheme="majorHAnsi" w:hAnsiTheme="majorHAnsi"/>
          <w:sz w:val="20"/>
          <w:szCs w:val="20"/>
        </w:rPr>
      </w:pPr>
    </w:p>
    <w:p w:rsidR="00040C3A" w:rsidRPr="00046773" w:rsidRDefault="00040C3A" w:rsidP="00040C3A">
      <w:pPr>
        <w:tabs>
          <w:tab w:val="center" w:pos="5400"/>
        </w:tabs>
        <w:suppressAutoHyphens/>
        <w:jc w:val="both"/>
        <w:rPr>
          <w:rFonts w:asciiTheme="majorHAnsi" w:hAnsiTheme="majorHAnsi"/>
          <w:sz w:val="20"/>
          <w:szCs w:val="20"/>
        </w:rPr>
      </w:pPr>
    </w:p>
    <w:p w:rsidR="005128E4" w:rsidRPr="00046773" w:rsidRDefault="005128E4" w:rsidP="00040C3A">
      <w:pPr>
        <w:tabs>
          <w:tab w:val="center" w:pos="5400"/>
        </w:tabs>
        <w:suppressAutoHyphens/>
        <w:rPr>
          <w:rFonts w:asciiTheme="majorHAnsi" w:hAnsiTheme="majorHAnsi"/>
          <w:sz w:val="20"/>
          <w:szCs w:val="20"/>
        </w:rPr>
      </w:pPr>
    </w:p>
    <w:p w:rsidR="005128E4" w:rsidRPr="00046773" w:rsidRDefault="005128E4" w:rsidP="00040C3A">
      <w:pPr>
        <w:tabs>
          <w:tab w:val="center" w:pos="5400"/>
        </w:tabs>
        <w:suppressAutoHyphens/>
        <w:rPr>
          <w:rFonts w:asciiTheme="majorHAnsi" w:hAnsiTheme="majorHAnsi"/>
          <w:sz w:val="20"/>
          <w:szCs w:val="20"/>
        </w:rPr>
      </w:pPr>
    </w:p>
    <w:p w:rsidR="005128E4" w:rsidRPr="00046773" w:rsidRDefault="005128E4" w:rsidP="00040C3A">
      <w:pPr>
        <w:tabs>
          <w:tab w:val="center" w:pos="5400"/>
        </w:tabs>
        <w:suppressAutoHyphens/>
        <w:rPr>
          <w:rFonts w:asciiTheme="majorHAnsi" w:hAnsiTheme="majorHAnsi"/>
          <w:sz w:val="20"/>
          <w:szCs w:val="20"/>
        </w:rPr>
      </w:pPr>
    </w:p>
    <w:p w:rsidR="00040C3A" w:rsidRPr="00046773" w:rsidRDefault="00040C3A" w:rsidP="005128E4">
      <w:pPr>
        <w:tabs>
          <w:tab w:val="center" w:pos="5400"/>
        </w:tabs>
        <w:suppressAutoHyphens/>
        <w:jc w:val="center"/>
        <w:rPr>
          <w:rFonts w:asciiTheme="majorHAnsi" w:hAnsiTheme="majorHAnsi"/>
          <w:sz w:val="20"/>
          <w:szCs w:val="20"/>
        </w:rPr>
      </w:pPr>
    </w:p>
    <w:p w:rsidR="00040C3A" w:rsidRPr="00046773" w:rsidRDefault="00040C3A" w:rsidP="005128E4">
      <w:pPr>
        <w:tabs>
          <w:tab w:val="center" w:pos="5400"/>
        </w:tabs>
        <w:suppressAutoHyphens/>
        <w:jc w:val="center"/>
        <w:rPr>
          <w:rFonts w:asciiTheme="majorHAnsi" w:hAnsiTheme="majorHAnsi"/>
          <w:sz w:val="20"/>
          <w:szCs w:val="20"/>
        </w:rPr>
      </w:pPr>
    </w:p>
    <w:p w:rsidR="005B52B0" w:rsidRPr="00046773" w:rsidRDefault="005B52B0" w:rsidP="005128E4">
      <w:pPr>
        <w:tabs>
          <w:tab w:val="center" w:pos="5400"/>
        </w:tabs>
        <w:suppressAutoHyphens/>
        <w:jc w:val="center"/>
        <w:rPr>
          <w:rFonts w:asciiTheme="majorHAnsi" w:hAnsiTheme="majorHAnsi"/>
          <w:sz w:val="20"/>
          <w:szCs w:val="20"/>
        </w:rPr>
      </w:pPr>
    </w:p>
    <w:p w:rsidR="005B52B0" w:rsidRPr="00046773" w:rsidRDefault="005B52B0" w:rsidP="005128E4">
      <w:pPr>
        <w:tabs>
          <w:tab w:val="center" w:pos="5400"/>
        </w:tabs>
        <w:suppressAutoHyphens/>
        <w:jc w:val="center"/>
        <w:rPr>
          <w:rFonts w:asciiTheme="majorHAnsi" w:hAnsiTheme="majorHAnsi"/>
          <w:sz w:val="20"/>
          <w:szCs w:val="20"/>
        </w:rPr>
      </w:pPr>
    </w:p>
    <w:p w:rsidR="005B52B0" w:rsidRPr="00046773" w:rsidRDefault="005B52B0" w:rsidP="005128E4">
      <w:pPr>
        <w:tabs>
          <w:tab w:val="center" w:pos="5400"/>
        </w:tabs>
        <w:suppressAutoHyphens/>
        <w:jc w:val="center"/>
        <w:rPr>
          <w:rFonts w:asciiTheme="majorHAnsi" w:hAnsiTheme="majorHAnsi"/>
          <w:sz w:val="20"/>
          <w:szCs w:val="20"/>
        </w:rPr>
      </w:pPr>
      <w:bookmarkStart w:id="0" w:name="_GoBack"/>
      <w:bookmarkEnd w:id="0"/>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3D3BC2" w:rsidP="00040C3A">
      <w:pPr>
        <w:tabs>
          <w:tab w:val="center" w:pos="5400"/>
        </w:tabs>
        <w:suppressAutoHyphens/>
        <w:jc w:val="center"/>
        <w:rPr>
          <w:rFonts w:asciiTheme="majorHAnsi" w:hAnsiTheme="majorHAnsi"/>
          <w:sz w:val="20"/>
          <w:szCs w:val="20"/>
        </w:rPr>
      </w:pPr>
      <w:r w:rsidRPr="0004677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D53787" w:rsidRDefault="00B82E60" w:rsidP="00997BC5">
                            <w:pPr>
                              <w:spacing w:line="276" w:lineRule="auto"/>
                              <w:rPr>
                                <w:rFonts w:asciiTheme="majorHAnsi" w:hAnsiTheme="majorHAnsi" w:cs="Arial"/>
                                <w:b/>
                                <w:bCs/>
                                <w:color w:val="0D0D0D" w:themeColor="text1" w:themeTint="F2"/>
                                <w:sz w:val="36"/>
                                <w:szCs w:val="22"/>
                              </w:rPr>
                            </w:pPr>
                            <w:r w:rsidRPr="00D53787">
                              <w:rPr>
                                <w:rFonts w:asciiTheme="majorHAnsi" w:hAnsiTheme="majorHAnsi" w:cs="Arial"/>
                                <w:b/>
                                <w:bCs/>
                                <w:color w:val="0D0D0D" w:themeColor="text1" w:themeTint="F2"/>
                                <w:sz w:val="36"/>
                                <w:szCs w:val="22"/>
                              </w:rPr>
                              <w:t xml:space="preserve">REPORT </w:t>
                            </w:r>
                            <w:r w:rsidRPr="00D53787">
                              <w:rPr>
                                <w:rFonts w:asciiTheme="majorHAnsi" w:hAnsiTheme="majorHAnsi" w:cs="Arial"/>
                                <w:b/>
                                <w:bCs/>
                                <w:color w:val="0D0D0D" w:themeColor="text1" w:themeTint="F2"/>
                                <w:sz w:val="36"/>
                                <w:szCs w:val="40"/>
                              </w:rPr>
                              <w:t>No.</w:t>
                            </w:r>
                            <w:r w:rsidRPr="00D53787">
                              <w:rPr>
                                <w:rFonts w:asciiTheme="majorHAnsi" w:hAnsiTheme="majorHAnsi" w:cs="Arial"/>
                                <w:b/>
                                <w:bCs/>
                                <w:color w:val="0D0D0D" w:themeColor="text1" w:themeTint="F2"/>
                                <w:sz w:val="36"/>
                                <w:szCs w:val="22"/>
                              </w:rPr>
                              <w:t xml:space="preserve"> </w:t>
                            </w:r>
                            <w:r w:rsidR="00D53787" w:rsidRPr="00D53787">
                              <w:rPr>
                                <w:rFonts w:asciiTheme="majorHAnsi" w:hAnsiTheme="majorHAnsi" w:cs="Arial"/>
                                <w:b/>
                                <w:bCs/>
                                <w:color w:val="0D0D0D" w:themeColor="text1" w:themeTint="F2"/>
                                <w:sz w:val="36"/>
                                <w:szCs w:val="22"/>
                              </w:rPr>
                              <w:t>44</w:t>
                            </w:r>
                            <w:r w:rsidRPr="00D53787">
                              <w:rPr>
                                <w:rFonts w:asciiTheme="majorHAnsi" w:hAnsiTheme="majorHAnsi" w:cs="Arial"/>
                                <w:b/>
                                <w:bCs/>
                                <w:color w:val="0D0D0D" w:themeColor="text1" w:themeTint="F2"/>
                                <w:sz w:val="36"/>
                                <w:szCs w:val="22"/>
                              </w:rPr>
                              <w:t>/19</w:t>
                            </w:r>
                          </w:p>
                          <w:p w:rsidR="00B82E60" w:rsidRPr="00D53787" w:rsidRDefault="00B82E60" w:rsidP="00997BC5">
                            <w:pPr>
                              <w:spacing w:line="276" w:lineRule="auto"/>
                              <w:rPr>
                                <w:rFonts w:asciiTheme="majorHAnsi" w:hAnsiTheme="majorHAnsi" w:cs="Arial"/>
                                <w:b/>
                                <w:color w:val="0D0D0D" w:themeColor="text1" w:themeTint="F2"/>
                                <w:sz w:val="36"/>
                                <w:szCs w:val="22"/>
                              </w:rPr>
                            </w:pPr>
                            <w:r w:rsidRPr="00D53787">
                              <w:rPr>
                                <w:rFonts w:asciiTheme="majorHAnsi" w:hAnsiTheme="majorHAnsi" w:cs="Arial"/>
                                <w:b/>
                                <w:color w:val="0D0D0D" w:themeColor="text1" w:themeTint="F2"/>
                                <w:sz w:val="36"/>
                                <w:szCs w:val="22"/>
                              </w:rPr>
                              <w:t xml:space="preserve">PETITION </w:t>
                            </w:r>
                            <w:r w:rsidRPr="00D53787">
                              <w:rPr>
                                <w:rFonts w:asciiTheme="majorHAnsi" w:hAnsiTheme="majorHAnsi" w:cs="Arial"/>
                                <w:b/>
                                <w:bCs/>
                                <w:color w:val="0D0D0D" w:themeColor="text1" w:themeTint="F2"/>
                                <w:sz w:val="36"/>
                                <w:szCs w:val="22"/>
                              </w:rPr>
                              <w:t>1185</w:t>
                            </w:r>
                            <w:r w:rsidRPr="00D53787">
                              <w:rPr>
                                <w:rFonts w:asciiTheme="majorHAnsi" w:hAnsiTheme="majorHAnsi" w:cs="Arial"/>
                                <w:b/>
                                <w:color w:val="0D0D0D" w:themeColor="text1" w:themeTint="F2"/>
                                <w:sz w:val="36"/>
                                <w:szCs w:val="22"/>
                              </w:rPr>
                              <w:t>-08</w:t>
                            </w:r>
                          </w:p>
                          <w:p w:rsidR="00B82E60" w:rsidRPr="00D53787" w:rsidRDefault="00B82E60" w:rsidP="00997BC5">
                            <w:pPr>
                              <w:spacing w:line="276" w:lineRule="auto"/>
                              <w:rPr>
                                <w:rFonts w:asciiTheme="majorHAnsi" w:hAnsiTheme="majorHAnsi" w:cs="Arial"/>
                                <w:color w:val="0D0D0D" w:themeColor="text1" w:themeTint="F2"/>
                                <w:szCs w:val="22"/>
                              </w:rPr>
                            </w:pPr>
                            <w:r w:rsidRPr="00D53787">
                              <w:rPr>
                                <w:rFonts w:asciiTheme="majorHAnsi" w:hAnsiTheme="majorHAnsi" w:cs="Arial"/>
                                <w:color w:val="0D0D0D" w:themeColor="text1" w:themeTint="F2"/>
                                <w:szCs w:val="22"/>
                              </w:rPr>
                              <w:t xml:space="preserve">REPORT ON </w:t>
                            </w:r>
                            <w:r w:rsidR="00405303" w:rsidRPr="00D53787">
                              <w:rPr>
                                <w:rFonts w:asciiTheme="majorHAnsi" w:hAnsiTheme="majorHAnsi" w:cs="Arial"/>
                                <w:color w:val="0D0D0D" w:themeColor="text1" w:themeTint="F2"/>
                                <w:szCs w:val="22"/>
                              </w:rPr>
                              <w:t>ADMISSIBILITY</w:t>
                            </w:r>
                          </w:p>
                          <w:p w:rsidR="00B82E60" w:rsidRPr="00D53787" w:rsidRDefault="00B82E60" w:rsidP="00997BC5">
                            <w:pPr>
                              <w:spacing w:line="276" w:lineRule="auto"/>
                              <w:rPr>
                                <w:rFonts w:asciiTheme="majorHAnsi" w:hAnsiTheme="majorHAnsi" w:cs="Arial"/>
                                <w:color w:val="0D0D0D" w:themeColor="text1" w:themeTint="F2"/>
                                <w:szCs w:val="22"/>
                              </w:rPr>
                            </w:pPr>
                            <w:bookmarkStart w:id="1" w:name="_ftnref1"/>
                          </w:p>
                          <w:p w:rsidR="00B82E60" w:rsidRPr="007665A8" w:rsidRDefault="00B82E6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1"/>
                          <w:p w:rsidR="00B82E60" w:rsidRPr="007665A8" w:rsidRDefault="0007682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w:t>
                            </w:r>
                            <w:r w:rsidR="00B82E60">
                              <w:rPr>
                                <w:rFonts w:asciiTheme="majorHAnsi" w:hAnsiTheme="majorHAnsi" w:cs="Arial"/>
                                <w:color w:val="0D0D0D" w:themeColor="text1" w:themeTint="F2"/>
                                <w:szCs w:val="22"/>
                                <w:lang w:val="pt-BR"/>
                              </w:rPr>
                              <w:t>IL</w:t>
                            </w:r>
                          </w:p>
                          <w:p w:rsidR="00B82E60" w:rsidRPr="007665A8" w:rsidRDefault="00B82E6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B82E60" w:rsidRPr="00D53787" w:rsidRDefault="00B82E60" w:rsidP="00997BC5">
                      <w:pPr>
                        <w:spacing w:line="276" w:lineRule="auto"/>
                        <w:rPr>
                          <w:rFonts w:asciiTheme="majorHAnsi" w:hAnsiTheme="majorHAnsi" w:cs="Arial"/>
                          <w:b/>
                          <w:bCs/>
                          <w:color w:val="0D0D0D" w:themeColor="text1" w:themeTint="F2"/>
                          <w:sz w:val="36"/>
                          <w:szCs w:val="22"/>
                        </w:rPr>
                      </w:pPr>
                      <w:r w:rsidRPr="00D53787">
                        <w:rPr>
                          <w:rFonts w:asciiTheme="majorHAnsi" w:hAnsiTheme="majorHAnsi" w:cs="Arial"/>
                          <w:b/>
                          <w:bCs/>
                          <w:color w:val="0D0D0D" w:themeColor="text1" w:themeTint="F2"/>
                          <w:sz w:val="36"/>
                          <w:szCs w:val="22"/>
                        </w:rPr>
                        <w:t xml:space="preserve">REPORT </w:t>
                      </w:r>
                      <w:r w:rsidRPr="00D53787">
                        <w:rPr>
                          <w:rFonts w:asciiTheme="majorHAnsi" w:hAnsiTheme="majorHAnsi" w:cs="Arial"/>
                          <w:b/>
                          <w:bCs/>
                          <w:color w:val="0D0D0D" w:themeColor="text1" w:themeTint="F2"/>
                          <w:sz w:val="36"/>
                          <w:szCs w:val="40"/>
                        </w:rPr>
                        <w:t>No.</w:t>
                      </w:r>
                      <w:r w:rsidRPr="00D53787">
                        <w:rPr>
                          <w:rFonts w:asciiTheme="majorHAnsi" w:hAnsiTheme="majorHAnsi" w:cs="Arial"/>
                          <w:b/>
                          <w:bCs/>
                          <w:color w:val="0D0D0D" w:themeColor="text1" w:themeTint="F2"/>
                          <w:sz w:val="36"/>
                          <w:szCs w:val="22"/>
                        </w:rPr>
                        <w:t xml:space="preserve"> </w:t>
                      </w:r>
                      <w:r w:rsidR="00D53787" w:rsidRPr="00D53787">
                        <w:rPr>
                          <w:rFonts w:asciiTheme="majorHAnsi" w:hAnsiTheme="majorHAnsi" w:cs="Arial"/>
                          <w:b/>
                          <w:bCs/>
                          <w:color w:val="0D0D0D" w:themeColor="text1" w:themeTint="F2"/>
                          <w:sz w:val="36"/>
                          <w:szCs w:val="22"/>
                        </w:rPr>
                        <w:t>44</w:t>
                      </w:r>
                      <w:r w:rsidRPr="00D53787">
                        <w:rPr>
                          <w:rFonts w:asciiTheme="majorHAnsi" w:hAnsiTheme="majorHAnsi" w:cs="Arial"/>
                          <w:b/>
                          <w:bCs/>
                          <w:color w:val="0D0D0D" w:themeColor="text1" w:themeTint="F2"/>
                          <w:sz w:val="36"/>
                          <w:szCs w:val="22"/>
                        </w:rPr>
                        <w:t>/19</w:t>
                      </w:r>
                    </w:p>
                    <w:p w:rsidR="00B82E60" w:rsidRPr="00D53787" w:rsidRDefault="00B82E60" w:rsidP="00997BC5">
                      <w:pPr>
                        <w:spacing w:line="276" w:lineRule="auto"/>
                        <w:rPr>
                          <w:rFonts w:asciiTheme="majorHAnsi" w:hAnsiTheme="majorHAnsi" w:cs="Arial"/>
                          <w:b/>
                          <w:color w:val="0D0D0D" w:themeColor="text1" w:themeTint="F2"/>
                          <w:sz w:val="36"/>
                          <w:szCs w:val="22"/>
                        </w:rPr>
                      </w:pPr>
                      <w:r w:rsidRPr="00D53787">
                        <w:rPr>
                          <w:rFonts w:asciiTheme="majorHAnsi" w:hAnsiTheme="majorHAnsi" w:cs="Arial"/>
                          <w:b/>
                          <w:color w:val="0D0D0D" w:themeColor="text1" w:themeTint="F2"/>
                          <w:sz w:val="36"/>
                          <w:szCs w:val="22"/>
                        </w:rPr>
                        <w:t xml:space="preserve">PETITION </w:t>
                      </w:r>
                      <w:r w:rsidRPr="00D53787">
                        <w:rPr>
                          <w:rFonts w:asciiTheme="majorHAnsi" w:hAnsiTheme="majorHAnsi" w:cs="Arial"/>
                          <w:b/>
                          <w:bCs/>
                          <w:color w:val="0D0D0D" w:themeColor="text1" w:themeTint="F2"/>
                          <w:sz w:val="36"/>
                          <w:szCs w:val="22"/>
                        </w:rPr>
                        <w:t>1185</w:t>
                      </w:r>
                      <w:r w:rsidRPr="00D53787">
                        <w:rPr>
                          <w:rFonts w:asciiTheme="majorHAnsi" w:hAnsiTheme="majorHAnsi" w:cs="Arial"/>
                          <w:b/>
                          <w:color w:val="0D0D0D" w:themeColor="text1" w:themeTint="F2"/>
                          <w:sz w:val="36"/>
                          <w:szCs w:val="22"/>
                        </w:rPr>
                        <w:t>-08</w:t>
                      </w:r>
                    </w:p>
                    <w:p w:rsidR="00B82E60" w:rsidRPr="00D53787" w:rsidRDefault="00B82E60" w:rsidP="00997BC5">
                      <w:pPr>
                        <w:spacing w:line="276" w:lineRule="auto"/>
                        <w:rPr>
                          <w:rFonts w:asciiTheme="majorHAnsi" w:hAnsiTheme="majorHAnsi" w:cs="Arial"/>
                          <w:color w:val="0D0D0D" w:themeColor="text1" w:themeTint="F2"/>
                          <w:szCs w:val="22"/>
                        </w:rPr>
                      </w:pPr>
                      <w:r w:rsidRPr="00D53787">
                        <w:rPr>
                          <w:rFonts w:asciiTheme="majorHAnsi" w:hAnsiTheme="majorHAnsi" w:cs="Arial"/>
                          <w:color w:val="0D0D0D" w:themeColor="text1" w:themeTint="F2"/>
                          <w:szCs w:val="22"/>
                        </w:rPr>
                        <w:t xml:space="preserve">REPORT ON </w:t>
                      </w:r>
                      <w:r w:rsidR="00405303" w:rsidRPr="00D53787">
                        <w:rPr>
                          <w:rFonts w:asciiTheme="majorHAnsi" w:hAnsiTheme="majorHAnsi" w:cs="Arial"/>
                          <w:color w:val="0D0D0D" w:themeColor="text1" w:themeTint="F2"/>
                          <w:szCs w:val="22"/>
                        </w:rPr>
                        <w:t>ADMISSIBILITY</w:t>
                      </w:r>
                    </w:p>
                    <w:p w:rsidR="00B82E60" w:rsidRPr="00D53787" w:rsidRDefault="00B82E60" w:rsidP="00997BC5">
                      <w:pPr>
                        <w:spacing w:line="276" w:lineRule="auto"/>
                        <w:rPr>
                          <w:rFonts w:asciiTheme="majorHAnsi" w:hAnsiTheme="majorHAnsi" w:cs="Arial"/>
                          <w:color w:val="0D0D0D" w:themeColor="text1" w:themeTint="F2"/>
                          <w:szCs w:val="22"/>
                        </w:rPr>
                      </w:pPr>
                      <w:bookmarkStart w:id="2" w:name="_ftnref1"/>
                    </w:p>
                    <w:p w:rsidR="00B82E60" w:rsidRPr="007665A8" w:rsidRDefault="00B82E6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2"/>
                    <w:p w:rsidR="00B82E60" w:rsidRPr="007665A8" w:rsidRDefault="0007682C"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BRAZ</w:t>
                      </w:r>
                      <w:r w:rsidR="00B82E60">
                        <w:rPr>
                          <w:rFonts w:asciiTheme="majorHAnsi" w:hAnsiTheme="majorHAnsi" w:cs="Arial"/>
                          <w:color w:val="0D0D0D" w:themeColor="text1" w:themeTint="F2"/>
                          <w:szCs w:val="22"/>
                          <w:lang w:val="pt-BR"/>
                        </w:rPr>
                        <w:t>IL</w:t>
                      </w:r>
                    </w:p>
                    <w:p w:rsidR="00B82E60" w:rsidRPr="007665A8" w:rsidRDefault="00B82E60" w:rsidP="007A5817">
                      <w:pPr>
                        <w:rPr>
                          <w:color w:val="0D0D0D" w:themeColor="text1" w:themeTint="F2"/>
                          <w:lang w:val="pt-BR"/>
                        </w:rPr>
                      </w:pPr>
                    </w:p>
                  </w:txbxContent>
                </v:textbox>
              </v:shape>
            </w:pict>
          </mc:Fallback>
        </mc:AlternateContent>
      </w:r>
      <w:r w:rsidR="004E2649" w:rsidRPr="0004677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0A0270" w:rsidRDefault="00B82E60" w:rsidP="007A5817">
                            <w:pPr>
                              <w:spacing w:line="276" w:lineRule="auto"/>
                              <w:jc w:val="right"/>
                              <w:rPr>
                                <w:rFonts w:asciiTheme="minorHAnsi" w:hAnsiTheme="minorHAnsi"/>
                                <w:color w:val="FFFFFF" w:themeColor="background1"/>
                                <w:sz w:val="22"/>
                                <w:lang w:val="pt-BR"/>
                              </w:rPr>
                            </w:pPr>
                            <w:r w:rsidRPr="000A0270">
                              <w:rPr>
                                <w:rFonts w:asciiTheme="minorHAnsi" w:hAnsiTheme="minorHAnsi"/>
                                <w:color w:val="FFFFFF" w:themeColor="background1"/>
                                <w:sz w:val="22"/>
                                <w:lang w:val="pt-BR"/>
                              </w:rPr>
                              <w:t>OAS/Ser.L/V/II.</w:t>
                            </w:r>
                          </w:p>
                          <w:p w:rsidR="00B82E60" w:rsidRPr="000A0270" w:rsidRDefault="00D537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rsidR="00B82E60" w:rsidRPr="000A0270" w:rsidRDefault="00D5378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April</w:t>
                            </w:r>
                            <w:r w:rsidR="00B82E60" w:rsidRPr="000A0270">
                              <w:rPr>
                                <w:rFonts w:asciiTheme="minorHAnsi" w:hAnsiTheme="minorHAnsi"/>
                                <w:color w:val="FFFFFF" w:themeColor="background1"/>
                                <w:sz w:val="22"/>
                                <w:lang w:val="es-US"/>
                              </w:rPr>
                              <w:t xml:space="preserve"> 2019</w:t>
                            </w:r>
                          </w:p>
                          <w:p w:rsidR="00B82E60" w:rsidRPr="000A0270" w:rsidRDefault="00B82E60" w:rsidP="007A5817">
                            <w:pPr>
                              <w:spacing w:line="276" w:lineRule="auto"/>
                              <w:jc w:val="right"/>
                              <w:rPr>
                                <w:rFonts w:asciiTheme="minorHAnsi" w:hAnsiTheme="minorHAnsi"/>
                                <w:color w:val="FFFFFF" w:themeColor="background1"/>
                                <w:sz w:val="22"/>
                                <w:lang w:val="es-US"/>
                              </w:rPr>
                            </w:pPr>
                            <w:r w:rsidRPr="000A0270">
                              <w:rPr>
                                <w:rFonts w:asciiTheme="minorHAnsi" w:hAnsiTheme="minorHAnsi"/>
                                <w:color w:val="FFFFFF" w:themeColor="background1"/>
                                <w:sz w:val="22"/>
                                <w:lang w:val="es-US"/>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82E60" w:rsidRPr="000A0270" w:rsidRDefault="00B82E60" w:rsidP="007A5817">
                      <w:pPr>
                        <w:spacing w:line="276" w:lineRule="auto"/>
                        <w:jc w:val="right"/>
                        <w:rPr>
                          <w:rFonts w:asciiTheme="minorHAnsi" w:hAnsiTheme="minorHAnsi"/>
                          <w:color w:val="FFFFFF" w:themeColor="background1"/>
                          <w:sz w:val="22"/>
                          <w:lang w:val="pt-BR"/>
                        </w:rPr>
                      </w:pPr>
                      <w:r w:rsidRPr="000A0270">
                        <w:rPr>
                          <w:rFonts w:asciiTheme="minorHAnsi" w:hAnsiTheme="minorHAnsi"/>
                          <w:color w:val="FFFFFF" w:themeColor="background1"/>
                          <w:sz w:val="22"/>
                          <w:lang w:val="pt-BR"/>
                        </w:rPr>
                        <w:t>OAS/Ser.L/V/II.</w:t>
                      </w:r>
                    </w:p>
                    <w:p w:rsidR="00B82E60" w:rsidRPr="000A0270" w:rsidRDefault="00D5378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rsidR="00B82E60" w:rsidRPr="000A0270" w:rsidRDefault="00D53787"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April</w:t>
                      </w:r>
                      <w:r w:rsidR="00B82E60" w:rsidRPr="000A0270">
                        <w:rPr>
                          <w:rFonts w:asciiTheme="minorHAnsi" w:hAnsiTheme="minorHAnsi"/>
                          <w:color w:val="FFFFFF" w:themeColor="background1"/>
                          <w:sz w:val="22"/>
                          <w:lang w:val="es-US"/>
                        </w:rPr>
                        <w:t xml:space="preserve"> 2019</w:t>
                      </w:r>
                    </w:p>
                    <w:p w:rsidR="00B82E60" w:rsidRPr="000A0270" w:rsidRDefault="00B82E60" w:rsidP="007A5817">
                      <w:pPr>
                        <w:spacing w:line="276" w:lineRule="auto"/>
                        <w:jc w:val="right"/>
                        <w:rPr>
                          <w:rFonts w:asciiTheme="minorHAnsi" w:hAnsiTheme="minorHAnsi"/>
                          <w:color w:val="FFFFFF" w:themeColor="background1"/>
                          <w:sz w:val="22"/>
                          <w:lang w:val="es-US"/>
                        </w:rPr>
                      </w:pPr>
                      <w:r w:rsidRPr="000A0270">
                        <w:rPr>
                          <w:rFonts w:asciiTheme="minorHAnsi" w:hAnsiTheme="minorHAnsi"/>
                          <w:color w:val="FFFFFF" w:themeColor="background1"/>
                          <w:sz w:val="22"/>
                          <w:lang w:val="es-US"/>
                        </w:rPr>
                        <w:t>Original: Portuguese</w:t>
                      </w:r>
                    </w:p>
                  </w:txbxContent>
                </v:textbox>
              </v:shape>
            </w:pict>
          </mc:Fallback>
        </mc:AlternateContent>
      </w: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cs="Arial"/>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5128E4" w:rsidRPr="00046773" w:rsidRDefault="005128E4"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5128E4" w:rsidRPr="00046773" w:rsidRDefault="005128E4" w:rsidP="00040C3A">
      <w:pPr>
        <w:tabs>
          <w:tab w:val="center" w:pos="5400"/>
        </w:tabs>
        <w:suppressAutoHyphens/>
        <w:jc w:val="center"/>
        <w:rPr>
          <w:rFonts w:asciiTheme="majorHAnsi" w:hAnsiTheme="majorHAnsi"/>
          <w:sz w:val="20"/>
          <w:szCs w:val="20"/>
        </w:rPr>
      </w:pPr>
    </w:p>
    <w:p w:rsidR="005128E4" w:rsidRPr="00046773" w:rsidRDefault="005128E4" w:rsidP="00040C3A">
      <w:pPr>
        <w:tabs>
          <w:tab w:val="center" w:pos="5400"/>
        </w:tabs>
        <w:suppressAutoHyphens/>
        <w:jc w:val="center"/>
        <w:rPr>
          <w:rFonts w:asciiTheme="majorHAnsi" w:hAnsiTheme="majorHAnsi"/>
          <w:sz w:val="20"/>
          <w:szCs w:val="20"/>
        </w:rPr>
      </w:pPr>
    </w:p>
    <w:p w:rsidR="005128E4" w:rsidRPr="00046773" w:rsidRDefault="005128E4"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040C3A" w:rsidRPr="00046773" w:rsidRDefault="00040C3A"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90270B" w:rsidP="00040C3A">
      <w:pPr>
        <w:tabs>
          <w:tab w:val="center" w:pos="5400"/>
        </w:tabs>
        <w:suppressAutoHyphens/>
        <w:jc w:val="center"/>
        <w:rPr>
          <w:rFonts w:asciiTheme="majorHAnsi" w:hAnsiTheme="majorHAnsi"/>
          <w:sz w:val="20"/>
          <w:szCs w:val="20"/>
        </w:rPr>
      </w:pPr>
      <w:r w:rsidRPr="0004677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FA6CCC" w:rsidRDefault="00B82E60" w:rsidP="00071BD1">
                            <w:pPr>
                              <w:tabs>
                                <w:tab w:val="center" w:pos="5400"/>
                              </w:tabs>
                              <w:suppressAutoHyphens/>
                              <w:spacing w:before="60"/>
                              <w:rPr>
                                <w:rFonts w:asciiTheme="minorHAnsi" w:hAnsiTheme="minorHAnsi" w:cs="Univers"/>
                                <w:sz w:val="20"/>
                                <w:szCs w:val="20"/>
                              </w:rPr>
                            </w:pPr>
                            <w:r w:rsidRPr="00FA6CCC">
                              <w:rPr>
                                <w:rFonts w:asciiTheme="majorHAnsi" w:hAnsiTheme="majorHAnsi"/>
                                <w:sz w:val="18"/>
                                <w:szCs w:val="22"/>
                              </w:rPr>
                              <w:t xml:space="preserve">Approved electronically by the Commission on </w:t>
                            </w:r>
                            <w:r w:rsidR="00D53787">
                              <w:rPr>
                                <w:rFonts w:asciiTheme="majorHAnsi" w:hAnsiTheme="majorHAnsi"/>
                                <w:sz w:val="18"/>
                                <w:szCs w:val="22"/>
                              </w:rPr>
                              <w:t>April 24,</w:t>
                            </w:r>
                            <w:r w:rsidRPr="00FA6CCC">
                              <w:rPr>
                                <w:rFonts w:asciiTheme="majorHAnsi" w:hAnsiTheme="majorHAnsi"/>
                                <w:sz w:val="18"/>
                                <w:szCs w:val="22"/>
                              </w:rPr>
                              <w:t xml:space="preserve"> 2019</w:t>
                            </w:r>
                            <w:r w:rsidR="0007682C">
                              <w:rPr>
                                <w:rFonts w:asciiTheme="majorHAnsi" w:hAnsiTheme="majorHAnsi"/>
                                <w:sz w:val="18"/>
                                <w:szCs w:val="22"/>
                              </w:rPr>
                              <w:t>.</w:t>
                            </w:r>
                          </w:p>
                          <w:p w:rsidR="00B82E60" w:rsidRPr="00D53787" w:rsidRDefault="00B82E60" w:rsidP="00247403">
                            <w:pPr>
                              <w:tabs>
                                <w:tab w:val="center" w:pos="5400"/>
                              </w:tabs>
                              <w:suppressAutoHyphens/>
                              <w:spacing w:before="60"/>
                              <w:rPr>
                                <w:rFonts w:asciiTheme="minorHAnsi" w:hAnsiTheme="minorHAnsi" w:cs="Univers"/>
                                <w:color w:val="0D0D0D" w:themeColor="text1" w:themeTint="F2"/>
                                <w:sz w:val="20"/>
                                <w:szCs w:val="20"/>
                              </w:rPr>
                            </w:pPr>
                          </w:p>
                          <w:p w:rsidR="00B82E60" w:rsidRPr="00D53787" w:rsidRDefault="00B82E6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82E60" w:rsidRPr="00FA6CCC" w:rsidRDefault="00B82E60" w:rsidP="00071BD1">
                      <w:pPr>
                        <w:tabs>
                          <w:tab w:val="center" w:pos="5400"/>
                        </w:tabs>
                        <w:suppressAutoHyphens/>
                        <w:spacing w:before="60"/>
                        <w:rPr>
                          <w:rFonts w:asciiTheme="minorHAnsi" w:hAnsiTheme="minorHAnsi" w:cs="Univers"/>
                          <w:sz w:val="20"/>
                          <w:szCs w:val="20"/>
                        </w:rPr>
                      </w:pPr>
                      <w:r w:rsidRPr="00FA6CCC">
                        <w:rPr>
                          <w:rFonts w:asciiTheme="majorHAnsi" w:hAnsiTheme="majorHAnsi"/>
                          <w:sz w:val="18"/>
                          <w:szCs w:val="22"/>
                        </w:rPr>
                        <w:t xml:space="preserve">Approved electronically by the Commission on </w:t>
                      </w:r>
                      <w:r w:rsidR="00D53787">
                        <w:rPr>
                          <w:rFonts w:asciiTheme="majorHAnsi" w:hAnsiTheme="majorHAnsi"/>
                          <w:sz w:val="18"/>
                          <w:szCs w:val="22"/>
                        </w:rPr>
                        <w:t>April 24,</w:t>
                      </w:r>
                      <w:r w:rsidRPr="00FA6CCC">
                        <w:rPr>
                          <w:rFonts w:asciiTheme="majorHAnsi" w:hAnsiTheme="majorHAnsi"/>
                          <w:sz w:val="18"/>
                          <w:szCs w:val="22"/>
                        </w:rPr>
                        <w:t xml:space="preserve"> 2019</w:t>
                      </w:r>
                      <w:r w:rsidR="0007682C">
                        <w:rPr>
                          <w:rFonts w:asciiTheme="majorHAnsi" w:hAnsiTheme="majorHAnsi"/>
                          <w:sz w:val="18"/>
                          <w:szCs w:val="22"/>
                        </w:rPr>
                        <w:t>.</w:t>
                      </w:r>
                    </w:p>
                    <w:p w:rsidR="00B82E60" w:rsidRPr="00D53787" w:rsidRDefault="00B82E60" w:rsidP="00247403">
                      <w:pPr>
                        <w:tabs>
                          <w:tab w:val="center" w:pos="5400"/>
                        </w:tabs>
                        <w:suppressAutoHyphens/>
                        <w:spacing w:before="60"/>
                        <w:rPr>
                          <w:rFonts w:asciiTheme="minorHAnsi" w:hAnsiTheme="minorHAnsi" w:cs="Univers"/>
                          <w:color w:val="0D0D0D" w:themeColor="text1" w:themeTint="F2"/>
                          <w:sz w:val="20"/>
                          <w:szCs w:val="20"/>
                        </w:rPr>
                      </w:pPr>
                    </w:p>
                    <w:p w:rsidR="00B82E60" w:rsidRPr="00D53787" w:rsidRDefault="00B82E6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A50FCF" w:rsidP="00040C3A">
      <w:pPr>
        <w:tabs>
          <w:tab w:val="center" w:pos="5400"/>
        </w:tabs>
        <w:suppressAutoHyphens/>
        <w:jc w:val="center"/>
        <w:rPr>
          <w:rFonts w:asciiTheme="majorHAnsi" w:hAnsiTheme="majorHAnsi"/>
          <w:sz w:val="20"/>
          <w:szCs w:val="20"/>
        </w:rPr>
      </w:pPr>
    </w:p>
    <w:p w:rsidR="00A50FCF" w:rsidRPr="00046773" w:rsidRDefault="0090270B" w:rsidP="00040C3A">
      <w:pPr>
        <w:tabs>
          <w:tab w:val="center" w:pos="5400"/>
        </w:tabs>
        <w:suppressAutoHyphens/>
        <w:jc w:val="center"/>
        <w:rPr>
          <w:rFonts w:asciiTheme="majorHAnsi" w:hAnsiTheme="majorHAnsi"/>
          <w:sz w:val="20"/>
          <w:szCs w:val="20"/>
        </w:rPr>
      </w:pPr>
      <w:r w:rsidRPr="0004677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046773" w:rsidRDefault="00B82E60" w:rsidP="00113F73">
                            <w:pPr>
                              <w:spacing w:line="276" w:lineRule="auto"/>
                              <w:rPr>
                                <w:rFonts w:asciiTheme="majorHAnsi" w:hAnsiTheme="majorHAnsi"/>
                                <w:color w:val="595959" w:themeColor="text1" w:themeTint="A6"/>
                                <w:sz w:val="18"/>
                                <w:szCs w:val="18"/>
                              </w:rPr>
                            </w:pPr>
                            <w:r w:rsidRPr="00046773">
                              <w:rPr>
                                <w:rFonts w:asciiTheme="majorHAnsi" w:hAnsiTheme="majorHAnsi"/>
                                <w:b/>
                                <w:color w:val="595959" w:themeColor="text1" w:themeTint="A6"/>
                                <w:sz w:val="18"/>
                                <w:szCs w:val="18"/>
                              </w:rPr>
                              <w:t>Cite as:</w:t>
                            </w:r>
                            <w:r w:rsidRPr="00046773">
                              <w:rPr>
                                <w:rFonts w:asciiTheme="majorHAnsi" w:hAnsiTheme="majorHAnsi"/>
                                <w:color w:val="595959" w:themeColor="text1" w:themeTint="A6"/>
                                <w:sz w:val="18"/>
                                <w:szCs w:val="18"/>
                              </w:rPr>
                              <w:t xml:space="preserve"> IACHR, Report No. </w:t>
                            </w:r>
                            <w:r w:rsidR="00D53787">
                              <w:rPr>
                                <w:rFonts w:asciiTheme="majorHAnsi" w:hAnsiTheme="majorHAnsi"/>
                                <w:color w:val="595959" w:themeColor="text1" w:themeTint="A6"/>
                                <w:sz w:val="18"/>
                                <w:szCs w:val="18"/>
                              </w:rPr>
                              <w:t>44</w:t>
                            </w:r>
                            <w:r w:rsidRPr="00046773">
                              <w:rPr>
                                <w:rFonts w:asciiTheme="majorHAnsi" w:hAnsiTheme="majorHAnsi"/>
                                <w:color w:val="595959" w:themeColor="text1" w:themeTint="A6"/>
                                <w:sz w:val="18"/>
                                <w:szCs w:val="18"/>
                              </w:rPr>
                              <w:t xml:space="preserve">/19. </w:t>
                            </w:r>
                            <w:r w:rsidRPr="00D53787">
                              <w:rPr>
                                <w:rFonts w:asciiTheme="majorHAnsi" w:hAnsiTheme="majorHAnsi"/>
                                <w:color w:val="595959" w:themeColor="text1" w:themeTint="A6"/>
                                <w:sz w:val="18"/>
                                <w:szCs w:val="18"/>
                                <w:lang w:val="pt-BR"/>
                              </w:rPr>
                              <w:t xml:space="preserve">Petition 1185-08. </w:t>
                            </w:r>
                            <w:r w:rsidR="00405303" w:rsidRPr="00D53787">
                              <w:rPr>
                                <w:rFonts w:asciiTheme="majorHAnsi" w:hAnsiTheme="majorHAnsi"/>
                                <w:color w:val="595959" w:themeColor="text1" w:themeTint="A6"/>
                                <w:sz w:val="18"/>
                                <w:szCs w:val="18"/>
                                <w:lang w:val="pt-BR"/>
                              </w:rPr>
                              <w:t>Admissibility</w:t>
                            </w:r>
                            <w:r w:rsidRPr="00D53787">
                              <w:rPr>
                                <w:rFonts w:asciiTheme="majorHAnsi" w:hAnsiTheme="majorHAnsi"/>
                                <w:color w:val="595959" w:themeColor="text1" w:themeTint="A6"/>
                                <w:sz w:val="18"/>
                                <w:szCs w:val="18"/>
                                <w:lang w:val="pt-BR"/>
                              </w:rPr>
                              <w:t xml:space="preserve">. Gerson Mendonça de Freitas Filho. </w:t>
                            </w:r>
                            <w:r>
                              <w:rPr>
                                <w:rFonts w:asciiTheme="majorHAnsi" w:hAnsiTheme="majorHAnsi"/>
                                <w:color w:val="595959" w:themeColor="text1" w:themeTint="A6"/>
                                <w:sz w:val="18"/>
                                <w:szCs w:val="18"/>
                              </w:rPr>
                              <w:t>Braz</w:t>
                            </w:r>
                            <w:r w:rsidRPr="00046773">
                              <w:rPr>
                                <w:rFonts w:asciiTheme="majorHAnsi" w:hAnsiTheme="majorHAnsi"/>
                                <w:color w:val="595959" w:themeColor="text1" w:themeTint="A6"/>
                                <w:sz w:val="18"/>
                                <w:szCs w:val="18"/>
                              </w:rPr>
                              <w:t xml:space="preserve">il. </w:t>
                            </w:r>
                            <w:r w:rsidR="00D53787">
                              <w:rPr>
                                <w:rFonts w:asciiTheme="majorHAnsi" w:hAnsiTheme="majorHAnsi"/>
                                <w:color w:val="595959" w:themeColor="text1" w:themeTint="A6"/>
                                <w:sz w:val="18"/>
                                <w:szCs w:val="18"/>
                              </w:rPr>
                              <w:t>April 24, 2019</w:t>
                            </w:r>
                            <w:r w:rsidRPr="0004677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82E60" w:rsidRPr="00046773" w:rsidRDefault="00B82E60" w:rsidP="00113F73">
                      <w:pPr>
                        <w:spacing w:line="276" w:lineRule="auto"/>
                        <w:rPr>
                          <w:rFonts w:asciiTheme="majorHAnsi" w:hAnsiTheme="majorHAnsi"/>
                          <w:color w:val="595959" w:themeColor="text1" w:themeTint="A6"/>
                          <w:sz w:val="18"/>
                          <w:szCs w:val="18"/>
                        </w:rPr>
                      </w:pPr>
                      <w:r w:rsidRPr="00046773">
                        <w:rPr>
                          <w:rFonts w:asciiTheme="majorHAnsi" w:hAnsiTheme="majorHAnsi"/>
                          <w:b/>
                          <w:color w:val="595959" w:themeColor="text1" w:themeTint="A6"/>
                          <w:sz w:val="18"/>
                          <w:szCs w:val="18"/>
                        </w:rPr>
                        <w:t>Cite as:</w:t>
                      </w:r>
                      <w:r w:rsidRPr="00046773">
                        <w:rPr>
                          <w:rFonts w:asciiTheme="majorHAnsi" w:hAnsiTheme="majorHAnsi"/>
                          <w:color w:val="595959" w:themeColor="text1" w:themeTint="A6"/>
                          <w:sz w:val="18"/>
                          <w:szCs w:val="18"/>
                        </w:rPr>
                        <w:t xml:space="preserve"> IACHR, Report No. </w:t>
                      </w:r>
                      <w:r w:rsidR="00D53787">
                        <w:rPr>
                          <w:rFonts w:asciiTheme="majorHAnsi" w:hAnsiTheme="majorHAnsi"/>
                          <w:color w:val="595959" w:themeColor="text1" w:themeTint="A6"/>
                          <w:sz w:val="18"/>
                          <w:szCs w:val="18"/>
                        </w:rPr>
                        <w:t>44</w:t>
                      </w:r>
                      <w:r w:rsidRPr="00046773">
                        <w:rPr>
                          <w:rFonts w:asciiTheme="majorHAnsi" w:hAnsiTheme="majorHAnsi"/>
                          <w:color w:val="595959" w:themeColor="text1" w:themeTint="A6"/>
                          <w:sz w:val="18"/>
                          <w:szCs w:val="18"/>
                        </w:rPr>
                        <w:t xml:space="preserve">/19. </w:t>
                      </w:r>
                      <w:r w:rsidRPr="00D53787">
                        <w:rPr>
                          <w:rFonts w:asciiTheme="majorHAnsi" w:hAnsiTheme="majorHAnsi"/>
                          <w:color w:val="595959" w:themeColor="text1" w:themeTint="A6"/>
                          <w:sz w:val="18"/>
                          <w:szCs w:val="18"/>
                          <w:lang w:val="pt-BR"/>
                        </w:rPr>
                        <w:t xml:space="preserve">Petition 1185-08. </w:t>
                      </w:r>
                      <w:r w:rsidR="00405303" w:rsidRPr="00D53787">
                        <w:rPr>
                          <w:rFonts w:asciiTheme="majorHAnsi" w:hAnsiTheme="majorHAnsi"/>
                          <w:color w:val="595959" w:themeColor="text1" w:themeTint="A6"/>
                          <w:sz w:val="18"/>
                          <w:szCs w:val="18"/>
                          <w:lang w:val="pt-BR"/>
                        </w:rPr>
                        <w:t>Admissibility</w:t>
                      </w:r>
                      <w:r w:rsidRPr="00D53787">
                        <w:rPr>
                          <w:rFonts w:asciiTheme="majorHAnsi" w:hAnsiTheme="majorHAnsi"/>
                          <w:color w:val="595959" w:themeColor="text1" w:themeTint="A6"/>
                          <w:sz w:val="18"/>
                          <w:szCs w:val="18"/>
                          <w:lang w:val="pt-BR"/>
                        </w:rPr>
                        <w:t xml:space="preserve">. Gerson Mendonça de Freitas Filho. </w:t>
                      </w:r>
                      <w:r>
                        <w:rPr>
                          <w:rFonts w:asciiTheme="majorHAnsi" w:hAnsiTheme="majorHAnsi"/>
                          <w:color w:val="595959" w:themeColor="text1" w:themeTint="A6"/>
                          <w:sz w:val="18"/>
                          <w:szCs w:val="18"/>
                        </w:rPr>
                        <w:t>Braz</w:t>
                      </w:r>
                      <w:r w:rsidRPr="00046773">
                        <w:rPr>
                          <w:rFonts w:asciiTheme="majorHAnsi" w:hAnsiTheme="majorHAnsi"/>
                          <w:color w:val="595959" w:themeColor="text1" w:themeTint="A6"/>
                          <w:sz w:val="18"/>
                          <w:szCs w:val="18"/>
                        </w:rPr>
                        <w:t xml:space="preserve">il. </w:t>
                      </w:r>
                      <w:r w:rsidR="00D53787">
                        <w:rPr>
                          <w:rFonts w:asciiTheme="majorHAnsi" w:hAnsiTheme="majorHAnsi"/>
                          <w:color w:val="595959" w:themeColor="text1" w:themeTint="A6"/>
                          <w:sz w:val="18"/>
                          <w:szCs w:val="18"/>
                        </w:rPr>
                        <w:t>April 24, 2019</w:t>
                      </w:r>
                      <w:r w:rsidRPr="00046773">
                        <w:rPr>
                          <w:rFonts w:asciiTheme="majorHAnsi" w:hAnsiTheme="majorHAnsi"/>
                          <w:color w:val="595959" w:themeColor="text1" w:themeTint="A6"/>
                          <w:sz w:val="18"/>
                          <w:szCs w:val="18"/>
                        </w:rPr>
                        <w:t>.</w:t>
                      </w:r>
                    </w:p>
                  </w:txbxContent>
                </v:textbox>
              </v:shape>
            </w:pict>
          </mc:Fallback>
        </mc:AlternateContent>
      </w:r>
    </w:p>
    <w:p w:rsidR="00A50FCF" w:rsidRPr="00046773" w:rsidRDefault="00A50FCF" w:rsidP="00040C3A">
      <w:pPr>
        <w:tabs>
          <w:tab w:val="center" w:pos="5400"/>
        </w:tabs>
        <w:suppressAutoHyphens/>
        <w:jc w:val="center"/>
        <w:rPr>
          <w:rFonts w:asciiTheme="majorHAnsi" w:hAnsiTheme="majorHAnsi"/>
          <w:sz w:val="20"/>
          <w:szCs w:val="20"/>
        </w:rPr>
      </w:pPr>
    </w:p>
    <w:p w:rsidR="0090270B" w:rsidRPr="00046773" w:rsidRDefault="00D306D1" w:rsidP="005516A1">
      <w:pPr>
        <w:tabs>
          <w:tab w:val="center" w:pos="5400"/>
        </w:tabs>
        <w:suppressAutoHyphens/>
        <w:jc w:val="center"/>
        <w:rPr>
          <w:rFonts w:asciiTheme="majorHAnsi" w:hAnsiTheme="majorHAnsi"/>
          <w:b/>
          <w:sz w:val="20"/>
          <w:szCs w:val="20"/>
        </w:rPr>
      </w:pPr>
      <w:r w:rsidRPr="0004677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D72DC6" w:rsidRDefault="00B82E6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6F0542" wp14:editId="0B297EC9">
                                  <wp:extent cx="2033910" cy="51943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4033" cy="5194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82E60" w:rsidRPr="00D72DC6" w:rsidRDefault="00B82E6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16F0542" wp14:editId="0B297EC9">
                            <wp:extent cx="2033910" cy="51943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34033" cy="519461"/>
                                    </a:xfrm>
                                    <a:prstGeom prst="rect">
                                      <a:avLst/>
                                    </a:prstGeom>
                                    <a:noFill/>
                                    <a:ln>
                                      <a:noFill/>
                                    </a:ln>
                                  </pic:spPr>
                                </pic:pic>
                              </a:graphicData>
                            </a:graphic>
                          </wp:inline>
                        </w:drawing>
                      </w:r>
                    </w:p>
                  </w:txbxContent>
                </v:textbox>
              </v:shape>
            </w:pict>
          </mc:Fallback>
        </mc:AlternateContent>
      </w:r>
      <w:r w:rsidRPr="0004677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E60" w:rsidRPr="00796E66" w:rsidRDefault="00B82E60" w:rsidP="00D306D1">
                            <w:pPr>
                              <w:jc w:val="center"/>
                              <w:rPr>
                                <w:rFonts w:asciiTheme="minorHAnsi" w:hAnsiTheme="minorHAnsi"/>
                                <w:b/>
                                <w:color w:val="FFFFFF" w:themeColor="background1"/>
                              </w:rPr>
                            </w:pPr>
                            <w:r w:rsidRPr="00796E66">
                              <w:rPr>
                                <w:rFonts w:asciiTheme="minorHAnsi" w:hAnsiTheme="minorHAnsi"/>
                                <w:b/>
                                <w:color w:val="FFFFFF" w:themeColor="background1"/>
                                <w:lang w:val="pt-BR"/>
                              </w:rPr>
                              <w:t>www.</w:t>
                            </w:r>
                            <w:r w:rsidR="00796E66" w:rsidRPr="00796E66">
                              <w:rPr>
                                <w:rFonts w:asciiTheme="minorHAnsi" w:hAnsiTheme="minorHAnsi"/>
                                <w:b/>
                                <w:color w:val="FFFFFF" w:themeColor="background1"/>
                                <w:lang w:val="pt-BR"/>
                              </w:rPr>
                              <w:t>iachr</w:t>
                            </w:r>
                            <w:r w:rsidRPr="00796E6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82E60" w:rsidRPr="00796E66" w:rsidRDefault="00B82E60" w:rsidP="00D306D1">
                      <w:pPr>
                        <w:jc w:val="center"/>
                        <w:rPr>
                          <w:rFonts w:asciiTheme="minorHAnsi" w:hAnsiTheme="minorHAnsi"/>
                          <w:b/>
                          <w:color w:val="FFFFFF" w:themeColor="background1"/>
                        </w:rPr>
                      </w:pPr>
                      <w:r w:rsidRPr="00796E66">
                        <w:rPr>
                          <w:rFonts w:asciiTheme="minorHAnsi" w:hAnsiTheme="minorHAnsi"/>
                          <w:b/>
                          <w:color w:val="FFFFFF" w:themeColor="background1"/>
                          <w:lang w:val="pt-BR"/>
                        </w:rPr>
                        <w:t>www.</w:t>
                      </w:r>
                      <w:r w:rsidR="00796E66" w:rsidRPr="00796E66">
                        <w:rPr>
                          <w:rFonts w:asciiTheme="minorHAnsi" w:hAnsiTheme="minorHAnsi"/>
                          <w:b/>
                          <w:color w:val="FFFFFF" w:themeColor="background1"/>
                          <w:lang w:val="pt-BR"/>
                        </w:rPr>
                        <w:t>iachr</w:t>
                      </w:r>
                      <w:r w:rsidRPr="00796E66">
                        <w:rPr>
                          <w:rFonts w:asciiTheme="minorHAnsi" w:hAnsiTheme="minorHAnsi"/>
                          <w:b/>
                          <w:color w:val="FFFFFF" w:themeColor="background1"/>
                          <w:lang w:val="pt-BR"/>
                        </w:rPr>
                        <w:t>.org</w:t>
                      </w:r>
                    </w:p>
                  </w:txbxContent>
                </v:textbox>
              </v:shape>
            </w:pict>
          </mc:Fallback>
        </mc:AlternateContent>
      </w:r>
    </w:p>
    <w:p w:rsidR="0070697F" w:rsidRPr="00046773" w:rsidRDefault="004A6A54" w:rsidP="005516A1">
      <w:pPr>
        <w:tabs>
          <w:tab w:val="center" w:pos="5400"/>
        </w:tabs>
        <w:suppressAutoHyphens/>
        <w:jc w:val="center"/>
        <w:rPr>
          <w:rFonts w:asciiTheme="majorHAnsi" w:hAnsiTheme="majorHAnsi"/>
          <w:b/>
          <w:sz w:val="20"/>
          <w:szCs w:val="20"/>
        </w:rPr>
        <w:sectPr w:rsidR="0070697F" w:rsidRPr="0004677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46773">
        <w:rPr>
          <w:rFonts w:asciiTheme="majorHAnsi" w:hAnsiTheme="majorHAnsi"/>
          <w:b/>
          <w:sz w:val="20"/>
          <w:szCs w:val="20"/>
        </w:rPr>
        <w:tab/>
      </w:r>
    </w:p>
    <w:p w:rsidR="003239B8" w:rsidRPr="00046773" w:rsidRDefault="00A37F2E" w:rsidP="00314D9D">
      <w:pPr>
        <w:spacing w:after="200"/>
        <w:ind w:firstLine="720"/>
        <w:jc w:val="both"/>
        <w:rPr>
          <w:rFonts w:asciiTheme="majorHAnsi" w:hAnsiTheme="majorHAnsi"/>
          <w:b/>
          <w:bCs/>
          <w:sz w:val="20"/>
          <w:szCs w:val="20"/>
        </w:rPr>
      </w:pPr>
      <w:r w:rsidRPr="00046773">
        <w:rPr>
          <w:rFonts w:asciiTheme="majorHAnsi" w:hAnsiTheme="majorHAnsi"/>
          <w:b/>
          <w:bCs/>
          <w:sz w:val="20"/>
          <w:szCs w:val="20"/>
        </w:rPr>
        <w:lastRenderedPageBreak/>
        <w:t>I.</w:t>
      </w:r>
      <w:r w:rsidRPr="00046773">
        <w:rPr>
          <w:rFonts w:asciiTheme="majorHAnsi" w:hAnsiTheme="majorHAnsi"/>
          <w:b/>
          <w:bCs/>
          <w:sz w:val="20"/>
          <w:szCs w:val="20"/>
        </w:rPr>
        <w:tab/>
      </w:r>
      <w:r w:rsidR="00405303" w:rsidRPr="00A94F56">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53787" w:rsidTr="000A0270">
        <w:tc>
          <w:tcPr>
            <w:tcW w:w="3600" w:type="dxa"/>
            <w:tcBorders>
              <w:top w:val="single" w:sz="4"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Petitioners:</w:t>
            </w:r>
          </w:p>
        </w:tc>
        <w:tc>
          <w:tcPr>
            <w:tcW w:w="5760" w:type="dxa"/>
            <w:vAlign w:val="center"/>
          </w:tcPr>
          <w:p w:rsidR="003239B8" w:rsidRPr="00D53787" w:rsidRDefault="00671A1D" w:rsidP="00DE7C96">
            <w:pPr>
              <w:jc w:val="both"/>
              <w:rPr>
                <w:rFonts w:asciiTheme="majorHAnsi" w:hAnsiTheme="majorHAnsi"/>
                <w:bCs/>
                <w:sz w:val="20"/>
                <w:szCs w:val="20"/>
                <w:lang w:val="pt-BR"/>
              </w:rPr>
            </w:pPr>
            <w:r w:rsidRPr="00D53787">
              <w:rPr>
                <w:rFonts w:asciiTheme="majorHAnsi" w:hAnsiTheme="majorHAnsi"/>
                <w:bCs/>
                <w:sz w:val="20"/>
                <w:szCs w:val="20"/>
                <w:lang w:val="pt-BR"/>
              </w:rPr>
              <w:t>Sonia Kodaira</w:t>
            </w:r>
            <w:r w:rsidR="00DE7C96" w:rsidRPr="00D53787">
              <w:rPr>
                <w:rFonts w:asciiTheme="majorHAnsi" w:hAnsiTheme="majorHAnsi"/>
                <w:bCs/>
                <w:sz w:val="20"/>
                <w:szCs w:val="20"/>
                <w:lang w:val="pt-BR"/>
              </w:rPr>
              <w:t xml:space="preserve"> and </w:t>
            </w:r>
            <w:r w:rsidRPr="00D53787">
              <w:rPr>
                <w:rFonts w:asciiTheme="majorHAnsi" w:hAnsiTheme="majorHAnsi"/>
                <w:bCs/>
                <w:sz w:val="20"/>
                <w:szCs w:val="20"/>
                <w:lang w:val="pt-BR"/>
              </w:rPr>
              <w:t>Conectas Direitos Humanos</w:t>
            </w:r>
          </w:p>
        </w:tc>
      </w:tr>
      <w:tr w:rsidR="003239B8" w:rsidRPr="00D53787" w:rsidTr="000A0270">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Alleged victims:</w:t>
            </w:r>
          </w:p>
        </w:tc>
        <w:tc>
          <w:tcPr>
            <w:tcW w:w="5760" w:type="dxa"/>
            <w:vAlign w:val="center"/>
          </w:tcPr>
          <w:p w:rsidR="003239B8" w:rsidRPr="00D53787" w:rsidRDefault="00671A1D" w:rsidP="00314D9D">
            <w:pPr>
              <w:jc w:val="both"/>
              <w:rPr>
                <w:rFonts w:asciiTheme="majorHAnsi" w:hAnsiTheme="majorHAnsi"/>
                <w:bCs/>
                <w:sz w:val="20"/>
                <w:szCs w:val="20"/>
                <w:lang w:val="pt-BR"/>
              </w:rPr>
            </w:pPr>
            <w:r w:rsidRPr="00D53787">
              <w:rPr>
                <w:rFonts w:asciiTheme="majorHAnsi" w:hAnsiTheme="majorHAnsi"/>
                <w:bCs/>
                <w:sz w:val="20"/>
                <w:szCs w:val="20"/>
                <w:lang w:val="pt-BR"/>
              </w:rPr>
              <w:t>Gerson Mendonça de Freitas Filho</w:t>
            </w:r>
          </w:p>
        </w:tc>
      </w:tr>
      <w:tr w:rsidR="003239B8" w:rsidRPr="00046773" w:rsidTr="000A0270">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State denounced:</w:t>
            </w:r>
          </w:p>
        </w:tc>
        <w:tc>
          <w:tcPr>
            <w:tcW w:w="5760" w:type="dxa"/>
            <w:vAlign w:val="center"/>
          </w:tcPr>
          <w:p w:rsidR="003239B8" w:rsidRPr="00046773" w:rsidRDefault="006F47B8" w:rsidP="00314D9D">
            <w:pPr>
              <w:jc w:val="both"/>
              <w:rPr>
                <w:rFonts w:asciiTheme="majorHAnsi" w:hAnsiTheme="majorHAnsi"/>
                <w:bCs/>
                <w:sz w:val="20"/>
                <w:szCs w:val="20"/>
              </w:rPr>
            </w:pPr>
            <w:r w:rsidRPr="00046773">
              <w:rPr>
                <w:rFonts w:asciiTheme="majorHAnsi" w:hAnsiTheme="majorHAnsi"/>
                <w:bCs/>
                <w:sz w:val="20"/>
                <w:szCs w:val="20"/>
              </w:rPr>
              <w:t>Braz</w:t>
            </w:r>
            <w:r w:rsidR="006A20E7" w:rsidRPr="00046773">
              <w:rPr>
                <w:rFonts w:asciiTheme="majorHAnsi" w:hAnsiTheme="majorHAnsi"/>
                <w:bCs/>
                <w:sz w:val="20"/>
                <w:szCs w:val="20"/>
              </w:rPr>
              <w:t>il</w:t>
            </w:r>
            <w:r w:rsidR="004A6A54" w:rsidRPr="00046773">
              <w:rPr>
                <w:rStyle w:val="FootnoteReference"/>
                <w:rFonts w:asciiTheme="majorHAnsi" w:hAnsiTheme="majorHAnsi"/>
                <w:bCs/>
                <w:sz w:val="20"/>
                <w:szCs w:val="20"/>
              </w:rPr>
              <w:footnoteReference w:id="2"/>
            </w:r>
          </w:p>
        </w:tc>
      </w:tr>
      <w:tr w:rsidR="00223A29" w:rsidRPr="00046773" w:rsidTr="000A0270">
        <w:tc>
          <w:tcPr>
            <w:tcW w:w="3600" w:type="dxa"/>
            <w:tcBorders>
              <w:top w:val="single" w:sz="6" w:space="0" w:color="auto"/>
              <w:bottom w:val="single" w:sz="6" w:space="0" w:color="auto"/>
            </w:tcBorders>
            <w:shd w:val="clear" w:color="auto" w:fill="67AF3C"/>
            <w:vAlign w:val="center"/>
          </w:tcPr>
          <w:p w:rsidR="00223A29"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Rights invoked:</w:t>
            </w:r>
          </w:p>
        </w:tc>
        <w:tc>
          <w:tcPr>
            <w:tcW w:w="5760" w:type="dxa"/>
            <w:vAlign w:val="center"/>
          </w:tcPr>
          <w:p w:rsidR="00223A29" w:rsidRPr="00046773" w:rsidRDefault="006F47B8" w:rsidP="006F47B8">
            <w:pPr>
              <w:jc w:val="both"/>
              <w:rPr>
                <w:rFonts w:asciiTheme="majorHAnsi" w:hAnsiTheme="majorHAnsi"/>
                <w:bCs/>
                <w:sz w:val="20"/>
                <w:szCs w:val="20"/>
              </w:rPr>
            </w:pPr>
            <w:r w:rsidRPr="00046773">
              <w:rPr>
                <w:rFonts w:asciiTheme="majorHAnsi" w:hAnsiTheme="majorHAnsi"/>
                <w:bCs/>
                <w:sz w:val="20"/>
                <w:szCs w:val="20"/>
              </w:rPr>
              <w:t>Article</w:t>
            </w:r>
            <w:r w:rsidR="00671A1D" w:rsidRPr="00046773">
              <w:rPr>
                <w:rFonts w:asciiTheme="majorHAnsi" w:hAnsiTheme="majorHAnsi"/>
                <w:bCs/>
                <w:sz w:val="20"/>
                <w:szCs w:val="20"/>
              </w:rPr>
              <w:t>s 4 (</w:t>
            </w:r>
            <w:r w:rsidRPr="00046773">
              <w:rPr>
                <w:rFonts w:asciiTheme="majorHAnsi" w:hAnsiTheme="majorHAnsi"/>
                <w:bCs/>
                <w:sz w:val="20"/>
                <w:szCs w:val="20"/>
              </w:rPr>
              <w:t>life</w:t>
            </w:r>
            <w:r w:rsidR="00671A1D" w:rsidRPr="00046773">
              <w:rPr>
                <w:rFonts w:asciiTheme="majorHAnsi" w:hAnsiTheme="majorHAnsi"/>
                <w:bCs/>
                <w:sz w:val="20"/>
                <w:szCs w:val="20"/>
              </w:rPr>
              <w:t xml:space="preserve">) </w:t>
            </w:r>
            <w:r w:rsidRPr="00046773">
              <w:rPr>
                <w:rFonts w:asciiTheme="majorHAnsi" w:hAnsiTheme="majorHAnsi"/>
                <w:bCs/>
                <w:sz w:val="20"/>
                <w:szCs w:val="20"/>
              </w:rPr>
              <w:t>and</w:t>
            </w:r>
            <w:r w:rsidR="00671A1D" w:rsidRPr="00046773">
              <w:rPr>
                <w:rFonts w:asciiTheme="majorHAnsi" w:hAnsiTheme="majorHAnsi"/>
                <w:bCs/>
                <w:sz w:val="20"/>
                <w:szCs w:val="20"/>
              </w:rPr>
              <w:t xml:space="preserve"> 25 (judicial</w:t>
            </w:r>
            <w:r w:rsidRPr="00046773">
              <w:rPr>
                <w:rFonts w:asciiTheme="majorHAnsi" w:hAnsiTheme="majorHAnsi"/>
                <w:bCs/>
                <w:sz w:val="20"/>
                <w:szCs w:val="20"/>
              </w:rPr>
              <w:t xml:space="preserve"> protection</w:t>
            </w:r>
            <w:r w:rsidR="00671A1D" w:rsidRPr="00046773">
              <w:rPr>
                <w:rFonts w:asciiTheme="majorHAnsi" w:hAnsiTheme="majorHAnsi"/>
                <w:bCs/>
                <w:sz w:val="20"/>
                <w:szCs w:val="20"/>
              </w:rPr>
              <w:t>)</w:t>
            </w:r>
            <w:r w:rsidR="008D298A" w:rsidRPr="00046773">
              <w:rPr>
                <w:rFonts w:asciiTheme="majorHAnsi" w:hAnsiTheme="majorHAnsi"/>
                <w:bCs/>
                <w:sz w:val="20"/>
                <w:szCs w:val="20"/>
              </w:rPr>
              <w:t>,</w:t>
            </w:r>
            <w:r w:rsidRPr="00046773">
              <w:rPr>
                <w:rFonts w:asciiTheme="majorHAnsi" w:hAnsiTheme="majorHAnsi"/>
                <w:bCs/>
                <w:sz w:val="20"/>
                <w:szCs w:val="20"/>
              </w:rPr>
              <w:t xml:space="preserve"> both in relation to Article 1.1 of the American Convention on Human Rights</w:t>
            </w:r>
            <w:r w:rsidR="00671A1D" w:rsidRPr="00046773">
              <w:rPr>
                <w:rStyle w:val="FootnoteReference"/>
                <w:rFonts w:asciiTheme="majorHAnsi" w:hAnsiTheme="majorHAnsi"/>
                <w:bCs/>
                <w:sz w:val="20"/>
                <w:szCs w:val="20"/>
              </w:rPr>
              <w:footnoteReference w:id="3"/>
            </w:r>
          </w:p>
        </w:tc>
      </w:tr>
    </w:tbl>
    <w:p w:rsidR="003239B8" w:rsidRPr="00046773" w:rsidRDefault="00A37F2E" w:rsidP="00314D9D">
      <w:pPr>
        <w:spacing w:before="200" w:after="200"/>
        <w:ind w:firstLine="720"/>
        <w:jc w:val="both"/>
        <w:rPr>
          <w:rFonts w:asciiTheme="majorHAnsi" w:hAnsiTheme="majorHAnsi"/>
          <w:b/>
          <w:bCs/>
          <w:sz w:val="20"/>
          <w:szCs w:val="20"/>
        </w:rPr>
      </w:pPr>
      <w:r w:rsidRPr="00046773">
        <w:rPr>
          <w:rFonts w:asciiTheme="majorHAnsi" w:hAnsiTheme="majorHAnsi"/>
          <w:b/>
          <w:bCs/>
          <w:sz w:val="20"/>
          <w:szCs w:val="20"/>
        </w:rPr>
        <w:t>II.</w:t>
      </w:r>
      <w:r w:rsidRPr="00046773">
        <w:rPr>
          <w:rFonts w:asciiTheme="majorHAnsi" w:hAnsiTheme="majorHAnsi"/>
          <w:b/>
          <w:bCs/>
          <w:sz w:val="20"/>
          <w:szCs w:val="20"/>
        </w:rPr>
        <w:tab/>
      </w:r>
      <w:r w:rsidR="00405303" w:rsidRPr="00A94F56">
        <w:rPr>
          <w:rFonts w:asciiTheme="majorHAnsi" w:hAnsiTheme="majorHAnsi"/>
          <w:b/>
          <w:bCs/>
          <w:sz w:val="20"/>
          <w:szCs w:val="20"/>
        </w:rPr>
        <w:t>PROCEEDINGS BEFORE THE IACHR</w:t>
      </w:r>
      <w:r w:rsidR="00405303" w:rsidRPr="00046773" w:rsidDel="00405303">
        <w:rPr>
          <w:rFonts w:asciiTheme="majorHAnsi" w:hAnsiTheme="majorHAnsi"/>
          <w:b/>
          <w:bCs/>
          <w:sz w:val="20"/>
          <w:szCs w:val="20"/>
        </w:rPr>
        <w:t xml:space="preserve"> </w:t>
      </w:r>
      <w:r w:rsidR="008E3BFE" w:rsidRPr="00046773">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46773" w:rsidTr="000A0270">
        <w:tc>
          <w:tcPr>
            <w:tcW w:w="3600" w:type="dxa"/>
            <w:tcBorders>
              <w:top w:val="single" w:sz="6" w:space="0" w:color="auto"/>
              <w:bottom w:val="single" w:sz="6" w:space="0" w:color="auto"/>
            </w:tcBorders>
            <w:shd w:val="clear" w:color="auto" w:fill="67AF3C"/>
            <w:vAlign w:val="center"/>
          </w:tcPr>
          <w:p w:rsidR="004C2312" w:rsidRPr="00405303"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Filing of the petition:</w:t>
            </w:r>
          </w:p>
        </w:tc>
        <w:tc>
          <w:tcPr>
            <w:tcW w:w="5760" w:type="dxa"/>
            <w:vAlign w:val="center"/>
          </w:tcPr>
          <w:p w:rsidR="006B2EF2"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October 8,</w:t>
            </w:r>
            <w:r w:rsidR="00032E1F" w:rsidRPr="00046773">
              <w:rPr>
                <w:rFonts w:asciiTheme="majorHAnsi" w:hAnsiTheme="majorHAnsi"/>
                <w:bCs/>
                <w:sz w:val="20"/>
                <w:szCs w:val="20"/>
              </w:rPr>
              <w:t xml:space="preserve"> 2008</w:t>
            </w:r>
          </w:p>
        </w:tc>
      </w:tr>
      <w:tr w:rsidR="004C2312" w:rsidRPr="00046773" w:rsidTr="000A0270">
        <w:tc>
          <w:tcPr>
            <w:tcW w:w="3600" w:type="dxa"/>
            <w:tcBorders>
              <w:top w:val="single" w:sz="6" w:space="0" w:color="auto"/>
              <w:bottom w:val="single" w:sz="6" w:space="0" w:color="auto"/>
            </w:tcBorders>
            <w:shd w:val="clear" w:color="auto" w:fill="67AF3C"/>
            <w:vAlign w:val="center"/>
          </w:tcPr>
          <w:p w:rsidR="004C2312" w:rsidRPr="00405303" w:rsidRDefault="00405303" w:rsidP="000A0270">
            <w:pPr>
              <w:jc w:val="center"/>
              <w:rPr>
                <w:rFonts w:asciiTheme="majorHAnsi" w:hAnsiTheme="majorHAnsi"/>
                <w:b/>
                <w:color w:val="FFFFFF" w:themeColor="background1"/>
                <w:sz w:val="20"/>
                <w:szCs w:val="20"/>
              </w:rPr>
            </w:pPr>
            <w:r w:rsidRPr="00A94F56">
              <w:rPr>
                <w:rFonts w:asciiTheme="majorHAnsi" w:hAnsiTheme="majorHAnsi"/>
                <w:b/>
                <w:color w:val="FFFFFF" w:themeColor="background1"/>
                <w:sz w:val="20"/>
                <w:szCs w:val="20"/>
              </w:rPr>
              <w:t>Notification of the petition to the State:</w:t>
            </w:r>
          </w:p>
        </w:tc>
        <w:tc>
          <w:tcPr>
            <w:tcW w:w="5760" w:type="dxa"/>
            <w:vAlign w:val="center"/>
          </w:tcPr>
          <w:p w:rsidR="004C2312" w:rsidRPr="00046773" w:rsidRDefault="008E129C" w:rsidP="008E129C">
            <w:pPr>
              <w:jc w:val="both"/>
              <w:rPr>
                <w:rFonts w:asciiTheme="majorHAnsi" w:hAnsiTheme="majorHAnsi"/>
                <w:bCs/>
                <w:sz w:val="20"/>
                <w:szCs w:val="20"/>
              </w:rPr>
            </w:pPr>
            <w:r w:rsidRPr="00046773">
              <w:rPr>
                <w:rFonts w:asciiTheme="majorHAnsi" w:hAnsiTheme="majorHAnsi"/>
                <w:bCs/>
                <w:sz w:val="20"/>
                <w:szCs w:val="20"/>
              </w:rPr>
              <w:t xml:space="preserve">April </w:t>
            </w:r>
            <w:r w:rsidR="00032E1F" w:rsidRPr="00046773">
              <w:rPr>
                <w:rFonts w:asciiTheme="majorHAnsi" w:hAnsiTheme="majorHAnsi"/>
                <w:bCs/>
                <w:sz w:val="20"/>
                <w:szCs w:val="20"/>
              </w:rPr>
              <w:t>23</w:t>
            </w:r>
            <w:r w:rsidRPr="00046773">
              <w:rPr>
                <w:rFonts w:asciiTheme="majorHAnsi" w:hAnsiTheme="majorHAnsi"/>
                <w:bCs/>
                <w:sz w:val="20"/>
                <w:szCs w:val="20"/>
              </w:rPr>
              <w:t>,</w:t>
            </w:r>
            <w:r w:rsidR="00032E1F" w:rsidRPr="00046773">
              <w:rPr>
                <w:rFonts w:asciiTheme="majorHAnsi" w:hAnsiTheme="majorHAnsi"/>
                <w:bCs/>
                <w:sz w:val="20"/>
                <w:szCs w:val="20"/>
              </w:rPr>
              <w:t xml:space="preserve"> 2013</w:t>
            </w:r>
          </w:p>
        </w:tc>
      </w:tr>
      <w:tr w:rsidR="004C2312" w:rsidRPr="00046773" w:rsidTr="000A0270">
        <w:tc>
          <w:tcPr>
            <w:tcW w:w="3600" w:type="dxa"/>
            <w:tcBorders>
              <w:top w:val="single" w:sz="6" w:space="0" w:color="auto"/>
              <w:bottom w:val="single" w:sz="6" w:space="0" w:color="auto"/>
            </w:tcBorders>
            <w:shd w:val="clear" w:color="auto" w:fill="67AF3C"/>
            <w:vAlign w:val="center"/>
          </w:tcPr>
          <w:p w:rsidR="004C2312" w:rsidRPr="00405303" w:rsidRDefault="00405303" w:rsidP="000A0270">
            <w:pPr>
              <w:jc w:val="center"/>
              <w:rPr>
                <w:rFonts w:asciiTheme="majorHAnsi" w:hAnsiTheme="majorHAnsi"/>
                <w:b/>
                <w:bCs/>
                <w:color w:val="FFFFFF" w:themeColor="background1"/>
                <w:sz w:val="20"/>
                <w:szCs w:val="20"/>
              </w:rPr>
            </w:pPr>
            <w:r w:rsidRPr="00A94F56">
              <w:rPr>
                <w:rFonts w:asciiTheme="majorHAnsi" w:hAnsiTheme="majorHAnsi"/>
                <w:b/>
                <w:color w:val="FFFFFF" w:themeColor="background1"/>
                <w:sz w:val="20"/>
                <w:szCs w:val="20"/>
              </w:rPr>
              <w:t>State's first response:</w:t>
            </w:r>
          </w:p>
        </w:tc>
        <w:tc>
          <w:tcPr>
            <w:tcW w:w="5760" w:type="dxa"/>
            <w:vAlign w:val="center"/>
          </w:tcPr>
          <w:p w:rsidR="004C2312" w:rsidRPr="00046773" w:rsidRDefault="008E129C" w:rsidP="008E129C">
            <w:pPr>
              <w:jc w:val="both"/>
              <w:rPr>
                <w:rFonts w:asciiTheme="majorHAnsi" w:hAnsiTheme="majorHAnsi"/>
                <w:bCs/>
                <w:sz w:val="20"/>
                <w:szCs w:val="20"/>
              </w:rPr>
            </w:pPr>
            <w:r w:rsidRPr="00046773">
              <w:rPr>
                <w:rFonts w:asciiTheme="majorHAnsi" w:hAnsiTheme="majorHAnsi"/>
                <w:bCs/>
                <w:sz w:val="20"/>
                <w:szCs w:val="20"/>
              </w:rPr>
              <w:t xml:space="preserve">July </w:t>
            </w:r>
            <w:r w:rsidR="00032E1F" w:rsidRPr="00046773">
              <w:rPr>
                <w:rFonts w:asciiTheme="majorHAnsi" w:hAnsiTheme="majorHAnsi"/>
                <w:bCs/>
                <w:sz w:val="20"/>
                <w:szCs w:val="20"/>
              </w:rPr>
              <w:t>1</w:t>
            </w:r>
            <w:r w:rsidRPr="00046773">
              <w:rPr>
                <w:rFonts w:asciiTheme="majorHAnsi" w:hAnsiTheme="majorHAnsi"/>
                <w:bCs/>
                <w:sz w:val="20"/>
                <w:szCs w:val="20"/>
              </w:rPr>
              <w:t>,</w:t>
            </w:r>
            <w:r w:rsidR="00032E1F" w:rsidRPr="00046773">
              <w:rPr>
                <w:rFonts w:asciiTheme="majorHAnsi" w:hAnsiTheme="majorHAnsi"/>
                <w:bCs/>
                <w:sz w:val="20"/>
                <w:szCs w:val="20"/>
              </w:rPr>
              <w:t xml:space="preserve"> 2013</w:t>
            </w:r>
          </w:p>
        </w:tc>
      </w:tr>
      <w:tr w:rsidR="004C2312" w:rsidRPr="00046773" w:rsidTr="000A0270">
        <w:tc>
          <w:tcPr>
            <w:tcW w:w="3600" w:type="dxa"/>
            <w:tcBorders>
              <w:top w:val="single" w:sz="6" w:space="0" w:color="auto"/>
              <w:bottom w:val="single" w:sz="6" w:space="0" w:color="auto"/>
            </w:tcBorders>
            <w:shd w:val="clear" w:color="auto" w:fill="67AF3C"/>
            <w:vAlign w:val="center"/>
          </w:tcPr>
          <w:p w:rsidR="004C2312" w:rsidRPr="00405303"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Further observations of the petitioners:</w:t>
            </w:r>
          </w:p>
        </w:tc>
        <w:tc>
          <w:tcPr>
            <w:tcW w:w="5760" w:type="dxa"/>
            <w:vAlign w:val="center"/>
          </w:tcPr>
          <w:p w:rsidR="004C2312" w:rsidRPr="00046773" w:rsidRDefault="008E129C" w:rsidP="008E129C">
            <w:pPr>
              <w:jc w:val="both"/>
              <w:rPr>
                <w:rFonts w:asciiTheme="majorHAnsi" w:hAnsiTheme="majorHAnsi"/>
                <w:bCs/>
                <w:sz w:val="20"/>
                <w:szCs w:val="20"/>
              </w:rPr>
            </w:pPr>
            <w:r w:rsidRPr="00046773">
              <w:rPr>
                <w:rFonts w:asciiTheme="majorHAnsi" w:hAnsiTheme="majorHAnsi"/>
                <w:bCs/>
                <w:sz w:val="20"/>
                <w:szCs w:val="20"/>
              </w:rPr>
              <w:t>August 26 and December</w:t>
            </w:r>
            <w:r w:rsidR="00032E1F" w:rsidRPr="00046773">
              <w:rPr>
                <w:rFonts w:asciiTheme="majorHAnsi" w:hAnsiTheme="majorHAnsi"/>
                <w:bCs/>
                <w:sz w:val="20"/>
                <w:szCs w:val="20"/>
              </w:rPr>
              <w:t xml:space="preserve"> 24</w:t>
            </w:r>
            <w:r w:rsidRPr="00046773">
              <w:rPr>
                <w:rFonts w:asciiTheme="majorHAnsi" w:hAnsiTheme="majorHAnsi"/>
                <w:bCs/>
                <w:sz w:val="20"/>
                <w:szCs w:val="20"/>
              </w:rPr>
              <w:t>,</w:t>
            </w:r>
            <w:r w:rsidR="00032E1F" w:rsidRPr="00046773">
              <w:rPr>
                <w:rFonts w:asciiTheme="majorHAnsi" w:hAnsiTheme="majorHAnsi"/>
                <w:bCs/>
                <w:sz w:val="20"/>
                <w:szCs w:val="20"/>
              </w:rPr>
              <w:t xml:space="preserve"> 2013</w:t>
            </w:r>
          </w:p>
        </w:tc>
      </w:tr>
      <w:tr w:rsidR="004C2312" w:rsidRPr="00046773" w:rsidTr="000A0270">
        <w:tc>
          <w:tcPr>
            <w:tcW w:w="3600" w:type="dxa"/>
            <w:tcBorders>
              <w:top w:val="single" w:sz="6" w:space="0" w:color="auto"/>
              <w:bottom w:val="single" w:sz="6" w:space="0" w:color="auto"/>
            </w:tcBorders>
            <w:shd w:val="clear" w:color="auto" w:fill="67AF3C"/>
            <w:vAlign w:val="center"/>
          </w:tcPr>
          <w:p w:rsidR="004C2312" w:rsidRPr="00405303" w:rsidRDefault="00405303" w:rsidP="000A027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Further observations of the State</w:t>
            </w:r>
          </w:p>
        </w:tc>
        <w:tc>
          <w:tcPr>
            <w:tcW w:w="5760" w:type="dxa"/>
            <w:vAlign w:val="center"/>
          </w:tcPr>
          <w:p w:rsidR="004C2312" w:rsidRPr="00046773" w:rsidRDefault="008E129C" w:rsidP="008E129C">
            <w:pPr>
              <w:jc w:val="both"/>
              <w:rPr>
                <w:rFonts w:asciiTheme="majorHAnsi" w:hAnsiTheme="majorHAnsi"/>
                <w:bCs/>
                <w:sz w:val="20"/>
                <w:szCs w:val="20"/>
              </w:rPr>
            </w:pPr>
            <w:r w:rsidRPr="00046773">
              <w:rPr>
                <w:rFonts w:asciiTheme="majorHAnsi" w:hAnsiTheme="majorHAnsi"/>
                <w:bCs/>
                <w:sz w:val="20"/>
                <w:szCs w:val="20"/>
              </w:rPr>
              <w:t xml:space="preserve">November </w:t>
            </w:r>
            <w:r w:rsidR="00032E1F" w:rsidRPr="00046773">
              <w:rPr>
                <w:rFonts w:asciiTheme="majorHAnsi" w:hAnsiTheme="majorHAnsi"/>
                <w:bCs/>
                <w:sz w:val="20"/>
                <w:szCs w:val="20"/>
              </w:rPr>
              <w:t>5</w:t>
            </w:r>
            <w:r w:rsidRPr="00046773">
              <w:rPr>
                <w:rFonts w:asciiTheme="majorHAnsi" w:hAnsiTheme="majorHAnsi"/>
                <w:bCs/>
                <w:sz w:val="20"/>
                <w:szCs w:val="20"/>
              </w:rPr>
              <w:t>, 2013 and February</w:t>
            </w:r>
            <w:r w:rsidR="00032E1F" w:rsidRPr="00046773">
              <w:rPr>
                <w:rFonts w:asciiTheme="majorHAnsi" w:hAnsiTheme="majorHAnsi"/>
                <w:bCs/>
                <w:sz w:val="20"/>
                <w:szCs w:val="20"/>
              </w:rPr>
              <w:t xml:space="preserve"> 28</w:t>
            </w:r>
            <w:r w:rsidRPr="00046773">
              <w:rPr>
                <w:rFonts w:asciiTheme="majorHAnsi" w:hAnsiTheme="majorHAnsi"/>
                <w:bCs/>
                <w:sz w:val="20"/>
                <w:szCs w:val="20"/>
              </w:rPr>
              <w:t>,</w:t>
            </w:r>
            <w:r w:rsidR="00032E1F" w:rsidRPr="00046773">
              <w:rPr>
                <w:rFonts w:asciiTheme="majorHAnsi" w:hAnsiTheme="majorHAnsi"/>
                <w:bCs/>
                <w:sz w:val="20"/>
                <w:szCs w:val="20"/>
              </w:rPr>
              <w:t xml:space="preserve"> 2014</w:t>
            </w:r>
          </w:p>
        </w:tc>
      </w:tr>
      <w:tr w:rsidR="006B2EF2" w:rsidRPr="00046773" w:rsidTr="000A0270">
        <w:tblPrEx>
          <w:tblBorders>
            <w:insideH w:val="single" w:sz="4" w:space="0" w:color="auto"/>
            <w:insideV w:val="single" w:sz="4" w:space="0" w:color="auto"/>
          </w:tblBorders>
        </w:tblPrEx>
        <w:tc>
          <w:tcPr>
            <w:tcW w:w="3600" w:type="dxa"/>
            <w:shd w:val="clear" w:color="auto" w:fill="67AF3C"/>
          </w:tcPr>
          <w:p w:rsidR="006B2EF2" w:rsidRPr="00405303" w:rsidRDefault="006F47B8" w:rsidP="000A0270">
            <w:pPr>
              <w:jc w:val="center"/>
              <w:rPr>
                <w:rFonts w:ascii="Cambria" w:hAnsi="Cambria"/>
                <w:b/>
                <w:bCs/>
                <w:color w:val="FFFFFF" w:themeColor="background1"/>
                <w:sz w:val="20"/>
                <w:szCs w:val="20"/>
              </w:rPr>
            </w:pPr>
            <w:r w:rsidRPr="00405303">
              <w:rPr>
                <w:rFonts w:ascii="Cambria" w:hAnsi="Cambria"/>
                <w:b/>
                <w:bCs/>
                <w:color w:val="FFFFFF" w:themeColor="background1"/>
                <w:sz w:val="20"/>
                <w:szCs w:val="20"/>
              </w:rPr>
              <w:t>Notification on Potential Archiving:</w:t>
            </w:r>
          </w:p>
        </w:tc>
        <w:tc>
          <w:tcPr>
            <w:tcW w:w="5760" w:type="dxa"/>
          </w:tcPr>
          <w:p w:rsidR="006B2EF2" w:rsidRPr="00046773" w:rsidRDefault="008E129C" w:rsidP="008E129C">
            <w:pPr>
              <w:jc w:val="both"/>
              <w:rPr>
                <w:rFonts w:ascii="Cambria" w:hAnsi="Cambria"/>
                <w:bCs/>
                <w:sz w:val="20"/>
                <w:szCs w:val="20"/>
              </w:rPr>
            </w:pPr>
            <w:r w:rsidRPr="00046773">
              <w:rPr>
                <w:rFonts w:ascii="Cambria" w:hAnsi="Cambria"/>
                <w:bCs/>
                <w:sz w:val="20"/>
                <w:szCs w:val="20"/>
              </w:rPr>
              <w:t xml:space="preserve">May </w:t>
            </w:r>
            <w:r w:rsidR="00A24DF1" w:rsidRPr="00046773">
              <w:rPr>
                <w:rFonts w:ascii="Cambria" w:hAnsi="Cambria"/>
                <w:bCs/>
                <w:sz w:val="20"/>
                <w:szCs w:val="20"/>
              </w:rPr>
              <w:t>26</w:t>
            </w:r>
            <w:r w:rsidRPr="00046773">
              <w:rPr>
                <w:rFonts w:ascii="Cambria" w:hAnsi="Cambria"/>
                <w:bCs/>
                <w:sz w:val="20"/>
                <w:szCs w:val="20"/>
              </w:rPr>
              <w:t>,</w:t>
            </w:r>
            <w:r w:rsidR="00A24DF1" w:rsidRPr="00046773">
              <w:rPr>
                <w:rFonts w:ascii="Cambria" w:hAnsi="Cambria"/>
                <w:bCs/>
                <w:sz w:val="20"/>
                <w:szCs w:val="20"/>
              </w:rPr>
              <w:t xml:space="preserve"> 2017;</w:t>
            </w:r>
            <w:r w:rsidRPr="00046773">
              <w:rPr>
                <w:rFonts w:ascii="Cambria" w:hAnsi="Cambria"/>
                <w:bCs/>
                <w:sz w:val="20"/>
                <w:szCs w:val="20"/>
              </w:rPr>
              <w:t xml:space="preserve"> November</w:t>
            </w:r>
            <w:r w:rsidR="00A24DF1" w:rsidRPr="00046773">
              <w:rPr>
                <w:rFonts w:ascii="Cambria" w:hAnsi="Cambria"/>
                <w:bCs/>
                <w:sz w:val="20"/>
                <w:szCs w:val="20"/>
              </w:rPr>
              <w:t xml:space="preserve"> </w:t>
            </w:r>
            <w:r w:rsidR="006B2EF2" w:rsidRPr="00046773">
              <w:rPr>
                <w:rFonts w:ascii="Cambria" w:hAnsi="Cambria"/>
                <w:bCs/>
                <w:sz w:val="20"/>
                <w:szCs w:val="20"/>
              </w:rPr>
              <w:t>12</w:t>
            </w:r>
            <w:r w:rsidRPr="00046773">
              <w:rPr>
                <w:rFonts w:ascii="Cambria" w:hAnsi="Cambria"/>
                <w:bCs/>
                <w:sz w:val="20"/>
                <w:szCs w:val="20"/>
              </w:rPr>
              <w:t>,</w:t>
            </w:r>
            <w:r w:rsidR="006B2EF2" w:rsidRPr="00046773">
              <w:rPr>
                <w:rFonts w:ascii="Cambria" w:hAnsi="Cambria"/>
                <w:bCs/>
                <w:sz w:val="20"/>
                <w:szCs w:val="20"/>
              </w:rPr>
              <w:t xml:space="preserve"> 2018</w:t>
            </w:r>
          </w:p>
        </w:tc>
      </w:tr>
      <w:tr w:rsidR="006B2EF2" w:rsidRPr="00046773" w:rsidTr="000A0270">
        <w:tblPrEx>
          <w:tblBorders>
            <w:insideH w:val="single" w:sz="4" w:space="0" w:color="auto"/>
            <w:insideV w:val="single" w:sz="4" w:space="0" w:color="auto"/>
          </w:tblBorders>
        </w:tblPrEx>
        <w:tc>
          <w:tcPr>
            <w:tcW w:w="3600" w:type="dxa"/>
            <w:shd w:val="clear" w:color="auto" w:fill="67AF3C"/>
          </w:tcPr>
          <w:p w:rsidR="006B2EF2" w:rsidRPr="00405303" w:rsidRDefault="00405303" w:rsidP="000A0270">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w:t>
            </w:r>
            <w:r w:rsidRPr="00405303">
              <w:rPr>
                <w:rFonts w:ascii="Cambria" w:hAnsi="Cambria"/>
                <w:b/>
                <w:bCs/>
                <w:color w:val="FFFFFF" w:themeColor="background1"/>
                <w:sz w:val="20"/>
                <w:szCs w:val="20"/>
              </w:rPr>
              <w:t xml:space="preserve"> </w:t>
            </w:r>
            <w:r>
              <w:rPr>
                <w:rFonts w:ascii="Cambria" w:hAnsi="Cambria"/>
                <w:b/>
                <w:bCs/>
                <w:color w:val="FFFFFF" w:themeColor="background1"/>
                <w:sz w:val="20"/>
                <w:szCs w:val="20"/>
              </w:rPr>
              <w:t>r</w:t>
            </w:r>
            <w:r w:rsidR="006F47B8" w:rsidRPr="00405303">
              <w:rPr>
                <w:rFonts w:ascii="Cambria" w:hAnsi="Cambria"/>
                <w:b/>
                <w:bCs/>
                <w:color w:val="FFFFFF" w:themeColor="background1"/>
                <w:sz w:val="20"/>
                <w:szCs w:val="20"/>
              </w:rPr>
              <w:t xml:space="preserve">esponse to </w:t>
            </w:r>
            <w:r>
              <w:rPr>
                <w:rFonts w:ascii="Cambria" w:hAnsi="Cambria"/>
                <w:b/>
                <w:bCs/>
                <w:color w:val="FFFFFF" w:themeColor="background1"/>
                <w:sz w:val="20"/>
                <w:szCs w:val="20"/>
              </w:rPr>
              <w:t>n</w:t>
            </w:r>
            <w:r w:rsidR="006F47B8" w:rsidRPr="00405303">
              <w:rPr>
                <w:rFonts w:ascii="Cambria" w:hAnsi="Cambria"/>
                <w:b/>
                <w:bCs/>
                <w:color w:val="FFFFFF" w:themeColor="background1"/>
                <w:sz w:val="20"/>
                <w:szCs w:val="20"/>
              </w:rPr>
              <w:t xml:space="preserve">otification on </w:t>
            </w:r>
            <w:r>
              <w:rPr>
                <w:rFonts w:ascii="Cambria" w:hAnsi="Cambria"/>
                <w:b/>
                <w:bCs/>
                <w:color w:val="FFFFFF" w:themeColor="background1"/>
                <w:sz w:val="20"/>
                <w:szCs w:val="20"/>
              </w:rPr>
              <w:t>p</w:t>
            </w:r>
            <w:r w:rsidR="006F47B8" w:rsidRPr="00405303">
              <w:rPr>
                <w:rFonts w:ascii="Cambria" w:hAnsi="Cambria"/>
                <w:b/>
                <w:bCs/>
                <w:color w:val="FFFFFF" w:themeColor="background1"/>
                <w:sz w:val="20"/>
                <w:szCs w:val="20"/>
              </w:rPr>
              <w:t xml:space="preserve">otential </w:t>
            </w:r>
            <w:r>
              <w:rPr>
                <w:rFonts w:ascii="Cambria" w:hAnsi="Cambria"/>
                <w:b/>
                <w:bCs/>
                <w:color w:val="FFFFFF" w:themeColor="background1"/>
                <w:sz w:val="20"/>
                <w:szCs w:val="20"/>
              </w:rPr>
              <w:t>a</w:t>
            </w:r>
            <w:r w:rsidR="006F47B8" w:rsidRPr="00405303">
              <w:rPr>
                <w:rFonts w:ascii="Cambria" w:hAnsi="Cambria"/>
                <w:b/>
                <w:bCs/>
                <w:color w:val="FFFFFF" w:themeColor="background1"/>
                <w:sz w:val="20"/>
                <w:szCs w:val="20"/>
              </w:rPr>
              <w:t>rchiving:</w:t>
            </w:r>
          </w:p>
        </w:tc>
        <w:tc>
          <w:tcPr>
            <w:tcW w:w="5760" w:type="dxa"/>
          </w:tcPr>
          <w:p w:rsidR="006B2EF2" w:rsidRPr="00046773" w:rsidRDefault="008E129C" w:rsidP="008E129C">
            <w:pPr>
              <w:jc w:val="both"/>
              <w:rPr>
                <w:rFonts w:ascii="Cambria" w:hAnsi="Cambria"/>
                <w:bCs/>
                <w:sz w:val="20"/>
                <w:szCs w:val="20"/>
              </w:rPr>
            </w:pPr>
            <w:r w:rsidRPr="00046773">
              <w:rPr>
                <w:rFonts w:ascii="Cambria" w:hAnsi="Cambria"/>
                <w:bCs/>
                <w:sz w:val="20"/>
                <w:szCs w:val="20"/>
              </w:rPr>
              <w:t xml:space="preserve">December </w:t>
            </w:r>
            <w:r w:rsidR="006B2EF2" w:rsidRPr="00046773">
              <w:rPr>
                <w:rFonts w:ascii="Cambria" w:hAnsi="Cambria"/>
                <w:bCs/>
                <w:sz w:val="20"/>
                <w:szCs w:val="20"/>
              </w:rPr>
              <w:t>7</w:t>
            </w:r>
            <w:r w:rsidRPr="00046773">
              <w:rPr>
                <w:rFonts w:ascii="Cambria" w:hAnsi="Cambria"/>
                <w:bCs/>
                <w:sz w:val="20"/>
                <w:szCs w:val="20"/>
              </w:rPr>
              <w:t>,</w:t>
            </w:r>
            <w:r w:rsidR="006B2EF2" w:rsidRPr="00046773">
              <w:rPr>
                <w:rFonts w:ascii="Cambria" w:hAnsi="Cambria"/>
                <w:bCs/>
                <w:sz w:val="20"/>
                <w:szCs w:val="20"/>
              </w:rPr>
              <w:t xml:space="preserve"> 2018</w:t>
            </w:r>
          </w:p>
        </w:tc>
      </w:tr>
    </w:tbl>
    <w:p w:rsidR="003239B8" w:rsidRPr="00046773" w:rsidRDefault="00D358AF" w:rsidP="00314D9D">
      <w:pPr>
        <w:spacing w:before="200" w:after="200"/>
        <w:ind w:firstLine="720"/>
        <w:jc w:val="both"/>
        <w:rPr>
          <w:rFonts w:asciiTheme="majorHAnsi" w:hAnsiTheme="majorHAnsi"/>
          <w:b/>
          <w:bCs/>
          <w:sz w:val="20"/>
          <w:szCs w:val="20"/>
        </w:rPr>
      </w:pPr>
      <w:r w:rsidRPr="00046773">
        <w:rPr>
          <w:rFonts w:asciiTheme="majorHAnsi" w:hAnsiTheme="majorHAnsi"/>
          <w:b/>
          <w:bCs/>
          <w:sz w:val="20"/>
          <w:szCs w:val="20"/>
        </w:rPr>
        <w:t xml:space="preserve">III. </w:t>
      </w:r>
      <w:r w:rsidRPr="00046773">
        <w:rPr>
          <w:rFonts w:asciiTheme="majorHAnsi" w:hAnsiTheme="majorHAnsi"/>
          <w:b/>
          <w:bCs/>
          <w:sz w:val="20"/>
          <w:szCs w:val="20"/>
        </w:rPr>
        <w:tab/>
      </w:r>
      <w:r w:rsidR="00405303" w:rsidRPr="00A94F56">
        <w:rPr>
          <w:rFonts w:asciiTheme="majorHAnsi" w:hAnsiTheme="majorHAnsi"/>
          <w:b/>
          <w:bCs/>
          <w:sz w:val="20"/>
          <w:szCs w:val="20"/>
        </w:rPr>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6773" w:rsidTr="000A0270">
        <w:trPr>
          <w:cantSplit/>
        </w:trPr>
        <w:tc>
          <w:tcPr>
            <w:tcW w:w="3600" w:type="dxa"/>
            <w:tcBorders>
              <w:top w:val="single" w:sz="4"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i/>
                <w:color w:val="FFFFFF" w:themeColor="background1"/>
                <w:sz w:val="20"/>
                <w:szCs w:val="20"/>
              </w:rPr>
            </w:pPr>
            <w:r>
              <w:rPr>
                <w:rFonts w:ascii="Cambria" w:hAnsi="Cambria"/>
                <w:b/>
                <w:bCs/>
                <w:color w:val="FFFFFF" w:themeColor="background1"/>
                <w:sz w:val="20"/>
                <w:szCs w:val="20"/>
              </w:rPr>
              <w:t>Competence</w:t>
            </w:r>
            <w:r w:rsidRPr="000A0270">
              <w:rPr>
                <w:rFonts w:ascii="Cambria" w:hAnsi="Cambria"/>
                <w:b/>
                <w:bCs/>
                <w:i/>
                <w:color w:val="FFFFFF" w:themeColor="background1"/>
                <w:sz w:val="20"/>
                <w:szCs w:val="20"/>
              </w:rPr>
              <w:t xml:space="preserve"> </w:t>
            </w:r>
            <w:r w:rsidR="00D11F95" w:rsidRPr="000A0270">
              <w:rPr>
                <w:rFonts w:ascii="Cambria" w:hAnsi="Cambria"/>
                <w:b/>
                <w:bCs/>
                <w:i/>
                <w:color w:val="FFFFFF" w:themeColor="background1"/>
                <w:sz w:val="20"/>
                <w:szCs w:val="20"/>
              </w:rPr>
              <w:t>Ratione Personae</w:t>
            </w:r>
            <w:r w:rsidR="00D11F95" w:rsidRPr="000A0270">
              <w:rPr>
                <w:rFonts w:ascii="Cambria" w:hAnsi="Cambria"/>
                <w:b/>
                <w:bCs/>
                <w:color w:val="FFFFFF" w:themeColor="background1"/>
                <w:sz w:val="20"/>
                <w:szCs w:val="20"/>
              </w:rPr>
              <w:t>:</w:t>
            </w:r>
          </w:p>
        </w:tc>
        <w:tc>
          <w:tcPr>
            <w:tcW w:w="5760" w:type="dxa"/>
            <w:vAlign w:val="center"/>
          </w:tcPr>
          <w:p w:rsidR="003239B8"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Yes</w:t>
            </w:r>
          </w:p>
        </w:tc>
      </w:tr>
      <w:tr w:rsidR="003239B8" w:rsidRPr="00046773" w:rsidTr="000A0270">
        <w:trPr>
          <w:cantSplit/>
        </w:trPr>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Pr>
                <w:rFonts w:ascii="Cambria" w:hAnsi="Cambria"/>
                <w:b/>
                <w:bCs/>
                <w:color w:val="FFFFFF" w:themeColor="background1"/>
                <w:sz w:val="20"/>
                <w:szCs w:val="20"/>
              </w:rPr>
              <w:t>Competence</w:t>
            </w:r>
            <w:r w:rsidRPr="000A0270">
              <w:rPr>
                <w:rFonts w:ascii="Cambria" w:hAnsi="Cambria"/>
                <w:b/>
                <w:bCs/>
                <w:i/>
                <w:color w:val="FFFFFF" w:themeColor="background1"/>
                <w:sz w:val="20"/>
                <w:szCs w:val="20"/>
              </w:rPr>
              <w:t xml:space="preserve"> </w:t>
            </w:r>
            <w:r w:rsidR="00E27F2F" w:rsidRPr="000A0270">
              <w:rPr>
                <w:rFonts w:ascii="Cambria" w:hAnsi="Cambria"/>
                <w:b/>
                <w:bCs/>
                <w:i/>
                <w:color w:val="FFFFFF" w:themeColor="background1"/>
                <w:sz w:val="20"/>
                <w:szCs w:val="20"/>
              </w:rPr>
              <w:t>Ratione loci</w:t>
            </w:r>
            <w:r w:rsidR="00E27F2F" w:rsidRPr="000A0270">
              <w:rPr>
                <w:rFonts w:ascii="Cambria" w:hAnsi="Cambria"/>
                <w:b/>
                <w:bCs/>
                <w:color w:val="FFFFFF" w:themeColor="background1"/>
                <w:sz w:val="20"/>
                <w:szCs w:val="20"/>
              </w:rPr>
              <w:t>:</w:t>
            </w:r>
          </w:p>
        </w:tc>
        <w:tc>
          <w:tcPr>
            <w:tcW w:w="5760" w:type="dxa"/>
            <w:vAlign w:val="center"/>
          </w:tcPr>
          <w:p w:rsidR="003239B8"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Yes</w:t>
            </w:r>
          </w:p>
        </w:tc>
      </w:tr>
      <w:tr w:rsidR="003239B8" w:rsidRPr="00046773" w:rsidTr="000A0270">
        <w:trPr>
          <w:cantSplit/>
        </w:trPr>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Pr>
                <w:rFonts w:ascii="Cambria" w:hAnsi="Cambria"/>
                <w:b/>
                <w:bCs/>
                <w:color w:val="FFFFFF" w:themeColor="background1"/>
                <w:sz w:val="20"/>
                <w:szCs w:val="20"/>
              </w:rPr>
              <w:t>Competence</w:t>
            </w:r>
            <w:r w:rsidRPr="000A0270">
              <w:rPr>
                <w:rFonts w:ascii="Cambria" w:hAnsi="Cambria"/>
                <w:b/>
                <w:bCs/>
                <w:i/>
                <w:color w:val="FFFFFF" w:themeColor="background1"/>
                <w:sz w:val="20"/>
                <w:szCs w:val="20"/>
              </w:rPr>
              <w:t xml:space="preserve"> </w:t>
            </w:r>
            <w:r w:rsidR="00E27F2F" w:rsidRPr="000A0270">
              <w:rPr>
                <w:rFonts w:ascii="Cambria" w:hAnsi="Cambria"/>
                <w:b/>
                <w:bCs/>
                <w:i/>
                <w:color w:val="FFFFFF" w:themeColor="background1"/>
                <w:sz w:val="20"/>
                <w:szCs w:val="20"/>
              </w:rPr>
              <w:t>Ratione temporis</w:t>
            </w:r>
            <w:r w:rsidR="00E27F2F" w:rsidRPr="000A0270">
              <w:rPr>
                <w:rFonts w:ascii="Cambria" w:hAnsi="Cambria"/>
                <w:b/>
                <w:bCs/>
                <w:color w:val="FFFFFF" w:themeColor="background1"/>
                <w:sz w:val="20"/>
                <w:szCs w:val="20"/>
              </w:rPr>
              <w:t>:</w:t>
            </w:r>
          </w:p>
        </w:tc>
        <w:tc>
          <w:tcPr>
            <w:tcW w:w="5760" w:type="dxa"/>
            <w:vAlign w:val="center"/>
          </w:tcPr>
          <w:p w:rsidR="003239B8"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Yes</w:t>
            </w:r>
          </w:p>
        </w:tc>
      </w:tr>
      <w:tr w:rsidR="008E129C" w:rsidRPr="00046773" w:rsidTr="000A0270">
        <w:trPr>
          <w:cantSplit/>
        </w:trPr>
        <w:tc>
          <w:tcPr>
            <w:tcW w:w="3600" w:type="dxa"/>
            <w:tcBorders>
              <w:top w:val="single" w:sz="6" w:space="0" w:color="auto"/>
              <w:bottom w:val="single" w:sz="6" w:space="0" w:color="auto"/>
            </w:tcBorders>
            <w:shd w:val="clear" w:color="auto" w:fill="67AF3C"/>
            <w:vAlign w:val="center"/>
          </w:tcPr>
          <w:p w:rsidR="008E129C" w:rsidRPr="000A0270" w:rsidRDefault="00405303" w:rsidP="000A0270">
            <w:pPr>
              <w:jc w:val="center"/>
              <w:rPr>
                <w:rFonts w:asciiTheme="majorHAnsi" w:hAnsiTheme="majorHAnsi"/>
                <w:b/>
                <w:bCs/>
                <w:color w:val="FFFFFF" w:themeColor="background1"/>
                <w:sz w:val="20"/>
                <w:szCs w:val="20"/>
              </w:rPr>
            </w:pPr>
            <w:r>
              <w:rPr>
                <w:rFonts w:ascii="Cambria" w:hAnsi="Cambria"/>
                <w:b/>
                <w:bCs/>
                <w:color w:val="FFFFFF" w:themeColor="background1"/>
                <w:sz w:val="20"/>
                <w:szCs w:val="20"/>
              </w:rPr>
              <w:t>Competence</w:t>
            </w:r>
            <w:r w:rsidRPr="000A0270">
              <w:rPr>
                <w:rFonts w:ascii="Cambria" w:hAnsi="Cambria"/>
                <w:b/>
                <w:bCs/>
                <w:i/>
                <w:color w:val="FFFFFF" w:themeColor="background1"/>
                <w:sz w:val="20"/>
                <w:szCs w:val="20"/>
              </w:rPr>
              <w:t xml:space="preserve"> </w:t>
            </w:r>
            <w:r w:rsidR="00E27F2F" w:rsidRPr="000A0270">
              <w:rPr>
                <w:rFonts w:ascii="Cambria" w:hAnsi="Cambria"/>
                <w:b/>
                <w:bCs/>
                <w:i/>
                <w:color w:val="FFFFFF" w:themeColor="background1"/>
                <w:sz w:val="20"/>
                <w:szCs w:val="20"/>
              </w:rPr>
              <w:t>Ratione materiae</w:t>
            </w:r>
            <w:r w:rsidR="00E27F2F" w:rsidRPr="000A0270">
              <w:rPr>
                <w:rFonts w:ascii="Cambria" w:hAnsi="Cambria"/>
                <w:b/>
                <w:bCs/>
                <w:color w:val="FFFFFF" w:themeColor="background1"/>
                <w:sz w:val="20"/>
                <w:szCs w:val="20"/>
              </w:rPr>
              <w:t>:</w:t>
            </w:r>
          </w:p>
        </w:tc>
        <w:tc>
          <w:tcPr>
            <w:tcW w:w="5760" w:type="dxa"/>
            <w:vAlign w:val="center"/>
          </w:tcPr>
          <w:p w:rsidR="008E129C" w:rsidRPr="00046773" w:rsidRDefault="008E129C" w:rsidP="008E129C">
            <w:pPr>
              <w:jc w:val="both"/>
              <w:rPr>
                <w:rFonts w:asciiTheme="majorHAnsi" w:hAnsiTheme="majorHAnsi"/>
                <w:bCs/>
                <w:sz w:val="20"/>
                <w:szCs w:val="20"/>
              </w:rPr>
            </w:pPr>
            <w:r w:rsidRPr="00046773">
              <w:rPr>
                <w:rFonts w:ascii="Cambria" w:hAnsi="Cambria"/>
                <w:bCs/>
                <w:sz w:val="20"/>
                <w:szCs w:val="20"/>
              </w:rPr>
              <w:t>Yes, American Convention (ratified September 25, 1992)</w:t>
            </w:r>
          </w:p>
        </w:tc>
      </w:tr>
    </w:tbl>
    <w:p w:rsidR="003239B8" w:rsidRPr="00046773" w:rsidRDefault="003239B8" w:rsidP="00314D9D">
      <w:pPr>
        <w:spacing w:before="200" w:after="200"/>
        <w:ind w:firstLine="720"/>
        <w:jc w:val="both"/>
        <w:rPr>
          <w:rFonts w:asciiTheme="majorHAnsi" w:hAnsiTheme="majorHAnsi"/>
          <w:b/>
          <w:bCs/>
          <w:sz w:val="20"/>
          <w:szCs w:val="20"/>
        </w:rPr>
      </w:pPr>
      <w:r w:rsidRPr="00046773">
        <w:rPr>
          <w:rFonts w:asciiTheme="majorHAnsi" w:hAnsiTheme="majorHAnsi"/>
          <w:b/>
          <w:bCs/>
          <w:sz w:val="20"/>
          <w:szCs w:val="20"/>
        </w:rPr>
        <w:t xml:space="preserve">IV. </w:t>
      </w:r>
      <w:r w:rsidRPr="00046773">
        <w:rPr>
          <w:rFonts w:asciiTheme="majorHAnsi" w:hAnsiTheme="majorHAnsi"/>
          <w:b/>
          <w:bCs/>
          <w:sz w:val="20"/>
          <w:szCs w:val="20"/>
        </w:rPr>
        <w:tab/>
      </w:r>
      <w:r w:rsidR="00405303" w:rsidRPr="00A94F56">
        <w:rPr>
          <w:rFonts w:asciiTheme="majorHAnsi" w:hAnsiTheme="majorHAnsi"/>
          <w:b/>
          <w:bCs/>
          <w:sz w:val="20"/>
          <w:szCs w:val="20"/>
        </w:rPr>
        <w:t xml:space="preserve">DUPLICATION OF PROCEDURES AND INTERNATIONAL </w:t>
      </w:r>
      <w:r w:rsidR="00405303" w:rsidRPr="00A94F56">
        <w:rPr>
          <w:rFonts w:asciiTheme="majorHAnsi" w:hAnsiTheme="majorHAnsi"/>
          <w:b/>
          <w:bCs/>
          <w:i/>
          <w:sz w:val="20"/>
          <w:szCs w:val="20"/>
        </w:rPr>
        <w:t>RES JUDICATA</w:t>
      </w:r>
      <w:r w:rsidR="00405303" w:rsidRPr="00A94F56">
        <w:rPr>
          <w:rFonts w:asciiTheme="majorHAnsi" w:hAnsiTheme="majorHAnsi"/>
          <w:b/>
          <w:bCs/>
          <w:sz w:val="20"/>
          <w:szCs w:val="20"/>
        </w:rPr>
        <w:t xml:space="preserve">, NATURE, </w:t>
      </w:r>
      <w:r w:rsidR="00405303" w:rsidRPr="00A94F56">
        <w:rPr>
          <w:rFonts w:asciiTheme="majorHAnsi" w:hAnsiTheme="majorHAnsi"/>
          <w:b/>
          <w:sz w:val="20"/>
          <w:szCs w:val="20"/>
        </w:rPr>
        <w:t>EXHAUSTION OF DOMESTIC REMEDIES, AND TIMELINESS</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46773" w:rsidTr="000A0270">
        <w:trPr>
          <w:cantSplit/>
        </w:trPr>
        <w:tc>
          <w:tcPr>
            <w:tcW w:w="3600" w:type="dxa"/>
            <w:tcBorders>
              <w:top w:val="single" w:sz="4" w:space="0" w:color="auto"/>
              <w:bottom w:val="single" w:sz="6" w:space="0" w:color="auto"/>
            </w:tcBorders>
            <w:shd w:val="clear" w:color="auto" w:fill="67AF3C"/>
            <w:vAlign w:val="center"/>
          </w:tcPr>
          <w:p w:rsidR="00EE00E9"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 xml:space="preserve">Duplication of procedures and international </w:t>
            </w:r>
            <w:r w:rsidRPr="00A94F56">
              <w:rPr>
                <w:rFonts w:asciiTheme="majorHAnsi" w:hAnsiTheme="majorHAnsi"/>
                <w:b/>
                <w:bCs/>
                <w:i/>
                <w:color w:val="FFFFFF" w:themeColor="background1"/>
                <w:sz w:val="20"/>
                <w:szCs w:val="20"/>
              </w:rPr>
              <w:t>res judicata</w:t>
            </w:r>
            <w:r w:rsidRPr="00A94F56">
              <w:rPr>
                <w:rFonts w:asciiTheme="majorHAnsi" w:hAnsiTheme="majorHAnsi"/>
                <w:b/>
                <w:bCs/>
                <w:color w:val="FFFFFF" w:themeColor="background1"/>
                <w:sz w:val="20"/>
                <w:szCs w:val="20"/>
              </w:rPr>
              <w:t>:</w:t>
            </w:r>
          </w:p>
        </w:tc>
        <w:tc>
          <w:tcPr>
            <w:tcW w:w="5760" w:type="dxa"/>
            <w:vAlign w:val="center"/>
          </w:tcPr>
          <w:p w:rsidR="00EE00E9"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N</w:t>
            </w:r>
            <w:r w:rsidR="005F3CE4" w:rsidRPr="00046773">
              <w:rPr>
                <w:rFonts w:asciiTheme="majorHAnsi" w:hAnsiTheme="majorHAnsi"/>
                <w:bCs/>
                <w:sz w:val="20"/>
                <w:szCs w:val="20"/>
              </w:rPr>
              <w:t>o</w:t>
            </w:r>
          </w:p>
        </w:tc>
      </w:tr>
      <w:tr w:rsidR="003239B8" w:rsidRPr="00046773" w:rsidTr="000A0270">
        <w:trPr>
          <w:cantSplit/>
        </w:trPr>
        <w:tc>
          <w:tcPr>
            <w:tcW w:w="3600" w:type="dxa"/>
            <w:tcBorders>
              <w:top w:val="single" w:sz="4"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i/>
                <w:color w:val="FFFFFF" w:themeColor="background1"/>
                <w:sz w:val="20"/>
                <w:szCs w:val="20"/>
              </w:rPr>
            </w:pPr>
            <w:r w:rsidRPr="00A94F56">
              <w:rPr>
                <w:rFonts w:asciiTheme="majorHAnsi" w:hAnsiTheme="majorHAnsi"/>
                <w:b/>
                <w:bCs/>
                <w:color w:val="FFFFFF" w:themeColor="background1"/>
                <w:sz w:val="20"/>
                <w:szCs w:val="20"/>
              </w:rPr>
              <w:t>Rights declared admissible</w:t>
            </w:r>
            <w:r w:rsidRPr="00A94F56">
              <w:rPr>
                <w:rFonts w:asciiTheme="majorHAnsi" w:hAnsiTheme="majorHAnsi"/>
                <w:b/>
                <w:bCs/>
                <w:i/>
                <w:color w:val="FFFFFF" w:themeColor="background1"/>
                <w:sz w:val="20"/>
                <w:szCs w:val="20"/>
              </w:rPr>
              <w:t>:</w:t>
            </w:r>
          </w:p>
        </w:tc>
        <w:tc>
          <w:tcPr>
            <w:tcW w:w="5760" w:type="dxa"/>
            <w:vAlign w:val="center"/>
          </w:tcPr>
          <w:p w:rsidR="003239B8" w:rsidRPr="00046773" w:rsidRDefault="008E129C" w:rsidP="00DA1503">
            <w:pPr>
              <w:jc w:val="both"/>
              <w:rPr>
                <w:rFonts w:asciiTheme="majorHAnsi" w:hAnsiTheme="majorHAnsi"/>
                <w:bCs/>
                <w:sz w:val="20"/>
                <w:szCs w:val="20"/>
              </w:rPr>
            </w:pPr>
            <w:r w:rsidRPr="00046773">
              <w:rPr>
                <w:rFonts w:asciiTheme="majorHAnsi" w:hAnsiTheme="majorHAnsi"/>
                <w:bCs/>
                <w:sz w:val="20"/>
                <w:szCs w:val="20"/>
              </w:rPr>
              <w:t>Articles</w:t>
            </w:r>
            <w:r w:rsidR="000727DA" w:rsidRPr="00046773">
              <w:rPr>
                <w:rFonts w:asciiTheme="majorHAnsi" w:hAnsiTheme="majorHAnsi"/>
                <w:bCs/>
                <w:sz w:val="20"/>
                <w:szCs w:val="20"/>
              </w:rPr>
              <w:t xml:space="preserve"> 4 (</w:t>
            </w:r>
            <w:r w:rsidRPr="00046773">
              <w:rPr>
                <w:rFonts w:asciiTheme="majorHAnsi" w:hAnsiTheme="majorHAnsi"/>
                <w:bCs/>
                <w:sz w:val="20"/>
                <w:szCs w:val="20"/>
              </w:rPr>
              <w:t>life</w:t>
            </w:r>
            <w:r w:rsidR="000727DA" w:rsidRPr="00046773">
              <w:rPr>
                <w:rFonts w:asciiTheme="majorHAnsi" w:hAnsiTheme="majorHAnsi"/>
                <w:bCs/>
                <w:sz w:val="20"/>
                <w:szCs w:val="20"/>
              </w:rPr>
              <w:t>)</w:t>
            </w:r>
            <w:r w:rsidR="0040328A" w:rsidRPr="00046773">
              <w:rPr>
                <w:rFonts w:asciiTheme="majorHAnsi" w:hAnsiTheme="majorHAnsi"/>
                <w:bCs/>
                <w:sz w:val="20"/>
                <w:szCs w:val="20"/>
              </w:rPr>
              <w:t>, 8 (</w:t>
            </w:r>
            <w:r w:rsidRPr="00046773">
              <w:rPr>
                <w:rFonts w:asciiTheme="majorHAnsi" w:hAnsiTheme="majorHAnsi"/>
                <w:bCs/>
                <w:sz w:val="20"/>
                <w:szCs w:val="20"/>
              </w:rPr>
              <w:t>judicial safeguards</w:t>
            </w:r>
            <w:r w:rsidR="0040328A" w:rsidRPr="00046773">
              <w:rPr>
                <w:rFonts w:asciiTheme="majorHAnsi" w:hAnsiTheme="majorHAnsi"/>
                <w:bCs/>
                <w:sz w:val="20"/>
                <w:szCs w:val="20"/>
              </w:rPr>
              <w:t>)</w:t>
            </w:r>
            <w:r w:rsidRPr="00046773">
              <w:rPr>
                <w:rFonts w:asciiTheme="majorHAnsi" w:hAnsiTheme="majorHAnsi"/>
                <w:bCs/>
                <w:sz w:val="20"/>
                <w:szCs w:val="20"/>
              </w:rPr>
              <w:t>, and</w:t>
            </w:r>
            <w:r w:rsidR="000727DA" w:rsidRPr="00046773">
              <w:rPr>
                <w:rFonts w:asciiTheme="majorHAnsi" w:hAnsiTheme="majorHAnsi"/>
                <w:bCs/>
                <w:sz w:val="20"/>
                <w:szCs w:val="20"/>
              </w:rPr>
              <w:t xml:space="preserve"> 25 (judicial</w:t>
            </w:r>
            <w:r w:rsidRPr="00046773">
              <w:rPr>
                <w:rFonts w:asciiTheme="majorHAnsi" w:hAnsiTheme="majorHAnsi"/>
                <w:bCs/>
                <w:sz w:val="20"/>
                <w:szCs w:val="20"/>
              </w:rPr>
              <w:t xml:space="preserve"> protection</w:t>
            </w:r>
            <w:r w:rsidR="000727DA" w:rsidRPr="00046773">
              <w:rPr>
                <w:rFonts w:asciiTheme="majorHAnsi" w:hAnsiTheme="majorHAnsi"/>
                <w:bCs/>
                <w:sz w:val="20"/>
                <w:szCs w:val="20"/>
              </w:rPr>
              <w:t xml:space="preserve">), </w:t>
            </w:r>
            <w:r w:rsidR="00DA1503" w:rsidRPr="00046773">
              <w:rPr>
                <w:rFonts w:asciiTheme="majorHAnsi" w:hAnsiTheme="majorHAnsi"/>
                <w:bCs/>
                <w:sz w:val="20"/>
                <w:szCs w:val="20"/>
              </w:rPr>
              <w:t>all in relation to A</w:t>
            </w:r>
            <w:r w:rsidR="000727DA" w:rsidRPr="00046773">
              <w:rPr>
                <w:rFonts w:asciiTheme="majorHAnsi" w:hAnsiTheme="majorHAnsi"/>
                <w:bCs/>
                <w:sz w:val="20"/>
                <w:szCs w:val="20"/>
              </w:rPr>
              <w:t>rti</w:t>
            </w:r>
            <w:r w:rsidR="00DA1503" w:rsidRPr="00046773">
              <w:rPr>
                <w:rFonts w:asciiTheme="majorHAnsi" w:hAnsiTheme="majorHAnsi"/>
                <w:bCs/>
                <w:sz w:val="20"/>
                <w:szCs w:val="20"/>
              </w:rPr>
              <w:t>cle</w:t>
            </w:r>
            <w:r w:rsidR="00883ABD" w:rsidRPr="00046773">
              <w:rPr>
                <w:rFonts w:asciiTheme="majorHAnsi" w:hAnsiTheme="majorHAnsi"/>
                <w:bCs/>
                <w:sz w:val="20"/>
                <w:szCs w:val="20"/>
              </w:rPr>
              <w:t>s</w:t>
            </w:r>
            <w:r w:rsidR="000727DA" w:rsidRPr="00046773">
              <w:rPr>
                <w:rFonts w:asciiTheme="majorHAnsi" w:hAnsiTheme="majorHAnsi"/>
                <w:bCs/>
                <w:sz w:val="20"/>
                <w:szCs w:val="20"/>
              </w:rPr>
              <w:t xml:space="preserve"> 1.1 </w:t>
            </w:r>
            <w:r w:rsidR="00DA1503" w:rsidRPr="00046773">
              <w:rPr>
                <w:rFonts w:asciiTheme="majorHAnsi" w:hAnsiTheme="majorHAnsi"/>
                <w:bCs/>
                <w:sz w:val="20"/>
                <w:szCs w:val="20"/>
              </w:rPr>
              <w:t>and</w:t>
            </w:r>
            <w:r w:rsidR="00883ABD" w:rsidRPr="00046773">
              <w:rPr>
                <w:rFonts w:asciiTheme="majorHAnsi" w:hAnsiTheme="majorHAnsi"/>
                <w:bCs/>
                <w:sz w:val="20"/>
                <w:szCs w:val="20"/>
              </w:rPr>
              <w:t xml:space="preserve"> 2 </w:t>
            </w:r>
            <w:r w:rsidR="00E27F2F">
              <w:rPr>
                <w:rFonts w:asciiTheme="majorHAnsi" w:hAnsiTheme="majorHAnsi"/>
                <w:bCs/>
                <w:sz w:val="20"/>
                <w:szCs w:val="20"/>
              </w:rPr>
              <w:t>of the</w:t>
            </w:r>
            <w:r w:rsidR="000727DA" w:rsidRPr="00046773">
              <w:rPr>
                <w:rFonts w:asciiTheme="majorHAnsi" w:hAnsiTheme="majorHAnsi"/>
                <w:bCs/>
                <w:sz w:val="20"/>
                <w:szCs w:val="20"/>
              </w:rPr>
              <w:t xml:space="preserve"> American</w:t>
            </w:r>
            <w:r w:rsidR="00DA1503" w:rsidRPr="00046773">
              <w:rPr>
                <w:rFonts w:asciiTheme="majorHAnsi" w:hAnsiTheme="majorHAnsi"/>
                <w:bCs/>
                <w:sz w:val="20"/>
                <w:szCs w:val="20"/>
              </w:rPr>
              <w:t xml:space="preserve"> Convention</w:t>
            </w:r>
          </w:p>
        </w:tc>
      </w:tr>
      <w:tr w:rsidR="003239B8" w:rsidRPr="00046773" w:rsidTr="000A0270">
        <w:trPr>
          <w:cantSplit/>
        </w:trPr>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Exhaustion of domestic remedies or applicability of an exception:</w:t>
            </w:r>
          </w:p>
        </w:tc>
        <w:tc>
          <w:tcPr>
            <w:tcW w:w="5760" w:type="dxa"/>
            <w:vAlign w:val="center"/>
          </w:tcPr>
          <w:p w:rsidR="003239B8"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Yes</w:t>
            </w:r>
          </w:p>
        </w:tc>
      </w:tr>
      <w:tr w:rsidR="003239B8" w:rsidRPr="00046773" w:rsidTr="000A0270">
        <w:trPr>
          <w:cantSplit/>
        </w:trPr>
        <w:tc>
          <w:tcPr>
            <w:tcW w:w="3600" w:type="dxa"/>
            <w:tcBorders>
              <w:top w:val="single" w:sz="6" w:space="0" w:color="auto"/>
              <w:bottom w:val="single" w:sz="6" w:space="0" w:color="auto"/>
            </w:tcBorders>
            <w:shd w:val="clear" w:color="auto" w:fill="67AF3C"/>
            <w:vAlign w:val="center"/>
          </w:tcPr>
          <w:p w:rsidR="003239B8" w:rsidRPr="000A0270" w:rsidRDefault="00405303" w:rsidP="000A0270">
            <w:pPr>
              <w:jc w:val="center"/>
              <w:rPr>
                <w:rFonts w:asciiTheme="majorHAnsi" w:hAnsiTheme="majorHAnsi"/>
                <w:b/>
                <w:bCs/>
                <w:color w:val="FFFFFF" w:themeColor="background1"/>
                <w:sz w:val="20"/>
                <w:szCs w:val="20"/>
              </w:rPr>
            </w:pPr>
            <w:r w:rsidRPr="00A94F56">
              <w:rPr>
                <w:rFonts w:asciiTheme="majorHAnsi" w:hAnsiTheme="majorHAnsi"/>
                <w:b/>
                <w:bCs/>
                <w:color w:val="FFFFFF" w:themeColor="background1"/>
                <w:sz w:val="20"/>
                <w:szCs w:val="20"/>
              </w:rPr>
              <w:t>Timeliness:</w:t>
            </w:r>
          </w:p>
        </w:tc>
        <w:tc>
          <w:tcPr>
            <w:tcW w:w="5760" w:type="dxa"/>
            <w:vAlign w:val="center"/>
          </w:tcPr>
          <w:p w:rsidR="003239B8" w:rsidRPr="00046773" w:rsidRDefault="008E129C" w:rsidP="00314D9D">
            <w:pPr>
              <w:jc w:val="both"/>
              <w:rPr>
                <w:rFonts w:asciiTheme="majorHAnsi" w:hAnsiTheme="majorHAnsi"/>
                <w:bCs/>
                <w:sz w:val="20"/>
                <w:szCs w:val="20"/>
              </w:rPr>
            </w:pPr>
            <w:r w:rsidRPr="00046773">
              <w:rPr>
                <w:rFonts w:asciiTheme="majorHAnsi" w:hAnsiTheme="majorHAnsi"/>
                <w:bCs/>
                <w:sz w:val="20"/>
                <w:szCs w:val="20"/>
              </w:rPr>
              <w:t>Yes</w:t>
            </w:r>
          </w:p>
        </w:tc>
      </w:tr>
    </w:tbl>
    <w:p w:rsidR="003239B8" w:rsidRPr="00046773" w:rsidRDefault="00223A29" w:rsidP="00314D9D">
      <w:pPr>
        <w:spacing w:before="200" w:after="200"/>
        <w:ind w:firstLine="720"/>
        <w:jc w:val="both"/>
        <w:rPr>
          <w:rFonts w:asciiTheme="majorHAnsi" w:hAnsiTheme="majorHAnsi"/>
          <w:b/>
          <w:sz w:val="20"/>
          <w:szCs w:val="20"/>
        </w:rPr>
      </w:pPr>
      <w:r w:rsidRPr="00046773">
        <w:rPr>
          <w:rFonts w:asciiTheme="majorHAnsi" w:hAnsiTheme="majorHAnsi"/>
          <w:b/>
          <w:sz w:val="20"/>
          <w:szCs w:val="20"/>
        </w:rPr>
        <w:t xml:space="preserve">V. </w:t>
      </w:r>
      <w:r w:rsidRPr="00046773">
        <w:rPr>
          <w:rFonts w:asciiTheme="majorHAnsi" w:hAnsiTheme="majorHAnsi"/>
          <w:b/>
          <w:sz w:val="20"/>
          <w:szCs w:val="20"/>
        </w:rPr>
        <w:tab/>
      </w:r>
      <w:r w:rsidR="00E27F2F" w:rsidRPr="00140A2F">
        <w:rPr>
          <w:rFonts w:asciiTheme="majorHAnsi" w:hAnsiTheme="majorHAnsi"/>
          <w:b/>
          <w:sz w:val="20"/>
          <w:szCs w:val="20"/>
        </w:rPr>
        <w:t>ALLEGED FACTS</w:t>
      </w:r>
    </w:p>
    <w:p w:rsidR="00A11E44" w:rsidRPr="00046773" w:rsidRDefault="00192E0F"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Sonia Kodaira (hereinafter, “Ms. Kodaira”) and the organization Conectas Direitos Humanos (Portuguese: Human Rights</w:t>
      </w:r>
      <w:r w:rsidR="00DF38D8" w:rsidRPr="00046773">
        <w:rPr>
          <w:rFonts w:ascii="Cambria" w:hAnsi="Cambria"/>
          <w:sz w:val="20"/>
          <w:szCs w:val="20"/>
        </w:rPr>
        <w:t xml:space="preserve"> Connection; hereinafter, “Conectas”</w:t>
      </w:r>
      <w:r w:rsidRPr="00046773">
        <w:rPr>
          <w:rFonts w:ascii="Cambria" w:hAnsi="Cambria"/>
          <w:sz w:val="20"/>
          <w:szCs w:val="20"/>
        </w:rPr>
        <w:t>)</w:t>
      </w:r>
      <w:r w:rsidR="00DF38D8" w:rsidRPr="00046773">
        <w:rPr>
          <w:rFonts w:ascii="Cambria" w:hAnsi="Cambria"/>
          <w:sz w:val="20"/>
          <w:szCs w:val="20"/>
        </w:rPr>
        <w:t>, both plaintiffs, state that Gerson Mendonça de Freitas Filho (hereinafter, “Mr. Freitas” or “alleged victim”) was killed</w:t>
      </w:r>
      <w:r w:rsidR="00DF38D8" w:rsidRPr="00046773">
        <w:rPr>
          <w:rStyle w:val="FootnoteReference"/>
          <w:rFonts w:ascii="Cambria" w:hAnsi="Cambria"/>
          <w:sz w:val="20"/>
          <w:szCs w:val="20"/>
        </w:rPr>
        <w:footnoteReference w:id="5"/>
      </w:r>
      <w:r w:rsidR="00DE7C96" w:rsidRPr="00046773">
        <w:rPr>
          <w:rFonts w:ascii="Cambria" w:hAnsi="Cambria"/>
          <w:sz w:val="20"/>
          <w:szCs w:val="20"/>
        </w:rPr>
        <w:t xml:space="preserve"> in the course of the use of</w:t>
      </w:r>
      <w:r w:rsidR="006A410A" w:rsidRPr="00046773">
        <w:rPr>
          <w:rFonts w:ascii="Cambria" w:hAnsi="Cambria"/>
          <w:sz w:val="20"/>
          <w:szCs w:val="20"/>
        </w:rPr>
        <w:t xml:space="preserve"> deadly</w:t>
      </w:r>
      <w:r w:rsidR="00DE7C96" w:rsidRPr="00046773">
        <w:rPr>
          <w:rFonts w:ascii="Cambria" w:hAnsi="Cambria"/>
          <w:sz w:val="20"/>
          <w:szCs w:val="20"/>
        </w:rPr>
        <w:t xml:space="preserve"> force as part of a police operation seeking to deter two men who had taken him hostage.  They claim that a lack of effective recourse to hold government agents to account fo</w:t>
      </w:r>
      <w:r w:rsidR="00E27F2F">
        <w:rPr>
          <w:rFonts w:ascii="Cambria" w:hAnsi="Cambria"/>
          <w:sz w:val="20"/>
          <w:szCs w:val="20"/>
        </w:rPr>
        <w:t>r such a crime creates a system</w:t>
      </w:r>
      <w:r w:rsidR="00DE7C96" w:rsidRPr="00046773">
        <w:rPr>
          <w:rFonts w:ascii="Cambria" w:hAnsi="Cambria"/>
          <w:sz w:val="20"/>
          <w:szCs w:val="20"/>
        </w:rPr>
        <w:t>ic and structural environment of impunity.</w:t>
      </w:r>
    </w:p>
    <w:p w:rsidR="00C12C99" w:rsidRPr="00046773" w:rsidRDefault="00DE7C96"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lastRenderedPageBreak/>
        <w:t xml:space="preserve">The plaintiffs </w:t>
      </w:r>
      <w:r w:rsidR="00CA73C3" w:rsidRPr="00046773">
        <w:rPr>
          <w:rFonts w:ascii="Cambria" w:hAnsi="Cambria"/>
          <w:sz w:val="20"/>
          <w:szCs w:val="20"/>
        </w:rPr>
        <w:t>state that on March 17, 2006, Mr. Freitas was the victim of a kidnapping, the goal of which was to make cash withdrawals from automatic teller machines (a form of kidnapping known in Brazil as “lightning kidnapping”) in the South Zone of the city of São Paulo.  They claim that someone told the police</w:t>
      </w:r>
      <w:r w:rsidR="00B22A7A" w:rsidRPr="00046773">
        <w:rPr>
          <w:rFonts w:ascii="Cambria" w:hAnsi="Cambria"/>
          <w:sz w:val="20"/>
          <w:szCs w:val="20"/>
        </w:rPr>
        <w:t xml:space="preserve"> and that, after a chase which lasted approximately half an hour, the car carrying the alleged victim and the two kidnappers was surrounded by 4 squad cars and 10 armed police officers.</w:t>
      </w:r>
      <w:r w:rsidR="00B22A7A" w:rsidRPr="00046773">
        <w:rPr>
          <w:rStyle w:val="FootnoteReference"/>
          <w:rFonts w:ascii="Cambria" w:hAnsi="Cambria"/>
          <w:sz w:val="20"/>
          <w:szCs w:val="20"/>
        </w:rPr>
        <w:footnoteReference w:id="6"/>
      </w:r>
      <w:r w:rsidR="004F6387" w:rsidRPr="00046773">
        <w:rPr>
          <w:rFonts w:ascii="Cambria" w:hAnsi="Cambria"/>
          <w:sz w:val="20"/>
          <w:szCs w:val="20"/>
        </w:rPr>
        <w:t xml:space="preserve">  They state that in a shootout that ensued between the kidnappers and the police, Mr. Freitas was killed </w:t>
      </w:r>
      <w:r w:rsidR="001E2A66">
        <w:rPr>
          <w:rFonts w:ascii="Cambria" w:hAnsi="Cambria"/>
          <w:sz w:val="20"/>
          <w:szCs w:val="20"/>
        </w:rPr>
        <w:t>while lying down restraine</w:t>
      </w:r>
      <w:r w:rsidR="00B2753E" w:rsidRPr="00046773">
        <w:rPr>
          <w:rFonts w:ascii="Cambria" w:hAnsi="Cambria"/>
          <w:sz w:val="20"/>
          <w:szCs w:val="20"/>
        </w:rPr>
        <w:t>d i</w:t>
      </w:r>
      <w:r w:rsidR="004F6387" w:rsidRPr="00046773">
        <w:rPr>
          <w:rFonts w:ascii="Cambria" w:hAnsi="Cambria"/>
          <w:sz w:val="20"/>
          <w:szCs w:val="20"/>
        </w:rPr>
        <w:t>n the</w:t>
      </w:r>
      <w:r w:rsidR="00B2753E" w:rsidRPr="00046773">
        <w:rPr>
          <w:rFonts w:ascii="Cambria" w:hAnsi="Cambria"/>
          <w:sz w:val="20"/>
          <w:szCs w:val="20"/>
        </w:rPr>
        <w:t xml:space="preserve"> back seat of the vehicle.  The</w:t>
      </w:r>
      <w:r w:rsidR="001E2A66">
        <w:rPr>
          <w:rFonts w:ascii="Cambria" w:hAnsi="Cambria"/>
          <w:sz w:val="20"/>
          <w:szCs w:val="20"/>
        </w:rPr>
        <w:t xml:space="preserve"> plaintiffs claim that the</w:t>
      </w:r>
      <w:r w:rsidR="00B2753E" w:rsidRPr="00046773">
        <w:rPr>
          <w:rFonts w:ascii="Cambria" w:hAnsi="Cambria"/>
          <w:sz w:val="20"/>
          <w:szCs w:val="20"/>
        </w:rPr>
        <w:t xml:space="preserve"> officers fired approximately 35 shots, 17 of which hit the car in which the alleged victim was being held.  The shot which hit the alleged victim was fired by Officer Haroldo Amando Agra.  Afterward, forensics evidence confirmed that the shots which hit the car were fired by the police and not by the kidnappers.</w:t>
      </w:r>
    </w:p>
    <w:p w:rsidR="004340E6" w:rsidRPr="00046773" w:rsidRDefault="00AB5D48"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On April 28, 2006, the Office of the Public P</w:t>
      </w:r>
      <w:r w:rsidR="001E2A66">
        <w:rPr>
          <w:rFonts w:ascii="Cambria" w:hAnsi="Cambria"/>
          <w:sz w:val="20"/>
          <w:szCs w:val="20"/>
        </w:rPr>
        <w:t xml:space="preserve">rosecutor filed charges and </w:t>
      </w:r>
      <w:r w:rsidRPr="00046773">
        <w:rPr>
          <w:rFonts w:ascii="Cambria" w:hAnsi="Cambria"/>
          <w:sz w:val="20"/>
          <w:szCs w:val="20"/>
        </w:rPr>
        <w:t xml:space="preserve"> opened a criminal investigation into the death</w:t>
      </w:r>
      <w:r w:rsidR="00EE2D51">
        <w:rPr>
          <w:rFonts w:ascii="Cambria" w:hAnsi="Cambria"/>
          <w:sz w:val="20"/>
          <w:szCs w:val="20"/>
        </w:rPr>
        <w:t>s</w:t>
      </w:r>
      <w:r w:rsidRPr="00046773">
        <w:rPr>
          <w:rFonts w:ascii="Cambria" w:hAnsi="Cambria"/>
          <w:sz w:val="20"/>
          <w:szCs w:val="20"/>
        </w:rPr>
        <w:t xml:space="preserve"> of</w:t>
      </w:r>
      <w:r w:rsidR="001E2A66">
        <w:rPr>
          <w:rFonts w:ascii="Cambria" w:hAnsi="Cambria"/>
          <w:sz w:val="20"/>
          <w:szCs w:val="20"/>
        </w:rPr>
        <w:t xml:space="preserve"> </w:t>
      </w:r>
      <w:r w:rsidRPr="00046773">
        <w:rPr>
          <w:rFonts w:ascii="Cambria" w:hAnsi="Cambria"/>
          <w:sz w:val="20"/>
          <w:szCs w:val="20"/>
        </w:rPr>
        <w:t>the alleged victim and of one of the kidnappers, in addition to bringing a charge of kidnapping against the other.  They point out that the criminal case followed its regular course and that several experts concluded that the police had acted disproportionately, citing as evidence the exc</w:t>
      </w:r>
      <w:r w:rsidR="006A410A" w:rsidRPr="00046773">
        <w:rPr>
          <w:rFonts w:ascii="Cambria" w:hAnsi="Cambria"/>
          <w:sz w:val="20"/>
          <w:szCs w:val="20"/>
        </w:rPr>
        <w:t>essive and abusive use of</w:t>
      </w:r>
      <w:r w:rsidRPr="00046773">
        <w:rPr>
          <w:rFonts w:ascii="Cambria" w:hAnsi="Cambria"/>
          <w:sz w:val="20"/>
          <w:szCs w:val="20"/>
        </w:rPr>
        <w:t xml:space="preserve"> </w:t>
      </w:r>
      <w:r w:rsidR="006A410A" w:rsidRPr="00046773">
        <w:rPr>
          <w:rFonts w:ascii="Cambria" w:hAnsi="Cambria"/>
          <w:sz w:val="20"/>
          <w:szCs w:val="20"/>
        </w:rPr>
        <w:t xml:space="preserve">deadly </w:t>
      </w:r>
      <w:r w:rsidRPr="00046773">
        <w:rPr>
          <w:rFonts w:ascii="Cambria" w:hAnsi="Cambria"/>
          <w:sz w:val="20"/>
          <w:szCs w:val="20"/>
        </w:rPr>
        <w:t>force during the standoff.  In the face of this, the Office of the Public Prosecutor (hereinafter, MP, according to its Portuguese</w:t>
      </w:r>
      <w:r w:rsidR="005E16A2" w:rsidRPr="00046773">
        <w:rPr>
          <w:rFonts w:ascii="Cambria" w:hAnsi="Cambria"/>
          <w:sz w:val="20"/>
          <w:szCs w:val="20"/>
        </w:rPr>
        <w:t xml:space="preserve"> acronym</w:t>
      </w:r>
      <w:r w:rsidRPr="00046773">
        <w:rPr>
          <w:rFonts w:ascii="Cambria" w:hAnsi="Cambria"/>
          <w:sz w:val="20"/>
          <w:szCs w:val="20"/>
        </w:rPr>
        <w:t>)</w:t>
      </w:r>
      <w:r w:rsidR="005E16A2" w:rsidRPr="00046773">
        <w:rPr>
          <w:rFonts w:ascii="Cambria" w:hAnsi="Cambria"/>
          <w:sz w:val="20"/>
          <w:szCs w:val="20"/>
        </w:rPr>
        <w:t xml:space="preserve"> requested that the police officers face a jury trial.  However, on Apr</w:t>
      </w:r>
      <w:r w:rsidR="001E2A66">
        <w:rPr>
          <w:rFonts w:ascii="Cambria" w:hAnsi="Cambria"/>
          <w:sz w:val="20"/>
          <w:szCs w:val="20"/>
        </w:rPr>
        <w:t>il 25, 2007, the accused, inclu</w:t>
      </w:r>
      <w:r w:rsidR="005E16A2" w:rsidRPr="00046773">
        <w:rPr>
          <w:rFonts w:ascii="Cambria" w:hAnsi="Cambria"/>
          <w:sz w:val="20"/>
          <w:szCs w:val="20"/>
        </w:rPr>
        <w:t xml:space="preserve">ding the police officer who fired the shot, were acquitted on the grounds of two legal exemptions </w:t>
      </w:r>
      <w:r w:rsidR="00C734D1" w:rsidRPr="00046773">
        <w:rPr>
          <w:rFonts w:ascii="Cambria" w:hAnsi="Cambria"/>
          <w:sz w:val="20"/>
          <w:szCs w:val="20"/>
        </w:rPr>
        <w:t>extending</w:t>
      </w:r>
      <w:r w:rsidR="005E16A2" w:rsidRPr="00046773">
        <w:rPr>
          <w:rFonts w:ascii="Cambria" w:hAnsi="Cambria"/>
          <w:sz w:val="20"/>
          <w:szCs w:val="20"/>
        </w:rPr>
        <w:t xml:space="preserve"> immunity</w:t>
      </w:r>
      <w:r w:rsidR="00C734D1" w:rsidRPr="00046773">
        <w:rPr>
          <w:rFonts w:ascii="Cambria" w:hAnsi="Cambria"/>
          <w:sz w:val="20"/>
          <w:szCs w:val="20"/>
        </w:rPr>
        <w:t xml:space="preserve"> as provided for in the Penal Code:</w:t>
      </w:r>
      <w:r w:rsidR="004D5D4E" w:rsidRPr="00046773">
        <w:rPr>
          <w:rStyle w:val="FootnoteReference"/>
          <w:rFonts w:ascii="Cambria" w:hAnsi="Cambria"/>
          <w:sz w:val="20"/>
          <w:szCs w:val="20"/>
        </w:rPr>
        <w:footnoteReference w:id="7"/>
      </w:r>
      <w:r w:rsidR="00474922" w:rsidRPr="00046773">
        <w:rPr>
          <w:rFonts w:ascii="Cambria" w:hAnsi="Cambria"/>
          <w:sz w:val="20"/>
          <w:szCs w:val="20"/>
        </w:rPr>
        <w:t xml:space="preserve"> acting in self-defense</w:t>
      </w:r>
      <w:r w:rsidR="00EE2D51">
        <w:rPr>
          <w:rFonts w:ascii="Cambria" w:hAnsi="Cambria"/>
          <w:sz w:val="20"/>
          <w:szCs w:val="20"/>
        </w:rPr>
        <w:t>,</w:t>
      </w:r>
      <w:r w:rsidR="00474922" w:rsidRPr="00046773">
        <w:rPr>
          <w:rFonts w:ascii="Cambria" w:hAnsi="Cambria"/>
          <w:sz w:val="20"/>
          <w:szCs w:val="20"/>
        </w:rPr>
        <w:t xml:space="preserve"> and</w:t>
      </w:r>
      <w:r w:rsidR="00EE2D51">
        <w:rPr>
          <w:rFonts w:ascii="Cambria" w:hAnsi="Cambria"/>
          <w:sz w:val="20"/>
          <w:szCs w:val="20"/>
        </w:rPr>
        <w:t xml:space="preserve"> in</w:t>
      </w:r>
      <w:r w:rsidR="00474922" w:rsidRPr="00046773">
        <w:rPr>
          <w:rFonts w:ascii="Cambria" w:hAnsi="Cambria"/>
          <w:sz w:val="20"/>
          <w:szCs w:val="20"/>
        </w:rPr>
        <w:t xml:space="preserve"> strict compliance with lawful dutie</w:t>
      </w:r>
      <w:r w:rsidR="00980118" w:rsidRPr="00046773">
        <w:rPr>
          <w:rFonts w:ascii="Cambria" w:hAnsi="Cambria"/>
          <w:sz w:val="20"/>
          <w:szCs w:val="20"/>
        </w:rPr>
        <w:t>s.  The MP filed a motion for</w:t>
      </w:r>
      <w:r w:rsidR="00474922" w:rsidRPr="00046773">
        <w:rPr>
          <w:rFonts w:ascii="Cambria" w:hAnsi="Cambria"/>
          <w:sz w:val="20"/>
          <w:szCs w:val="20"/>
        </w:rPr>
        <w:t xml:space="preserve"> appeal </w:t>
      </w:r>
      <w:r w:rsidR="00474922" w:rsidRPr="00046773">
        <w:rPr>
          <w:rFonts w:ascii="Cambria" w:hAnsi="Cambria"/>
          <w:i/>
          <w:sz w:val="20"/>
          <w:szCs w:val="20"/>
        </w:rPr>
        <w:t>in sensu sricto</w:t>
      </w:r>
      <w:r w:rsidR="00474922" w:rsidRPr="00046773">
        <w:rPr>
          <w:rFonts w:ascii="Cambria" w:hAnsi="Cambria"/>
          <w:sz w:val="20"/>
          <w:szCs w:val="20"/>
        </w:rPr>
        <w:t xml:space="preserve"> on July 10, </w:t>
      </w:r>
      <w:r w:rsidR="001E2A66">
        <w:rPr>
          <w:rFonts w:ascii="Cambria" w:hAnsi="Cambria"/>
          <w:sz w:val="20"/>
          <w:szCs w:val="20"/>
        </w:rPr>
        <w:t>2007, seeking to remove the</w:t>
      </w:r>
      <w:r w:rsidR="00474922" w:rsidRPr="00046773">
        <w:rPr>
          <w:rFonts w:ascii="Cambria" w:hAnsi="Cambria"/>
          <w:sz w:val="20"/>
          <w:szCs w:val="20"/>
        </w:rPr>
        <w:t xml:space="preserve"> immunity and prove the punishable excessive use of force based on the facts of the case.  The motion for appeal was denied</w:t>
      </w:r>
      <w:r w:rsidR="00980118" w:rsidRPr="00046773">
        <w:rPr>
          <w:rFonts w:ascii="Cambria" w:hAnsi="Cambria"/>
          <w:sz w:val="20"/>
          <w:szCs w:val="20"/>
        </w:rPr>
        <w:t xml:space="preserve"> on April 10, 2008.</w:t>
      </w:r>
      <w:r w:rsidR="009C476F" w:rsidRPr="00046773">
        <w:rPr>
          <w:rFonts w:ascii="Cambria" w:hAnsi="Cambria"/>
          <w:sz w:val="20"/>
          <w:szCs w:val="20"/>
        </w:rPr>
        <w:t xml:space="preserve">  To the plaintiffs, the outcome in the criminal case represents a classic </w:t>
      </w:r>
      <w:r w:rsidR="00EE2D51">
        <w:rPr>
          <w:rFonts w:ascii="Cambria" w:hAnsi="Cambria"/>
          <w:sz w:val="20"/>
          <w:szCs w:val="20"/>
        </w:rPr>
        <w:t>example</w:t>
      </w:r>
      <w:r w:rsidR="001E2A66">
        <w:rPr>
          <w:rFonts w:ascii="Cambria" w:hAnsi="Cambria"/>
          <w:sz w:val="20"/>
          <w:szCs w:val="20"/>
        </w:rPr>
        <w:t xml:space="preserve"> of c</w:t>
      </w:r>
      <w:r w:rsidR="00EE2D51">
        <w:rPr>
          <w:rFonts w:ascii="Cambria" w:hAnsi="Cambria"/>
          <w:sz w:val="20"/>
          <w:szCs w:val="20"/>
        </w:rPr>
        <w:t>ronyism</w:t>
      </w:r>
      <w:r w:rsidR="001E2A66">
        <w:rPr>
          <w:rFonts w:ascii="Cambria" w:hAnsi="Cambria"/>
          <w:sz w:val="20"/>
          <w:szCs w:val="20"/>
        </w:rPr>
        <w:t xml:space="preserve"> between</w:t>
      </w:r>
      <w:r w:rsidR="009C476F" w:rsidRPr="00046773">
        <w:rPr>
          <w:rFonts w:ascii="Cambria" w:hAnsi="Cambria"/>
          <w:sz w:val="20"/>
          <w:szCs w:val="20"/>
        </w:rPr>
        <w:t xml:space="preserve"> the judicial branch and the police in Brazil in cases </w:t>
      </w:r>
      <w:r w:rsidR="008D08B9">
        <w:rPr>
          <w:rFonts w:ascii="Cambria" w:hAnsi="Cambria"/>
          <w:sz w:val="20"/>
          <w:szCs w:val="20"/>
        </w:rPr>
        <w:t>concern</w:t>
      </w:r>
      <w:r w:rsidR="009C476F" w:rsidRPr="00046773">
        <w:rPr>
          <w:rFonts w:ascii="Cambria" w:hAnsi="Cambria"/>
          <w:sz w:val="20"/>
          <w:szCs w:val="20"/>
        </w:rPr>
        <w:t>ing the use of excessive</w:t>
      </w:r>
      <w:r w:rsidR="006A410A" w:rsidRPr="00046773">
        <w:rPr>
          <w:rFonts w:ascii="Cambria" w:hAnsi="Cambria"/>
          <w:sz w:val="20"/>
          <w:szCs w:val="20"/>
        </w:rPr>
        <w:t xml:space="preserve"> deadly</w:t>
      </w:r>
      <w:r w:rsidR="009C476F" w:rsidRPr="00046773">
        <w:rPr>
          <w:rFonts w:ascii="Cambria" w:hAnsi="Cambria"/>
          <w:sz w:val="20"/>
          <w:szCs w:val="20"/>
        </w:rPr>
        <w:t xml:space="preserve"> force.</w:t>
      </w:r>
    </w:p>
    <w:p w:rsidR="0015214B" w:rsidRPr="00046773" w:rsidRDefault="007B7C77"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On the administrative side of things, they stated that on the day after the events took place, a police probe was launched</w:t>
      </w:r>
      <w:r w:rsidR="00E476AF" w:rsidRPr="00046773">
        <w:rPr>
          <w:rFonts w:ascii="Cambria" w:hAnsi="Cambria"/>
          <w:sz w:val="20"/>
          <w:szCs w:val="20"/>
        </w:rPr>
        <w:t xml:space="preserve"> by virtue of the depositions taken from all of the police officers involved, as well as from witnesses.  The report published on May 16, 2006 also did not identify any transgressions on the par</w:t>
      </w:r>
      <w:r w:rsidR="008D08B9">
        <w:rPr>
          <w:rFonts w:ascii="Cambria" w:hAnsi="Cambria"/>
          <w:sz w:val="20"/>
          <w:szCs w:val="20"/>
        </w:rPr>
        <w:t>t of the police officers.  The police colonel c</w:t>
      </w:r>
      <w:r w:rsidR="00E476AF" w:rsidRPr="00046773">
        <w:rPr>
          <w:rFonts w:ascii="Cambria" w:hAnsi="Cambria"/>
          <w:sz w:val="20"/>
          <w:szCs w:val="20"/>
        </w:rPr>
        <w:t>ommander for the metropolitan area of São Paulo accepted the report on May 29, 2006</w:t>
      </w:r>
      <w:r w:rsidR="00252904" w:rsidRPr="00046773">
        <w:rPr>
          <w:rFonts w:ascii="Cambria" w:hAnsi="Cambria"/>
          <w:sz w:val="20"/>
          <w:szCs w:val="20"/>
        </w:rPr>
        <w:t xml:space="preserve"> and remitted the findings to a military tribunal within the judicial branch, which declined to hear the case on the grounds that the subject matter properly fell within the jurisdiction of the civilian courts.</w:t>
      </w:r>
      <w:r w:rsidR="00765C9E" w:rsidRPr="00046773">
        <w:rPr>
          <w:rStyle w:val="FootnoteReference"/>
          <w:rFonts w:ascii="Cambria" w:hAnsi="Cambria"/>
          <w:sz w:val="20"/>
          <w:szCs w:val="20"/>
        </w:rPr>
        <w:footnoteReference w:id="8"/>
      </w:r>
      <w:r w:rsidR="00BE600B" w:rsidRPr="00046773">
        <w:rPr>
          <w:rFonts w:ascii="Cambria" w:hAnsi="Cambria"/>
          <w:sz w:val="20"/>
          <w:szCs w:val="20"/>
        </w:rPr>
        <w:t xml:space="preserve">  Lastly, they  state that no decision has been rendered and no punishment has been assigned in the administrative sphere, thereby reinforcing the sense of impunity for the pe</w:t>
      </w:r>
      <w:r w:rsidR="008D08B9">
        <w:rPr>
          <w:rFonts w:ascii="Cambria" w:hAnsi="Cambria"/>
          <w:sz w:val="20"/>
          <w:szCs w:val="20"/>
        </w:rPr>
        <w:t xml:space="preserve">rson responsible for the death </w:t>
      </w:r>
      <w:r w:rsidR="00BE600B" w:rsidRPr="00046773">
        <w:rPr>
          <w:rFonts w:ascii="Cambria" w:hAnsi="Cambria"/>
          <w:sz w:val="20"/>
          <w:szCs w:val="20"/>
        </w:rPr>
        <w:t>o</w:t>
      </w:r>
      <w:r w:rsidR="008D08B9">
        <w:rPr>
          <w:rFonts w:ascii="Cambria" w:hAnsi="Cambria"/>
          <w:sz w:val="20"/>
          <w:szCs w:val="20"/>
        </w:rPr>
        <w:t>f</w:t>
      </w:r>
      <w:r w:rsidR="00BE600B" w:rsidRPr="00046773">
        <w:rPr>
          <w:rFonts w:ascii="Cambria" w:hAnsi="Cambria"/>
          <w:sz w:val="20"/>
          <w:szCs w:val="20"/>
        </w:rPr>
        <w:t xml:space="preserve"> the alleged victim.</w:t>
      </w:r>
    </w:p>
    <w:p w:rsidR="00DC75DD" w:rsidRPr="00046773" w:rsidRDefault="00E9000A"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sidRPr="00046773">
        <w:rPr>
          <w:rFonts w:ascii="Cambria" w:hAnsi="Cambria"/>
          <w:sz w:val="20"/>
          <w:szCs w:val="20"/>
        </w:rPr>
        <w:t>The government, on the other hand</w:t>
      </w:r>
      <w:r w:rsidR="005173D3" w:rsidRPr="00046773">
        <w:rPr>
          <w:rFonts w:ascii="Cambria" w:hAnsi="Cambria"/>
          <w:sz w:val="20"/>
          <w:szCs w:val="20"/>
        </w:rPr>
        <w:t xml:space="preserve">, argues that on the day of the events in question, the competent authorities took depositions from all of the police officers involved and from the </w:t>
      </w:r>
      <w:r w:rsidR="00A23DEA">
        <w:rPr>
          <w:rFonts w:ascii="Cambria" w:hAnsi="Cambria"/>
          <w:sz w:val="20"/>
          <w:szCs w:val="20"/>
        </w:rPr>
        <w:t>bystanders who witnessed the</w:t>
      </w:r>
      <w:r w:rsidR="005173D3" w:rsidRPr="00046773">
        <w:rPr>
          <w:rFonts w:ascii="Cambria" w:hAnsi="Cambria"/>
          <w:sz w:val="20"/>
          <w:szCs w:val="20"/>
        </w:rPr>
        <w:t xml:space="preserve"> incident.  It argues that on March 18, 2006, the police probe was launched and the investigation concluded that there was insufficient evidence</w:t>
      </w:r>
      <w:r w:rsidR="00BC2234" w:rsidRPr="00046773">
        <w:rPr>
          <w:rFonts w:ascii="Cambria" w:hAnsi="Cambria"/>
          <w:sz w:val="20"/>
          <w:szCs w:val="20"/>
        </w:rPr>
        <w:t xml:space="preserve"> of wrongdoing on which to base any disciplinary actions whatsoever to be taken agains</w:t>
      </w:r>
      <w:r w:rsidR="005F1367" w:rsidRPr="00046773">
        <w:rPr>
          <w:rFonts w:ascii="Cambria" w:hAnsi="Cambria"/>
          <w:sz w:val="20"/>
          <w:szCs w:val="20"/>
        </w:rPr>
        <w:t xml:space="preserve">t the officers.  It argues that, furthermore, back </w:t>
      </w:r>
      <w:r w:rsidR="00BC2234" w:rsidRPr="00046773">
        <w:rPr>
          <w:rFonts w:ascii="Cambria" w:hAnsi="Cambria"/>
          <w:sz w:val="20"/>
          <w:szCs w:val="20"/>
        </w:rPr>
        <w:t>in 2006, a criminal case was opened</w:t>
      </w:r>
      <w:r w:rsidR="005F1367" w:rsidRPr="00046773">
        <w:rPr>
          <w:rFonts w:ascii="Cambria" w:hAnsi="Cambria"/>
          <w:sz w:val="20"/>
          <w:szCs w:val="20"/>
        </w:rPr>
        <w:t xml:space="preserve"> with the aim of getting justice for the kidnapping and for the deaths of the alleged victim and kidnapper.  Following the regular course of action and the exhaustive analysis of forensic experts and other evidence, the government maintains that the judge ruled in favor for Haroldo Amando Agra, as well as for the the other police officers involved in the incident, on the understanding that they had acted in strict </w:t>
      </w:r>
      <w:r w:rsidR="005F1367" w:rsidRPr="00046773">
        <w:rPr>
          <w:rFonts w:ascii="Cambria" w:hAnsi="Cambria"/>
          <w:sz w:val="20"/>
          <w:szCs w:val="20"/>
        </w:rPr>
        <w:lastRenderedPageBreak/>
        <w:t xml:space="preserve">compliance with their legal duties and in self-defense.  Following a motion for an appeal </w:t>
      </w:r>
      <w:r w:rsidR="003071E4" w:rsidRPr="00046773">
        <w:rPr>
          <w:rFonts w:ascii="Cambria" w:hAnsi="Cambria"/>
          <w:sz w:val="20"/>
          <w:szCs w:val="20"/>
        </w:rPr>
        <w:t xml:space="preserve">entered by the MP, the </w:t>
      </w:r>
      <w:r w:rsidR="00466469" w:rsidRPr="00046773">
        <w:rPr>
          <w:rFonts w:ascii="Cambria" w:hAnsi="Cambria"/>
          <w:sz w:val="20"/>
          <w:szCs w:val="20"/>
        </w:rPr>
        <w:t>ruling was upheld by the appeals court on April 10, 2008.</w:t>
      </w:r>
    </w:p>
    <w:p w:rsidR="003239B8" w:rsidRPr="00046773" w:rsidRDefault="003239B8" w:rsidP="00466469">
      <w:pPr>
        <w:spacing w:before="240" w:after="240"/>
        <w:ind w:firstLine="720"/>
        <w:jc w:val="both"/>
        <w:rPr>
          <w:rFonts w:asciiTheme="majorHAnsi" w:hAnsiTheme="majorHAnsi"/>
          <w:sz w:val="20"/>
          <w:szCs w:val="20"/>
        </w:rPr>
      </w:pPr>
      <w:r w:rsidRPr="00046773">
        <w:rPr>
          <w:rFonts w:asciiTheme="majorHAnsi" w:eastAsia="Cambria" w:hAnsiTheme="majorHAnsi" w:cs="Cambria"/>
          <w:b/>
          <w:bCs/>
          <w:color w:val="000000"/>
          <w:sz w:val="20"/>
          <w:szCs w:val="20"/>
          <w:u w:color="000000"/>
          <w:lang w:eastAsia="es-ES"/>
        </w:rPr>
        <w:t>VI.</w:t>
      </w:r>
      <w:r w:rsidRPr="00046773">
        <w:rPr>
          <w:rFonts w:asciiTheme="majorHAnsi" w:eastAsia="Cambria" w:hAnsiTheme="majorHAnsi" w:cs="Cambria"/>
          <w:b/>
          <w:bCs/>
          <w:color w:val="000000"/>
          <w:sz w:val="20"/>
          <w:szCs w:val="20"/>
          <w:u w:color="000000"/>
          <w:lang w:eastAsia="es-ES"/>
        </w:rPr>
        <w:tab/>
      </w:r>
      <w:r w:rsidR="00466469" w:rsidRPr="00046773">
        <w:rPr>
          <w:rFonts w:asciiTheme="majorHAnsi" w:eastAsia="Cambria" w:hAnsiTheme="majorHAnsi" w:cs="Cambria"/>
          <w:b/>
          <w:bCs/>
          <w:color w:val="000000"/>
          <w:sz w:val="20"/>
          <w:szCs w:val="20"/>
          <w:u w:color="000000"/>
          <w:lang w:eastAsia="es-ES"/>
        </w:rPr>
        <w:t xml:space="preserve">ANALYSIS OF EXHAUSTION OF INTERNAL RECOURSES AND </w:t>
      </w:r>
      <w:r w:rsidR="00CF47A6" w:rsidRPr="00A94F56">
        <w:rPr>
          <w:rFonts w:asciiTheme="majorHAnsi" w:hAnsiTheme="majorHAnsi"/>
          <w:b/>
          <w:sz w:val="20"/>
          <w:szCs w:val="20"/>
        </w:rPr>
        <w:t>TIMELINESS OF THE PETITION</w:t>
      </w:r>
    </w:p>
    <w:p w:rsidR="003239B8" w:rsidRPr="00046773" w:rsidRDefault="00CE729E"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With respect to the exhaustion of internal recourses, the plaintiffs</w:t>
      </w:r>
      <w:r w:rsidR="00BC2D66" w:rsidRPr="00046773">
        <w:rPr>
          <w:rFonts w:ascii="Cambria" w:hAnsi="Cambria"/>
          <w:sz w:val="20"/>
          <w:szCs w:val="20"/>
        </w:rPr>
        <w:t xml:space="preserve"> claim that the final decision in the case, rendered on April 10, 2008, left them with no further alternative venue in which to retry it on its merits.  Nevertheless, they stress that the climate of impunity surrounding police conduct in Brazil cannot be ignored, and for this reason, there is no such thing as an impartial judgment </w:t>
      </w:r>
      <w:r w:rsidR="00ED1D4C" w:rsidRPr="00046773">
        <w:rPr>
          <w:rFonts w:ascii="Cambria" w:hAnsi="Cambria"/>
          <w:sz w:val="20"/>
          <w:szCs w:val="20"/>
        </w:rPr>
        <w:t>coming out of</w:t>
      </w:r>
      <w:r w:rsidR="00BC2D66" w:rsidRPr="00046773">
        <w:rPr>
          <w:rFonts w:ascii="Cambria" w:hAnsi="Cambria"/>
          <w:sz w:val="20"/>
          <w:szCs w:val="20"/>
        </w:rPr>
        <w:t xml:space="preserve"> the judicial branch in cases like that involving the alleged victim.</w:t>
      </w:r>
      <w:r w:rsidR="00ED1D4C" w:rsidRPr="00046773">
        <w:rPr>
          <w:rFonts w:ascii="Cambria" w:hAnsi="Cambria"/>
          <w:sz w:val="20"/>
          <w:szCs w:val="20"/>
        </w:rPr>
        <w:t xml:space="preserve">  Furthermore, they argue that whatever disciplinary actions might or might not be imposed on the judges if the case were to be brought before the National Justice Council would still be inadequate to make them whole in the face of such violations of the American Convention.</w:t>
      </w:r>
    </w:p>
    <w:p w:rsidR="00B1143D" w:rsidRPr="00046773" w:rsidRDefault="008F6EB6"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The government, nevertheless, maintains that internal recourses were not exhausted</w:t>
      </w:r>
      <w:r w:rsidR="007921D7" w:rsidRPr="00046773">
        <w:rPr>
          <w:rFonts w:ascii="Cambria" w:hAnsi="Cambria"/>
          <w:sz w:val="20"/>
          <w:szCs w:val="20"/>
        </w:rPr>
        <w:t xml:space="preserve"> and that the supposed impartiality of members of the judicial branch was not </w:t>
      </w:r>
      <w:r w:rsidR="000A746A">
        <w:rPr>
          <w:rFonts w:ascii="Cambria" w:hAnsi="Cambria"/>
          <w:sz w:val="20"/>
          <w:szCs w:val="20"/>
        </w:rPr>
        <w:t>called into question by means</w:t>
      </w:r>
      <w:r w:rsidR="007921D7" w:rsidRPr="00046773">
        <w:rPr>
          <w:rFonts w:ascii="Cambria" w:hAnsi="Cambria"/>
          <w:sz w:val="20"/>
          <w:szCs w:val="20"/>
        </w:rPr>
        <w:t xml:space="preserve"> of any internal procedure.  It states that the plaintiffs could have gone to the National Justice Council regarding the possibility of opening an administrative disciplinary process (PAD, according to its Portuguese acronym), but they did not do so.  Furthermore, it argues that the requests filed by the plaintiffs before the Inter-American Commission were not filed internally as they could have been, for ex</w:t>
      </w:r>
      <w:r w:rsidR="002E3AE7" w:rsidRPr="00046773">
        <w:rPr>
          <w:rFonts w:ascii="Cambria" w:hAnsi="Cambria"/>
          <w:sz w:val="20"/>
          <w:szCs w:val="20"/>
        </w:rPr>
        <w:t>ample, in the case of a claim for compensation to correct for</w:t>
      </w:r>
      <w:r w:rsidR="007921D7" w:rsidRPr="00046773">
        <w:rPr>
          <w:rFonts w:ascii="Cambria" w:hAnsi="Cambria"/>
          <w:sz w:val="20"/>
          <w:szCs w:val="20"/>
        </w:rPr>
        <w:t xml:space="preserve"> alleged hedonic damages for pain and suffering</w:t>
      </w:r>
      <w:r w:rsidR="002E3AE7" w:rsidRPr="00046773">
        <w:rPr>
          <w:rFonts w:ascii="Cambria" w:hAnsi="Cambria"/>
          <w:sz w:val="20"/>
          <w:szCs w:val="20"/>
        </w:rPr>
        <w:t xml:space="preserve"> and mental anguish suffered</w:t>
      </w:r>
      <w:r w:rsidR="00553223" w:rsidRPr="00046773">
        <w:rPr>
          <w:rFonts w:ascii="Cambria" w:hAnsi="Cambria"/>
          <w:sz w:val="20"/>
          <w:szCs w:val="20"/>
        </w:rPr>
        <w:t xml:space="preserve"> by Ms. Kodaira, </w:t>
      </w:r>
      <w:r w:rsidR="002E3AE7" w:rsidRPr="00046773">
        <w:rPr>
          <w:rFonts w:ascii="Cambria" w:hAnsi="Cambria"/>
          <w:sz w:val="20"/>
          <w:szCs w:val="20"/>
        </w:rPr>
        <w:t>the alleged victim</w:t>
      </w:r>
      <w:r w:rsidR="00553223" w:rsidRPr="00046773">
        <w:rPr>
          <w:rFonts w:ascii="Cambria" w:hAnsi="Cambria"/>
          <w:sz w:val="20"/>
          <w:szCs w:val="20"/>
        </w:rPr>
        <w:t>’s partner</w:t>
      </w:r>
      <w:r w:rsidR="007921D7" w:rsidRPr="00046773">
        <w:rPr>
          <w:rFonts w:ascii="Cambria" w:hAnsi="Cambria"/>
          <w:sz w:val="20"/>
          <w:szCs w:val="20"/>
        </w:rPr>
        <w:t>.</w:t>
      </w:r>
    </w:p>
    <w:p w:rsidR="00586B5A" w:rsidRPr="00046773" w:rsidRDefault="000538BF"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 xml:space="preserve">The rule on exhaustion of internal recourses provided for in </w:t>
      </w:r>
      <w:r w:rsidR="00D92541" w:rsidRPr="00046773">
        <w:rPr>
          <w:rFonts w:ascii="Cambria" w:hAnsi="Cambria"/>
          <w:sz w:val="20"/>
          <w:szCs w:val="20"/>
        </w:rPr>
        <w:t xml:space="preserve">Article 46.1.a of the American Convention establishes </w:t>
      </w:r>
      <w:r w:rsidR="008B4634" w:rsidRPr="00046773">
        <w:rPr>
          <w:rFonts w:ascii="Cambria" w:hAnsi="Cambria"/>
          <w:sz w:val="20"/>
          <w:szCs w:val="20"/>
        </w:rPr>
        <w:t>that recourse should first be made to the normally available and proper internal channels of the judicial system.  Such recourses should be sufficiently secure, both formally and materially –that is, they should be accessible and efficient for resolving the matter under dispute.  On this point, the Commission has already established that the exhaustion of internal recourses need not mean that the alleged victims be necessarily required to exhaust all recourses which may be available to them.  As such, if the alleged victim brought the case through means of one of the valid and appropriate venues under domestic law and t</w:t>
      </w:r>
      <w:r w:rsidR="000A746A">
        <w:rPr>
          <w:rFonts w:ascii="Cambria" w:hAnsi="Cambria"/>
          <w:sz w:val="20"/>
          <w:szCs w:val="20"/>
        </w:rPr>
        <w:t>he government had the opportuni</w:t>
      </w:r>
      <w:r w:rsidR="008B4634" w:rsidRPr="00046773">
        <w:rPr>
          <w:rFonts w:ascii="Cambria" w:hAnsi="Cambria"/>
          <w:sz w:val="20"/>
          <w:szCs w:val="20"/>
        </w:rPr>
        <w:t>ty to remedy the matter under its jurisdiction, the requirement</w:t>
      </w:r>
      <w:r w:rsidR="00545E63" w:rsidRPr="00046773">
        <w:rPr>
          <w:rFonts w:ascii="Cambria" w:hAnsi="Cambria"/>
          <w:sz w:val="20"/>
          <w:szCs w:val="20"/>
        </w:rPr>
        <w:t xml:space="preserve"> under international law has been satisfied.</w:t>
      </w:r>
      <w:r w:rsidR="00835499" w:rsidRPr="00046773">
        <w:rPr>
          <w:rStyle w:val="FootnoteReference"/>
          <w:rFonts w:ascii="Cambria" w:hAnsi="Cambria" w:cs="Calibri"/>
          <w:sz w:val="20"/>
          <w:szCs w:val="20"/>
        </w:rPr>
        <w:footnoteReference w:id="9"/>
      </w:r>
    </w:p>
    <w:p w:rsidR="00F55F3D" w:rsidRPr="00046773" w:rsidRDefault="00134DD5"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Based on this understanding, the Commission finds that the criminal case brought against the police officers involved in the incident should be considered and adequate pursuit of recourse and that such recourse was, therefore, duly exhausted internally.</w:t>
      </w:r>
      <w:r w:rsidR="008C0F99" w:rsidRPr="00046773">
        <w:rPr>
          <w:rFonts w:ascii="Cambria" w:hAnsi="Cambria"/>
          <w:sz w:val="20"/>
          <w:szCs w:val="20"/>
        </w:rPr>
        <w:t xml:space="preserve">  It stresses that, by </w:t>
      </w:r>
      <w:r w:rsidR="00B82E60">
        <w:rPr>
          <w:rFonts w:ascii="Cambria" w:hAnsi="Cambria"/>
          <w:sz w:val="20"/>
          <w:szCs w:val="20"/>
        </w:rPr>
        <w:t>agreeing to hear</w:t>
      </w:r>
      <w:r w:rsidR="008C0F99" w:rsidRPr="00046773">
        <w:rPr>
          <w:rFonts w:ascii="Cambria" w:hAnsi="Cambria"/>
          <w:sz w:val="20"/>
          <w:szCs w:val="20"/>
        </w:rPr>
        <w:t xml:space="preserve"> the present petition, this should not be construed as calling into question the jurisdictional competence of the domestic judicial authorities.  Its aim is, rather, to analyze the merits of the case to </w:t>
      </w:r>
      <w:r w:rsidR="00B82E60">
        <w:rPr>
          <w:rFonts w:ascii="Cambria" w:hAnsi="Cambria"/>
          <w:sz w:val="20"/>
          <w:szCs w:val="20"/>
        </w:rPr>
        <w:t>see whether the internal judicia</w:t>
      </w:r>
      <w:r w:rsidR="008E7501" w:rsidRPr="00046773">
        <w:rPr>
          <w:rFonts w:ascii="Cambria" w:hAnsi="Cambria"/>
          <w:sz w:val="20"/>
          <w:szCs w:val="20"/>
        </w:rPr>
        <w:t>l processes complied with the guar</w:t>
      </w:r>
      <w:r w:rsidR="00B82E60">
        <w:rPr>
          <w:rFonts w:ascii="Cambria" w:hAnsi="Cambria"/>
          <w:sz w:val="20"/>
          <w:szCs w:val="20"/>
        </w:rPr>
        <w:t>antees of due process and judic</w:t>
      </w:r>
      <w:r w:rsidR="008E7501" w:rsidRPr="00046773">
        <w:rPr>
          <w:rFonts w:ascii="Cambria" w:hAnsi="Cambria"/>
          <w:sz w:val="20"/>
          <w:szCs w:val="20"/>
        </w:rPr>
        <w:t>ial protection, as well as offering due guarantees of access to justice for the alleged victim under the terms of the American Convention.</w:t>
      </w:r>
    </w:p>
    <w:p w:rsidR="00F97337" w:rsidRPr="000A0270" w:rsidRDefault="008515FA" w:rsidP="000A02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Cambria" w:hAnsi="Cambria"/>
          <w:sz w:val="20"/>
          <w:szCs w:val="20"/>
        </w:rPr>
      </w:pPr>
      <w:r w:rsidRPr="00046773">
        <w:rPr>
          <w:rFonts w:ascii="Cambria" w:hAnsi="Cambria"/>
          <w:sz w:val="20"/>
          <w:szCs w:val="20"/>
        </w:rPr>
        <w:t>As far as the need to file suits and complaints with non-judicial institutions such as, for example, the</w:t>
      </w:r>
      <w:r w:rsidR="004231C3">
        <w:rPr>
          <w:rFonts w:ascii="Cambria" w:hAnsi="Cambria"/>
          <w:sz w:val="20"/>
          <w:szCs w:val="20"/>
        </w:rPr>
        <w:t xml:space="preserve"> National Council</w:t>
      </w:r>
      <w:r w:rsidRPr="00046773">
        <w:rPr>
          <w:rFonts w:ascii="Cambria" w:hAnsi="Cambria"/>
          <w:sz w:val="20"/>
          <w:szCs w:val="20"/>
        </w:rPr>
        <w:t xml:space="preserve"> of Justi</w:t>
      </w:r>
      <w:r w:rsidR="004231C3">
        <w:rPr>
          <w:rFonts w:ascii="Cambria" w:hAnsi="Cambria"/>
          <w:sz w:val="20"/>
          <w:szCs w:val="20"/>
        </w:rPr>
        <w:t>ce, it finds that these initiat</w:t>
      </w:r>
      <w:r w:rsidRPr="00046773">
        <w:rPr>
          <w:rFonts w:ascii="Cambria" w:hAnsi="Cambria"/>
          <w:sz w:val="20"/>
          <w:szCs w:val="20"/>
        </w:rPr>
        <w:t>ives do not constitute adequate recourses in the face of the human rights violations being claimed</w:t>
      </w:r>
      <w:r w:rsidR="00BF0E15" w:rsidRPr="00046773">
        <w:rPr>
          <w:rStyle w:val="FootnoteReference"/>
          <w:rFonts w:ascii="Cambria" w:hAnsi="Cambria"/>
          <w:sz w:val="20"/>
          <w:szCs w:val="20"/>
        </w:rPr>
        <w:footnoteReference w:id="10"/>
      </w:r>
      <w:r w:rsidR="004D624B" w:rsidRPr="00046773">
        <w:rPr>
          <w:rFonts w:ascii="Cambria" w:hAnsi="Cambria"/>
          <w:sz w:val="20"/>
          <w:szCs w:val="20"/>
        </w:rPr>
        <w:t xml:space="preserve"> and need not, therefore, be exhausted.  Lastly, with regard to the need to bring a civil suit for damages domestically, the Commission finds that in cases of grave violations of human rights, the alleged victims </w:t>
      </w:r>
      <w:r w:rsidR="00B76866" w:rsidRPr="00046773">
        <w:rPr>
          <w:rFonts w:ascii="Cambria" w:hAnsi="Cambria"/>
          <w:sz w:val="20"/>
          <w:szCs w:val="20"/>
        </w:rPr>
        <w:t>need not seek redr</w:t>
      </w:r>
      <w:r w:rsidR="000A0270">
        <w:rPr>
          <w:rFonts w:ascii="Cambria" w:hAnsi="Cambria"/>
          <w:sz w:val="20"/>
          <w:szCs w:val="20"/>
        </w:rPr>
        <w:t xml:space="preserve">ess in civil court for damages before </w:t>
      </w:r>
      <w:r w:rsidR="00B76866" w:rsidRPr="00046773">
        <w:rPr>
          <w:rFonts w:ascii="Cambria" w:hAnsi="Cambria"/>
          <w:sz w:val="20"/>
          <w:szCs w:val="20"/>
        </w:rPr>
        <w:t>applying to the Inter-American system, bearing in mind that this type of remedy does not relate to the initial request presented in the petition.</w:t>
      </w:r>
      <w:r w:rsidR="00F97337" w:rsidRPr="00046773">
        <w:rPr>
          <w:rStyle w:val="FootnoteReference"/>
          <w:rFonts w:ascii="Cambria" w:hAnsi="Cambria"/>
          <w:sz w:val="20"/>
          <w:szCs w:val="20"/>
        </w:rPr>
        <w:footnoteReference w:id="11"/>
      </w:r>
      <w:r w:rsidR="000A0270">
        <w:rPr>
          <w:rFonts w:ascii="Cambria" w:hAnsi="Cambria"/>
          <w:sz w:val="20"/>
          <w:szCs w:val="20"/>
        </w:rPr>
        <w:t xml:space="preserve">  That is, a civil action would not redress the alleged impunity </w:t>
      </w:r>
      <w:r w:rsidR="00852E37" w:rsidRPr="000A0270">
        <w:rPr>
          <w:rFonts w:ascii="Cambria" w:hAnsi="Cambria"/>
          <w:sz w:val="20"/>
          <w:szCs w:val="20"/>
        </w:rPr>
        <w:t xml:space="preserve">of police </w:t>
      </w:r>
      <w:r w:rsidR="00852E37" w:rsidRPr="000A0270">
        <w:rPr>
          <w:rFonts w:ascii="Cambria" w:hAnsi="Cambria"/>
          <w:sz w:val="20"/>
          <w:szCs w:val="20"/>
        </w:rPr>
        <w:lastRenderedPageBreak/>
        <w:t>officers in this case and, beyond the case itself, the structural and systemic impunity</w:t>
      </w:r>
      <w:r w:rsidR="00C927EA" w:rsidRPr="000A0270">
        <w:rPr>
          <w:rFonts w:ascii="Cambria" w:hAnsi="Cambria"/>
          <w:sz w:val="20"/>
          <w:szCs w:val="20"/>
        </w:rPr>
        <w:t xml:space="preserve"> surrounding the use of excessive deadly force</w:t>
      </w:r>
      <w:r w:rsidR="006A410A" w:rsidRPr="000A0270">
        <w:rPr>
          <w:rFonts w:ascii="Cambria" w:hAnsi="Cambria"/>
          <w:sz w:val="20"/>
          <w:szCs w:val="20"/>
        </w:rPr>
        <w:t xml:space="preserve"> on the part of security forces in Brazil.</w:t>
      </w:r>
      <w:r w:rsidR="0065281D" w:rsidRPr="00046773">
        <w:rPr>
          <w:rStyle w:val="FootnoteReference"/>
          <w:rFonts w:ascii="Cambria" w:hAnsi="Cambria"/>
          <w:sz w:val="20"/>
          <w:szCs w:val="20"/>
        </w:rPr>
        <w:footnoteReference w:id="12"/>
      </w:r>
    </w:p>
    <w:p w:rsidR="00DC4545" w:rsidRPr="00046773" w:rsidRDefault="00B2320A"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sidRPr="00046773">
        <w:rPr>
          <w:rFonts w:ascii="Cambria" w:hAnsi="Cambria"/>
          <w:sz w:val="20"/>
          <w:szCs w:val="20"/>
        </w:rPr>
        <w:t>Given all of the foregoing, the Commission finds that the present petition meets the requirements outlined in Article 46.1 of the American Convention</w:t>
      </w:r>
      <w:r w:rsidR="00DC4545" w:rsidRPr="00046773">
        <w:rPr>
          <w:rFonts w:ascii="Cambria" w:hAnsi="Cambria"/>
          <w:sz w:val="20"/>
          <w:szCs w:val="20"/>
        </w:rPr>
        <w:t>,</w:t>
      </w:r>
      <w:r w:rsidRPr="00046773">
        <w:rPr>
          <w:rFonts w:ascii="Cambria" w:hAnsi="Cambria"/>
          <w:sz w:val="20"/>
          <w:szCs w:val="20"/>
        </w:rPr>
        <w:t xml:space="preserve"> keeping in mind that internal recourses were exhausted with the ruling of April 10, 2008 and that the pe</w:t>
      </w:r>
      <w:r w:rsidR="00A12B00">
        <w:rPr>
          <w:rFonts w:ascii="Cambria" w:hAnsi="Cambria"/>
          <w:sz w:val="20"/>
          <w:szCs w:val="20"/>
        </w:rPr>
        <w:t>t</w:t>
      </w:r>
      <w:r w:rsidRPr="00046773">
        <w:rPr>
          <w:rFonts w:ascii="Cambria" w:hAnsi="Cambria"/>
          <w:sz w:val="20"/>
          <w:szCs w:val="20"/>
        </w:rPr>
        <w:t>ition was filed by the plaintiff within the six-month timeframe.</w:t>
      </w:r>
    </w:p>
    <w:p w:rsidR="003239B8" w:rsidRPr="00046773" w:rsidRDefault="003239B8" w:rsidP="00314D9D">
      <w:pPr>
        <w:pStyle w:val="ListParagraph"/>
        <w:spacing w:after="200"/>
        <w:jc w:val="both"/>
        <w:rPr>
          <w:rFonts w:asciiTheme="majorHAnsi" w:hAnsiTheme="majorHAnsi"/>
          <w:b/>
          <w:sz w:val="20"/>
          <w:szCs w:val="20"/>
        </w:rPr>
      </w:pPr>
      <w:r w:rsidRPr="00046773">
        <w:rPr>
          <w:rFonts w:asciiTheme="majorHAnsi" w:hAnsiTheme="majorHAnsi"/>
          <w:b/>
          <w:bCs/>
          <w:sz w:val="20"/>
          <w:szCs w:val="20"/>
        </w:rPr>
        <w:t>VII.</w:t>
      </w:r>
      <w:r w:rsidRPr="00046773">
        <w:rPr>
          <w:rFonts w:asciiTheme="majorHAnsi" w:hAnsiTheme="majorHAnsi"/>
          <w:b/>
          <w:bCs/>
          <w:sz w:val="20"/>
          <w:szCs w:val="20"/>
        </w:rPr>
        <w:tab/>
      </w:r>
      <w:r w:rsidR="00D24B29" w:rsidRPr="00046773">
        <w:rPr>
          <w:rFonts w:asciiTheme="majorHAnsi" w:hAnsiTheme="majorHAnsi"/>
          <w:b/>
          <w:bCs/>
          <w:sz w:val="20"/>
          <w:szCs w:val="20"/>
        </w:rPr>
        <w:t xml:space="preserve">ANALYSIS OF </w:t>
      </w:r>
      <w:r w:rsidR="00CF47A6" w:rsidRPr="00A94F56">
        <w:rPr>
          <w:rFonts w:asciiTheme="majorHAnsi" w:hAnsiTheme="majorHAnsi" w:cs="Times New Roman"/>
          <w:b/>
          <w:bCs/>
          <w:noProof/>
          <w:color w:val="auto"/>
          <w:sz w:val="20"/>
          <w:szCs w:val="20"/>
        </w:rPr>
        <w:t>COLORABLE</w:t>
      </w:r>
      <w:r w:rsidR="00CF47A6" w:rsidRPr="00A94F56">
        <w:rPr>
          <w:rFonts w:asciiTheme="majorHAnsi" w:hAnsiTheme="majorHAnsi" w:cs="Times New Roman"/>
          <w:b/>
          <w:bCs/>
          <w:color w:val="auto"/>
          <w:sz w:val="20"/>
          <w:szCs w:val="20"/>
        </w:rPr>
        <w:t xml:space="preserve"> CLAIM</w:t>
      </w:r>
    </w:p>
    <w:p w:rsidR="00A11E44" w:rsidRPr="00046773" w:rsidRDefault="00A12B00"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Pr>
          <w:rFonts w:ascii="Cambria" w:hAnsi="Cambria"/>
          <w:sz w:val="20"/>
          <w:szCs w:val="20"/>
        </w:rPr>
        <w:t>Keeping in mind</w:t>
      </w:r>
      <w:r w:rsidR="00D24B29" w:rsidRPr="00046773">
        <w:rPr>
          <w:rFonts w:ascii="Cambria" w:hAnsi="Cambria"/>
          <w:sz w:val="20"/>
          <w:szCs w:val="20"/>
        </w:rPr>
        <w:t xml:space="preserve"> the questions of fact and of law laid out by the parties and the nature of the matter in question, the Commission finds that, if proven, the facts described could constitute possible violations of Articles 4 (life</w:t>
      </w:r>
      <w:r w:rsidR="00D640F0" w:rsidRPr="00046773">
        <w:rPr>
          <w:rFonts w:ascii="Cambria" w:hAnsi="Cambria"/>
          <w:sz w:val="20"/>
          <w:szCs w:val="20"/>
        </w:rPr>
        <w:t>)</w:t>
      </w:r>
      <w:r w:rsidR="0040328A" w:rsidRPr="00046773">
        <w:rPr>
          <w:rFonts w:ascii="Cambria" w:hAnsi="Cambria"/>
          <w:sz w:val="20"/>
          <w:szCs w:val="20"/>
        </w:rPr>
        <w:t>, 8 (</w:t>
      </w:r>
      <w:r w:rsidR="00D24B29" w:rsidRPr="00046773">
        <w:rPr>
          <w:rFonts w:ascii="Cambria" w:hAnsi="Cambria"/>
          <w:sz w:val="20"/>
          <w:szCs w:val="20"/>
        </w:rPr>
        <w:t>judicial safeguards</w:t>
      </w:r>
      <w:r w:rsidR="0040328A" w:rsidRPr="00046773">
        <w:rPr>
          <w:rFonts w:ascii="Cambria" w:hAnsi="Cambria"/>
          <w:sz w:val="20"/>
          <w:szCs w:val="20"/>
        </w:rPr>
        <w:t>)</w:t>
      </w:r>
      <w:r w:rsidR="00D24B29" w:rsidRPr="00046773">
        <w:rPr>
          <w:rFonts w:ascii="Cambria" w:hAnsi="Cambria"/>
          <w:sz w:val="20"/>
          <w:szCs w:val="20"/>
        </w:rPr>
        <w:t>, and</w:t>
      </w:r>
      <w:r w:rsidR="00D640F0" w:rsidRPr="00046773">
        <w:rPr>
          <w:rFonts w:ascii="Cambria" w:hAnsi="Cambria"/>
          <w:sz w:val="20"/>
          <w:szCs w:val="20"/>
        </w:rPr>
        <w:t xml:space="preserve"> 25 (judicial</w:t>
      </w:r>
      <w:r w:rsidR="00D24B29" w:rsidRPr="00046773">
        <w:rPr>
          <w:rFonts w:ascii="Cambria" w:hAnsi="Cambria"/>
          <w:sz w:val="20"/>
          <w:szCs w:val="20"/>
        </w:rPr>
        <w:t xml:space="preserve"> protection</w:t>
      </w:r>
      <w:r w:rsidR="00D640F0" w:rsidRPr="00046773">
        <w:rPr>
          <w:rFonts w:ascii="Cambria" w:hAnsi="Cambria"/>
          <w:sz w:val="20"/>
          <w:szCs w:val="20"/>
        </w:rPr>
        <w:t xml:space="preserve">), </w:t>
      </w:r>
      <w:r w:rsidR="000A0270">
        <w:rPr>
          <w:rFonts w:ascii="Cambria" w:hAnsi="Cambria"/>
          <w:sz w:val="20"/>
          <w:szCs w:val="20"/>
        </w:rPr>
        <w:t>all</w:t>
      </w:r>
      <w:r w:rsidR="00C83A59" w:rsidRPr="00046773">
        <w:rPr>
          <w:rFonts w:ascii="Cambria" w:hAnsi="Cambria"/>
          <w:sz w:val="20"/>
          <w:szCs w:val="20"/>
        </w:rPr>
        <w:t xml:space="preserve"> in relation to A</w:t>
      </w:r>
      <w:r w:rsidR="00D640F0" w:rsidRPr="00046773">
        <w:rPr>
          <w:rFonts w:ascii="Cambria" w:hAnsi="Cambria"/>
          <w:sz w:val="20"/>
          <w:szCs w:val="20"/>
        </w:rPr>
        <w:t>rti</w:t>
      </w:r>
      <w:r w:rsidR="00C83A59" w:rsidRPr="00046773">
        <w:rPr>
          <w:rFonts w:ascii="Cambria" w:hAnsi="Cambria"/>
          <w:sz w:val="20"/>
          <w:szCs w:val="20"/>
        </w:rPr>
        <w:t>cle</w:t>
      </w:r>
      <w:r w:rsidR="00D640F0" w:rsidRPr="00046773">
        <w:rPr>
          <w:rFonts w:ascii="Cambria" w:hAnsi="Cambria"/>
          <w:sz w:val="20"/>
          <w:szCs w:val="20"/>
        </w:rPr>
        <w:t xml:space="preserve"> 1.1 (</w:t>
      </w:r>
      <w:r w:rsidR="00C83A59" w:rsidRPr="00046773">
        <w:rPr>
          <w:rFonts w:asciiTheme="majorHAnsi" w:hAnsiTheme="majorHAnsi"/>
          <w:sz w:val="20"/>
          <w:szCs w:val="20"/>
        </w:rPr>
        <w:t xml:space="preserve">obligation to </w:t>
      </w:r>
      <w:r w:rsidR="00A83849">
        <w:rPr>
          <w:rFonts w:asciiTheme="majorHAnsi" w:hAnsiTheme="majorHAnsi"/>
          <w:sz w:val="20"/>
          <w:szCs w:val="20"/>
        </w:rPr>
        <w:t>honor</w:t>
      </w:r>
      <w:r w:rsidR="00C83A59" w:rsidRPr="00046773">
        <w:rPr>
          <w:rFonts w:asciiTheme="majorHAnsi" w:hAnsiTheme="majorHAnsi"/>
          <w:sz w:val="20"/>
          <w:szCs w:val="20"/>
        </w:rPr>
        <w:t xml:space="preserve"> rights</w:t>
      </w:r>
      <w:r w:rsidR="00D640F0" w:rsidRPr="00046773">
        <w:rPr>
          <w:rFonts w:ascii="Cambria" w:hAnsi="Cambria"/>
          <w:sz w:val="20"/>
          <w:szCs w:val="20"/>
        </w:rPr>
        <w:t>)</w:t>
      </w:r>
      <w:r w:rsidR="00C83A59" w:rsidRPr="00046773">
        <w:rPr>
          <w:rFonts w:ascii="Cambria" w:hAnsi="Cambria"/>
          <w:sz w:val="20"/>
          <w:szCs w:val="20"/>
        </w:rPr>
        <w:t xml:space="preserve"> and</w:t>
      </w:r>
      <w:r w:rsidR="00D640F0" w:rsidRPr="00046773">
        <w:rPr>
          <w:rFonts w:ascii="Cambria" w:hAnsi="Cambria"/>
          <w:sz w:val="20"/>
          <w:szCs w:val="20"/>
        </w:rPr>
        <w:t xml:space="preserve"> 2 (</w:t>
      </w:r>
      <w:r w:rsidR="00C83A59" w:rsidRPr="00046773">
        <w:rPr>
          <w:rFonts w:asciiTheme="majorHAnsi" w:hAnsiTheme="majorHAnsi"/>
          <w:bCs/>
          <w:sz w:val="20"/>
          <w:szCs w:val="20"/>
        </w:rPr>
        <w:t>duty to take internal measures to protect rights</w:t>
      </w:r>
      <w:r w:rsidR="00C83A59" w:rsidRPr="00046773">
        <w:rPr>
          <w:rFonts w:ascii="Cambria" w:hAnsi="Cambria"/>
          <w:sz w:val="20"/>
          <w:szCs w:val="20"/>
        </w:rPr>
        <w:t>) of the</w:t>
      </w:r>
      <w:r w:rsidR="00D640F0" w:rsidRPr="00046773">
        <w:rPr>
          <w:rFonts w:ascii="Cambria" w:hAnsi="Cambria"/>
          <w:sz w:val="20"/>
          <w:szCs w:val="20"/>
        </w:rPr>
        <w:t xml:space="preserve"> American</w:t>
      </w:r>
      <w:r w:rsidR="00C83A59" w:rsidRPr="00046773">
        <w:rPr>
          <w:rFonts w:ascii="Cambria" w:hAnsi="Cambria"/>
          <w:sz w:val="20"/>
          <w:szCs w:val="20"/>
        </w:rPr>
        <w:t xml:space="preserve"> Convention</w:t>
      </w:r>
      <w:r w:rsidR="00D640F0" w:rsidRPr="00046773">
        <w:rPr>
          <w:rFonts w:asciiTheme="majorHAnsi" w:hAnsiTheme="majorHAnsi"/>
          <w:sz w:val="20"/>
          <w:szCs w:val="20"/>
        </w:rPr>
        <w:t>.</w:t>
      </w:r>
    </w:p>
    <w:p w:rsidR="003239B8" w:rsidRPr="00046773" w:rsidRDefault="003239B8" w:rsidP="00314D9D">
      <w:pPr>
        <w:pStyle w:val="ListParagraph"/>
        <w:spacing w:after="200"/>
        <w:jc w:val="both"/>
        <w:rPr>
          <w:rFonts w:asciiTheme="majorHAnsi" w:hAnsiTheme="majorHAnsi"/>
          <w:b/>
          <w:bCs/>
          <w:sz w:val="20"/>
          <w:szCs w:val="20"/>
        </w:rPr>
      </w:pPr>
      <w:r w:rsidRPr="00046773">
        <w:rPr>
          <w:rFonts w:asciiTheme="majorHAnsi" w:hAnsiTheme="majorHAnsi"/>
          <w:b/>
          <w:bCs/>
          <w:sz w:val="20"/>
          <w:szCs w:val="20"/>
        </w:rPr>
        <w:t xml:space="preserve">VIII. </w:t>
      </w:r>
      <w:r w:rsidRPr="00046773">
        <w:rPr>
          <w:rFonts w:asciiTheme="majorHAnsi" w:hAnsiTheme="majorHAnsi"/>
          <w:b/>
          <w:bCs/>
          <w:sz w:val="20"/>
          <w:szCs w:val="20"/>
        </w:rPr>
        <w:tab/>
      </w:r>
      <w:r w:rsidR="002C28A3" w:rsidRPr="00046773">
        <w:rPr>
          <w:rFonts w:asciiTheme="majorHAnsi" w:hAnsiTheme="majorHAnsi"/>
          <w:b/>
          <w:bCs/>
          <w:sz w:val="20"/>
          <w:szCs w:val="20"/>
        </w:rPr>
        <w:t>DECISION</w:t>
      </w:r>
    </w:p>
    <w:p w:rsidR="007637AA" w:rsidRPr="00046773" w:rsidRDefault="00CF47A6" w:rsidP="00883A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20"/>
          <w:szCs w:val="20"/>
        </w:rPr>
      </w:pPr>
      <w:r w:rsidRPr="00A94F56">
        <w:rPr>
          <w:rFonts w:asciiTheme="majorHAnsi" w:hAnsiTheme="majorHAnsi"/>
          <w:sz w:val="20"/>
          <w:szCs w:val="20"/>
        </w:rPr>
        <w:t xml:space="preserve">To declare this petition admissible </w:t>
      </w:r>
      <w:r w:rsidRPr="00A94F56">
        <w:rPr>
          <w:rFonts w:asciiTheme="majorHAnsi" w:hAnsiTheme="majorHAnsi"/>
          <w:noProof/>
          <w:sz w:val="20"/>
          <w:szCs w:val="20"/>
        </w:rPr>
        <w:t>with respect to</w:t>
      </w:r>
      <w:r w:rsidRPr="00A94F56">
        <w:rPr>
          <w:rFonts w:asciiTheme="majorHAnsi" w:hAnsiTheme="majorHAnsi"/>
          <w:sz w:val="20"/>
          <w:szCs w:val="20"/>
        </w:rPr>
        <w:t xml:space="preserve"> </w:t>
      </w:r>
      <w:r w:rsidR="007637AA" w:rsidRPr="00046773">
        <w:rPr>
          <w:rFonts w:asciiTheme="majorHAnsi" w:hAnsiTheme="majorHAnsi"/>
          <w:sz w:val="20"/>
          <w:szCs w:val="20"/>
        </w:rPr>
        <w:t xml:space="preserve">Articles 4, 8, and 25, </w:t>
      </w:r>
      <w:r w:rsidR="000A0270">
        <w:rPr>
          <w:rFonts w:asciiTheme="majorHAnsi" w:hAnsiTheme="majorHAnsi"/>
          <w:sz w:val="20"/>
          <w:szCs w:val="20"/>
        </w:rPr>
        <w:t xml:space="preserve">all </w:t>
      </w:r>
      <w:r w:rsidR="007637AA" w:rsidRPr="00046773">
        <w:rPr>
          <w:rFonts w:asciiTheme="majorHAnsi" w:hAnsiTheme="majorHAnsi"/>
          <w:sz w:val="20"/>
          <w:szCs w:val="20"/>
        </w:rPr>
        <w:t>with respect to Articles 1.1 and 2 of the of the American Convention; and</w:t>
      </w:r>
    </w:p>
    <w:p w:rsidR="00CF47A6" w:rsidRPr="00A94F56" w:rsidRDefault="00CF47A6" w:rsidP="00CF47A6">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94F56">
        <w:rPr>
          <w:rFonts w:asciiTheme="majorHAnsi" w:hAnsiTheme="majorHAnsi"/>
          <w:sz w:val="20"/>
          <w:szCs w:val="20"/>
        </w:rPr>
        <w:t>To notify the parties of this decision; to continue to examine the merits of the matter</w:t>
      </w:r>
      <w:r w:rsidRPr="00A94F56">
        <w:rPr>
          <w:rFonts w:asciiTheme="majorHAnsi" w:hAnsiTheme="majorHAnsi"/>
          <w:noProof/>
          <w:sz w:val="20"/>
          <w:szCs w:val="20"/>
        </w:rPr>
        <w:t>, and</w:t>
      </w:r>
      <w:r w:rsidRPr="00A94F56">
        <w:rPr>
          <w:rFonts w:asciiTheme="majorHAnsi" w:hAnsiTheme="majorHAnsi"/>
          <w:sz w:val="20"/>
          <w:szCs w:val="20"/>
        </w:rPr>
        <w:t xml:space="preserve"> to publish this decision and include it in its Annual Report to the General Assembly of the Organization of American States. </w:t>
      </w:r>
    </w:p>
    <w:p w:rsidR="00722C9F" w:rsidRPr="00046773" w:rsidRDefault="00D53787" w:rsidP="00D537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Cambria" w:hAnsi="Cambria"/>
          <w:sz w:val="20"/>
          <w:szCs w:val="20"/>
        </w:rPr>
        <w:tab/>
      </w:r>
      <w:r w:rsidRPr="00A95199">
        <w:rPr>
          <w:rFonts w:ascii="Cambria" w:hAnsi="Cambria"/>
          <w:sz w:val="20"/>
          <w:szCs w:val="20"/>
        </w:rPr>
        <w:t xml:space="preserve">Approved by the Inter-American Commission on Human Rights on the </w:t>
      </w:r>
      <w:r>
        <w:rPr>
          <w:rFonts w:ascii="Cambria" w:hAnsi="Cambria"/>
          <w:sz w:val="20"/>
          <w:szCs w:val="20"/>
        </w:rPr>
        <w:t>24</w:t>
      </w:r>
      <w:r w:rsidRPr="00A95199">
        <w:rPr>
          <w:rFonts w:ascii="Cambria" w:hAnsi="Cambria"/>
          <w:sz w:val="20"/>
          <w:szCs w:val="20"/>
        </w:rPr>
        <w:t>th day of the month of April, 2019. (Signed):  Esmeralda E. Arosemena Bernal de Troitiño, President; Joel Hernández García, First Vice President; Antonia Urrejola, Second Vice President; Margarette May Macaulay, Francisco José Eguiguren Praeli and Luis Ernesto Vargas Silva, Commissioners.</w:t>
      </w:r>
    </w:p>
    <w:sectPr w:rsidR="00722C9F" w:rsidRPr="000467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71" w:rsidRDefault="00857471">
      <w:r>
        <w:separator/>
      </w:r>
    </w:p>
  </w:endnote>
  <w:endnote w:type="continuationSeparator" w:id="0">
    <w:p w:rsidR="00857471" w:rsidRDefault="0085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F" w:rsidRDefault="00AD7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82E60" w:rsidRPr="00934A2C" w:rsidRDefault="00B82E6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96E66">
          <w:rPr>
            <w:noProof/>
            <w:sz w:val="16"/>
            <w:szCs w:val="22"/>
          </w:rPr>
          <w:t>3</w:t>
        </w:r>
        <w:r w:rsidRPr="00934A2C">
          <w:rPr>
            <w:noProof/>
            <w:sz w:val="16"/>
            <w:szCs w:val="22"/>
          </w:rPr>
          <w:fldChar w:fldCharType="end"/>
        </w:r>
      </w:p>
    </w:sdtContent>
  </w:sdt>
  <w:p w:rsidR="00B82E60" w:rsidRDefault="00B82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60" w:rsidRPr="00934A2C" w:rsidRDefault="00B82E60">
    <w:pPr>
      <w:pStyle w:val="Footer"/>
      <w:jc w:val="center"/>
      <w:rPr>
        <w:sz w:val="16"/>
        <w:szCs w:val="22"/>
      </w:rPr>
    </w:pPr>
  </w:p>
  <w:p w:rsidR="00B82E60" w:rsidRDefault="00B82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71" w:rsidRPr="000F35ED" w:rsidRDefault="0085747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57471" w:rsidRPr="000F35ED" w:rsidRDefault="00857471" w:rsidP="000F35ED">
      <w:pPr>
        <w:rPr>
          <w:rFonts w:asciiTheme="majorHAnsi" w:hAnsiTheme="majorHAnsi"/>
          <w:sz w:val="16"/>
          <w:szCs w:val="16"/>
        </w:rPr>
      </w:pPr>
      <w:r w:rsidRPr="000F35ED">
        <w:rPr>
          <w:rFonts w:asciiTheme="majorHAnsi" w:hAnsiTheme="majorHAnsi"/>
          <w:sz w:val="16"/>
          <w:szCs w:val="16"/>
        </w:rPr>
        <w:separator/>
      </w:r>
    </w:p>
    <w:p w:rsidR="00857471" w:rsidRPr="000F35ED" w:rsidRDefault="0085747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57471" w:rsidRPr="000F35ED" w:rsidRDefault="0085747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82E60" w:rsidRPr="00F15FF5" w:rsidRDefault="00B82E60" w:rsidP="0040328A">
      <w:pPr>
        <w:pStyle w:val="FootnoteText"/>
        <w:ind w:firstLine="720"/>
        <w:jc w:val="both"/>
        <w:rPr>
          <w:rFonts w:ascii="Cambria" w:hAnsi="Cambria"/>
          <w:color w:val="auto"/>
          <w:sz w:val="16"/>
          <w:szCs w:val="16"/>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w:t>
      </w:r>
      <w:r w:rsidRPr="00F15FF5">
        <w:rPr>
          <w:rFonts w:asciiTheme="majorHAnsi" w:hAnsiTheme="majorHAnsi"/>
          <w:sz w:val="16"/>
          <w:szCs w:val="16"/>
        </w:rPr>
        <w:t>In accordance with Article 17.2.a of the Commission Regulations, Commissioner Flávia Piovesan, a Brazilian national, did not take part in either the debate or the ruling on the present matter.</w:t>
      </w:r>
    </w:p>
  </w:footnote>
  <w:footnote w:id="3">
    <w:p w:rsidR="00B82E60" w:rsidRPr="00F15FF5" w:rsidRDefault="00B82E60" w:rsidP="0040328A">
      <w:pPr>
        <w:pStyle w:val="FootnoteText"/>
        <w:ind w:firstLine="720"/>
        <w:jc w:val="both"/>
        <w:rPr>
          <w:rFonts w:ascii="Cambria" w:hAnsi="Cambria"/>
          <w:color w:val="auto"/>
          <w:sz w:val="16"/>
          <w:szCs w:val="16"/>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w:t>
      </w:r>
      <w:r w:rsidRPr="00F15FF5">
        <w:rPr>
          <w:rFonts w:asciiTheme="majorHAnsi" w:hAnsiTheme="majorHAnsi"/>
          <w:sz w:val="16"/>
          <w:szCs w:val="16"/>
        </w:rPr>
        <w:t>Hereinafter, “American Convention” or “Convention.”</w:t>
      </w:r>
    </w:p>
  </w:footnote>
  <w:footnote w:id="4">
    <w:p w:rsidR="00B82E60" w:rsidRPr="00F15FF5" w:rsidRDefault="00B82E60" w:rsidP="0040328A">
      <w:pPr>
        <w:pStyle w:val="FootnoteText"/>
        <w:ind w:firstLine="720"/>
        <w:jc w:val="both"/>
        <w:rPr>
          <w:rFonts w:ascii="Cambria" w:hAnsi="Cambria"/>
          <w:color w:val="auto"/>
          <w:sz w:val="16"/>
          <w:szCs w:val="16"/>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w:t>
      </w:r>
      <w:r w:rsidRPr="00F15FF5">
        <w:rPr>
          <w:rFonts w:asciiTheme="majorHAnsi" w:hAnsiTheme="majorHAnsi"/>
          <w:sz w:val="16"/>
          <w:szCs w:val="16"/>
        </w:rPr>
        <w:t>Both p</w:t>
      </w:r>
      <w:r w:rsidRPr="00F15FF5">
        <w:rPr>
          <w:rFonts w:ascii="Cambria" w:hAnsi="Cambria"/>
          <w:sz w:val="16"/>
          <w:szCs w:val="16"/>
        </w:rPr>
        <w:t>arties’ statements were duly conveyed to the opposing party.</w:t>
      </w:r>
    </w:p>
  </w:footnote>
  <w:footnote w:id="5">
    <w:p w:rsidR="00B82E60" w:rsidRPr="00F15FF5" w:rsidRDefault="00B82E60">
      <w:pPr>
        <w:pStyle w:val="FootnoteText"/>
      </w:pPr>
      <w:r w:rsidRPr="00F15FF5">
        <w:rPr>
          <w:rFonts w:ascii="Cambria" w:hAnsi="Cambria"/>
          <w:sz w:val="16"/>
          <w:szCs w:val="16"/>
        </w:rPr>
        <w:tab/>
      </w:r>
      <w:r w:rsidRPr="00F15FF5">
        <w:rPr>
          <w:rStyle w:val="FootnoteReference"/>
          <w:rFonts w:ascii="Cambria" w:hAnsi="Cambria"/>
          <w:sz w:val="16"/>
          <w:szCs w:val="16"/>
        </w:rPr>
        <w:footnoteRef/>
      </w:r>
      <w:r w:rsidRPr="00F15FF5">
        <w:rPr>
          <w:rFonts w:ascii="Cambria" w:hAnsi="Cambria"/>
          <w:sz w:val="16"/>
          <w:szCs w:val="16"/>
        </w:rPr>
        <w:t xml:space="preserve"> Translator’s Note: The Portuguese </w:t>
      </w:r>
      <w:r w:rsidRPr="00F15FF5">
        <w:rPr>
          <w:rFonts w:ascii="Cambria" w:hAnsi="Cambria"/>
          <w:i/>
          <w:sz w:val="16"/>
          <w:szCs w:val="16"/>
        </w:rPr>
        <w:t>assassinado</w:t>
      </w:r>
      <w:r w:rsidRPr="00F15FF5">
        <w:rPr>
          <w:rFonts w:ascii="Cambria" w:hAnsi="Cambria"/>
          <w:sz w:val="16"/>
          <w:szCs w:val="16"/>
        </w:rPr>
        <w:t xml:space="preserve"> would normally be rendered as “murdered” in English.  However, the facts described in the remainder of this document do not point to any premeditation on the part of the accused.  Rather, it is a case more akin to what in English would be termed “manslaughter” or “wrongful death”: one resulting from recklessness rather than malicious intent.</w:t>
      </w:r>
    </w:p>
  </w:footnote>
  <w:footnote w:id="6">
    <w:p w:rsidR="00B82E60" w:rsidRPr="00F15FF5" w:rsidRDefault="00B82E60">
      <w:pPr>
        <w:pStyle w:val="FootnoteText"/>
        <w:rPr>
          <w:rFonts w:ascii="Cambria" w:hAnsi="Cambria"/>
          <w:sz w:val="16"/>
          <w:szCs w:val="16"/>
        </w:rPr>
      </w:pPr>
      <w:r w:rsidRPr="00F15FF5">
        <w:tab/>
      </w:r>
      <w:r w:rsidRPr="00F15FF5">
        <w:rPr>
          <w:rStyle w:val="FootnoteReference"/>
          <w:rFonts w:ascii="Cambria" w:hAnsi="Cambria"/>
          <w:sz w:val="16"/>
          <w:szCs w:val="16"/>
        </w:rPr>
        <w:footnoteRef/>
      </w:r>
      <w:r w:rsidRPr="00F15FF5">
        <w:rPr>
          <w:rFonts w:ascii="Cambria" w:hAnsi="Cambria"/>
          <w:sz w:val="16"/>
          <w:szCs w:val="16"/>
        </w:rPr>
        <w:t xml:space="preserve"> Translator’s Note: The original Portuguese </w:t>
      </w:r>
      <w:r w:rsidRPr="00F15FF5">
        <w:rPr>
          <w:rFonts w:ascii="Cambria" w:hAnsi="Cambria"/>
          <w:i/>
          <w:sz w:val="16"/>
          <w:szCs w:val="16"/>
        </w:rPr>
        <w:t>policiais militares</w:t>
      </w:r>
      <w:r w:rsidRPr="00F15FF5">
        <w:rPr>
          <w:rFonts w:ascii="Cambria" w:hAnsi="Cambria"/>
          <w:sz w:val="16"/>
          <w:szCs w:val="16"/>
        </w:rPr>
        <w:t xml:space="preserve"> should not be misconstrued as “military police” in English, which are known in Portug</w:t>
      </w:r>
      <w:r>
        <w:rPr>
          <w:rFonts w:ascii="Cambria" w:hAnsi="Cambria"/>
          <w:sz w:val="16"/>
          <w:szCs w:val="16"/>
        </w:rPr>
        <w:t>u</w:t>
      </w:r>
      <w:r w:rsidRPr="00F15FF5">
        <w:rPr>
          <w:rFonts w:ascii="Cambria" w:hAnsi="Cambria"/>
          <w:sz w:val="16"/>
          <w:szCs w:val="16"/>
        </w:rPr>
        <w:t xml:space="preserve">ese as </w:t>
      </w:r>
      <w:r w:rsidRPr="00F15FF5">
        <w:rPr>
          <w:rFonts w:ascii="Cambria" w:hAnsi="Cambria"/>
          <w:i/>
          <w:sz w:val="16"/>
          <w:szCs w:val="16"/>
        </w:rPr>
        <w:t>polícia do exército</w:t>
      </w:r>
      <w:r w:rsidRPr="00F15FF5">
        <w:rPr>
          <w:rFonts w:ascii="Cambria" w:hAnsi="Cambria"/>
          <w:sz w:val="16"/>
          <w:szCs w:val="16"/>
        </w:rPr>
        <w:t xml:space="preserve"> (literally, “army police” or “armed forces police”).  In Brazil, the term </w:t>
      </w:r>
      <w:r w:rsidRPr="00F15FF5">
        <w:rPr>
          <w:rFonts w:ascii="Cambria" w:hAnsi="Cambria"/>
          <w:i/>
          <w:sz w:val="16"/>
          <w:szCs w:val="16"/>
        </w:rPr>
        <w:t>polícia militar</w:t>
      </w:r>
      <w:r>
        <w:rPr>
          <w:rFonts w:ascii="Cambria" w:hAnsi="Cambria"/>
          <w:sz w:val="16"/>
          <w:szCs w:val="16"/>
        </w:rPr>
        <w:t xml:space="preserve"> is used as a designation for the</w:t>
      </w:r>
      <w:r w:rsidRPr="00F15FF5">
        <w:rPr>
          <w:rFonts w:ascii="Cambria" w:hAnsi="Cambria"/>
          <w:sz w:val="16"/>
          <w:szCs w:val="16"/>
        </w:rPr>
        <w:t xml:space="preserve"> corps of armed officers patrolling the streets as cops on the beat, as distinct from the </w:t>
      </w:r>
      <w:r w:rsidRPr="00F15FF5">
        <w:rPr>
          <w:rFonts w:ascii="Cambria" w:hAnsi="Cambria"/>
          <w:i/>
          <w:sz w:val="16"/>
          <w:szCs w:val="16"/>
        </w:rPr>
        <w:t>polícia civil</w:t>
      </w:r>
      <w:r>
        <w:rPr>
          <w:rFonts w:ascii="Cambria" w:hAnsi="Cambria"/>
          <w:sz w:val="16"/>
          <w:szCs w:val="16"/>
        </w:rPr>
        <w:t>, who are responsible for</w:t>
      </w:r>
      <w:r w:rsidRPr="00F15FF5">
        <w:rPr>
          <w:rFonts w:ascii="Cambria" w:hAnsi="Cambria"/>
          <w:sz w:val="16"/>
          <w:szCs w:val="16"/>
        </w:rPr>
        <w:t xml:space="preserve"> the</w:t>
      </w:r>
      <w:r>
        <w:rPr>
          <w:rFonts w:ascii="Cambria" w:hAnsi="Cambria"/>
          <w:sz w:val="16"/>
          <w:szCs w:val="16"/>
        </w:rPr>
        <w:t xml:space="preserve"> more</w:t>
      </w:r>
      <w:r w:rsidRPr="00F15FF5">
        <w:rPr>
          <w:rFonts w:ascii="Cambria" w:hAnsi="Cambria"/>
          <w:sz w:val="16"/>
          <w:szCs w:val="16"/>
        </w:rPr>
        <w:t xml:space="preserve"> administrative and investigative functions of police</w:t>
      </w:r>
      <w:r>
        <w:rPr>
          <w:rFonts w:ascii="Cambria" w:hAnsi="Cambria"/>
          <w:sz w:val="16"/>
          <w:szCs w:val="16"/>
        </w:rPr>
        <w:t xml:space="preserve"> </w:t>
      </w:r>
      <w:r w:rsidRPr="00F15FF5">
        <w:rPr>
          <w:rFonts w:ascii="Cambria" w:hAnsi="Cambria"/>
          <w:sz w:val="16"/>
          <w:szCs w:val="16"/>
        </w:rPr>
        <w:t xml:space="preserve">work, such as that of detectives.  Since these other forms of police are not referenced in this document, </w:t>
      </w:r>
      <w:r w:rsidRPr="00F15FF5">
        <w:rPr>
          <w:rFonts w:ascii="Cambria" w:hAnsi="Cambria"/>
          <w:i/>
          <w:sz w:val="16"/>
          <w:szCs w:val="16"/>
        </w:rPr>
        <w:t>políc</w:t>
      </w:r>
      <w:r>
        <w:rPr>
          <w:rFonts w:ascii="Cambria" w:hAnsi="Cambria"/>
          <w:i/>
          <w:sz w:val="16"/>
          <w:szCs w:val="16"/>
        </w:rPr>
        <w:t>i</w:t>
      </w:r>
      <w:r w:rsidRPr="00F15FF5">
        <w:rPr>
          <w:rFonts w:ascii="Cambria" w:hAnsi="Cambria"/>
          <w:i/>
          <w:sz w:val="16"/>
          <w:szCs w:val="16"/>
        </w:rPr>
        <w:t>a militar</w:t>
      </w:r>
      <w:r w:rsidRPr="00F15FF5">
        <w:rPr>
          <w:rFonts w:ascii="Cambria" w:hAnsi="Cambria"/>
          <w:sz w:val="16"/>
          <w:szCs w:val="16"/>
        </w:rPr>
        <w:t xml:space="preserve"> will hereinafter be rendered “police officers,” or simply, “police.”</w:t>
      </w:r>
    </w:p>
  </w:footnote>
  <w:footnote w:id="7">
    <w:p w:rsidR="00B82E60" w:rsidRPr="00F15FF5" w:rsidRDefault="00B82E60" w:rsidP="0040328A">
      <w:pPr>
        <w:pStyle w:val="FootnoteText"/>
        <w:ind w:firstLine="720"/>
        <w:jc w:val="both"/>
        <w:rPr>
          <w:rFonts w:ascii="Cambria" w:hAnsi="Cambria"/>
          <w:color w:val="auto"/>
          <w:sz w:val="16"/>
          <w:szCs w:val="16"/>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Penal Code. Art. 23 – It shall not be a crime when an officer is faced with any of the following situations: I – in a state of necessity; II – acting in self-defense; III – in strict compliance with legal duties or in the carrying out of regular lawful duties.  Sole paragraph – The officer, even u</w:t>
      </w:r>
      <w:r>
        <w:rPr>
          <w:rFonts w:ascii="Cambria" w:hAnsi="Cambria"/>
          <w:color w:val="auto"/>
          <w:sz w:val="16"/>
          <w:szCs w:val="16"/>
        </w:rPr>
        <w:t>nder any of the circumstances described in</w:t>
      </w:r>
      <w:r w:rsidRPr="00F15FF5">
        <w:rPr>
          <w:rFonts w:ascii="Cambria" w:hAnsi="Cambria"/>
          <w:color w:val="auto"/>
          <w:sz w:val="16"/>
          <w:szCs w:val="16"/>
        </w:rPr>
        <w:t xml:space="preserve"> this article, shall remain answerable for excessive force or willful wrongdoing.</w:t>
      </w:r>
    </w:p>
  </w:footnote>
  <w:footnote w:id="8">
    <w:p w:rsidR="00B82E60" w:rsidRPr="00F15FF5" w:rsidRDefault="00B82E60" w:rsidP="0040328A">
      <w:pPr>
        <w:pStyle w:val="FootnoteText"/>
        <w:ind w:firstLine="720"/>
        <w:jc w:val="both"/>
        <w:rPr>
          <w:rFonts w:ascii="Cambria" w:hAnsi="Cambria"/>
          <w:color w:val="auto"/>
          <w:sz w:val="16"/>
          <w:szCs w:val="16"/>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Federal Law No. 9.299/96 specifies that civilian courts have jurisdiction to hear cases in which violent crimes are commit</w:t>
      </w:r>
      <w:r>
        <w:rPr>
          <w:rFonts w:ascii="Cambria" w:hAnsi="Cambria"/>
          <w:color w:val="auto"/>
          <w:sz w:val="16"/>
          <w:szCs w:val="16"/>
        </w:rPr>
        <w:t>t</w:t>
      </w:r>
      <w:r w:rsidRPr="00F15FF5">
        <w:rPr>
          <w:rFonts w:ascii="Cambria" w:hAnsi="Cambria"/>
          <w:color w:val="auto"/>
          <w:sz w:val="16"/>
          <w:szCs w:val="16"/>
        </w:rPr>
        <w:t>ed by armed service members against civilians.</w:t>
      </w:r>
    </w:p>
  </w:footnote>
  <w:footnote w:id="9">
    <w:p w:rsidR="00B82E60" w:rsidRPr="00F15FF5" w:rsidRDefault="00B82E60" w:rsidP="0040328A">
      <w:pPr>
        <w:pStyle w:val="FootnoteText"/>
        <w:ind w:firstLine="720"/>
        <w:jc w:val="both"/>
        <w:rPr>
          <w:rFonts w:ascii="Cambria" w:hAnsi="Cambria"/>
          <w:sz w:val="16"/>
          <w:szCs w:val="16"/>
        </w:rPr>
      </w:pPr>
      <w:r w:rsidRPr="00F15FF5">
        <w:rPr>
          <w:rStyle w:val="FootnoteReference"/>
          <w:rFonts w:ascii="Cambria" w:hAnsi="Cambria"/>
          <w:sz w:val="16"/>
          <w:szCs w:val="16"/>
        </w:rPr>
        <w:footnoteRef/>
      </w:r>
      <w:r w:rsidRPr="004633EB">
        <w:rPr>
          <w:rFonts w:ascii="Cambria" w:hAnsi="Cambria"/>
          <w:sz w:val="16"/>
          <w:szCs w:val="16"/>
          <w:lang w:val="es-US"/>
        </w:rPr>
        <w:t xml:space="preserve"> IACHR, Report No. 16/18. Standing. Petition 884-07, Victoria Piedad Palacios Tejada de Saavedra. </w:t>
      </w:r>
      <w:r w:rsidRPr="00F15FF5">
        <w:rPr>
          <w:rFonts w:ascii="Cambria" w:hAnsi="Cambria"/>
          <w:sz w:val="16"/>
          <w:szCs w:val="16"/>
        </w:rPr>
        <w:t>Peru. February 24, 2018, para. 12.</w:t>
      </w:r>
    </w:p>
  </w:footnote>
  <w:footnote w:id="10">
    <w:p w:rsidR="00B82E60" w:rsidRPr="004633EB" w:rsidRDefault="00B82E60" w:rsidP="0040328A">
      <w:pPr>
        <w:pStyle w:val="FootnoteText"/>
        <w:ind w:firstLine="720"/>
        <w:jc w:val="both"/>
        <w:rPr>
          <w:rFonts w:ascii="Cambria" w:hAnsi="Cambria"/>
          <w:color w:val="auto"/>
          <w:sz w:val="16"/>
          <w:szCs w:val="16"/>
          <w:lang w:val="es-US"/>
        </w:rPr>
      </w:pPr>
      <w:r w:rsidRPr="00F15FF5">
        <w:rPr>
          <w:rStyle w:val="FootnoteReference"/>
          <w:rFonts w:ascii="Cambria" w:hAnsi="Cambria"/>
          <w:color w:val="auto"/>
          <w:sz w:val="16"/>
          <w:szCs w:val="16"/>
        </w:rPr>
        <w:footnoteRef/>
      </w:r>
      <w:r w:rsidRPr="00F15FF5">
        <w:rPr>
          <w:rFonts w:ascii="Cambria" w:hAnsi="Cambria"/>
          <w:color w:val="auto"/>
          <w:sz w:val="16"/>
          <w:szCs w:val="16"/>
        </w:rPr>
        <w:t xml:space="preserve"> See, </w:t>
      </w:r>
      <w:r w:rsidRPr="00F15FF5">
        <w:rPr>
          <w:rFonts w:ascii="Cambria" w:hAnsi="Cambria"/>
          <w:i/>
          <w:color w:val="auto"/>
          <w:sz w:val="16"/>
          <w:szCs w:val="16"/>
        </w:rPr>
        <w:t>mutatis mutandis</w:t>
      </w:r>
      <w:r w:rsidRPr="00F15FF5">
        <w:rPr>
          <w:rFonts w:ascii="Cambria" w:hAnsi="Cambria"/>
          <w:color w:val="auto"/>
          <w:sz w:val="16"/>
          <w:szCs w:val="16"/>
        </w:rPr>
        <w:t xml:space="preserve">, IACHR, Report No. 36/05 Lack of Standing. </w:t>
      </w:r>
      <w:r w:rsidRPr="004633EB">
        <w:rPr>
          <w:rFonts w:ascii="Cambria" w:hAnsi="Cambria"/>
          <w:color w:val="auto"/>
          <w:sz w:val="16"/>
          <w:szCs w:val="16"/>
          <w:lang w:val="es-US"/>
        </w:rPr>
        <w:t>Petition 12.170, Fernando A. Colmenares Castillo, Mexico, March 9, 2005, para. 38–39.</w:t>
      </w:r>
    </w:p>
  </w:footnote>
  <w:footnote w:id="11">
    <w:p w:rsidR="00B82E60" w:rsidRPr="00F15FF5" w:rsidRDefault="00B82E60" w:rsidP="00F97337">
      <w:pPr>
        <w:pStyle w:val="FootnoteText"/>
        <w:jc w:val="both"/>
        <w:rPr>
          <w:rFonts w:ascii="Cambria" w:hAnsi="Cambria"/>
          <w:sz w:val="16"/>
          <w:szCs w:val="16"/>
        </w:rPr>
      </w:pPr>
      <w:r w:rsidRPr="00F15FF5">
        <w:rPr>
          <w:rStyle w:val="FootnoteReference"/>
          <w:rFonts w:ascii="Cambria" w:hAnsi="Cambria"/>
          <w:sz w:val="16"/>
          <w:szCs w:val="16"/>
        </w:rPr>
        <w:footnoteRef/>
      </w:r>
      <w:r w:rsidRPr="004633EB">
        <w:rPr>
          <w:rFonts w:ascii="Cambria" w:hAnsi="Cambria"/>
          <w:sz w:val="16"/>
          <w:szCs w:val="16"/>
          <w:lang w:val="es-US"/>
        </w:rPr>
        <w:t xml:space="preserve"> IACHR. Report No. 105/17. </w:t>
      </w:r>
      <w:r w:rsidRPr="00D53787">
        <w:rPr>
          <w:rFonts w:ascii="Cambria" w:hAnsi="Cambria"/>
          <w:sz w:val="16"/>
          <w:szCs w:val="16"/>
          <w:lang w:val="es-ES"/>
        </w:rPr>
        <w:t xml:space="preserve">Petition 798-07. Standing. David Valderrama Opazo et al. </w:t>
      </w:r>
      <w:r w:rsidRPr="00F15FF5">
        <w:rPr>
          <w:rFonts w:ascii="Cambria" w:hAnsi="Cambria"/>
          <w:sz w:val="16"/>
          <w:szCs w:val="16"/>
        </w:rPr>
        <w:t>Chile. September 7, 2017, para. 11; IACHR, Report No. 78/16. Petition 1170-09. Standing. Amir Muniz da Silva. Brazil. December 30, 2016, para. 32.</w:t>
      </w:r>
    </w:p>
  </w:footnote>
  <w:footnote w:id="12">
    <w:p w:rsidR="00B82E60" w:rsidRPr="00F15FF5" w:rsidRDefault="00B82E60" w:rsidP="0065281D">
      <w:pPr>
        <w:pStyle w:val="FootnoteText"/>
        <w:ind w:firstLine="720"/>
        <w:jc w:val="both"/>
        <w:rPr>
          <w:rFonts w:ascii="Cambria" w:hAnsi="Cambria"/>
          <w:sz w:val="16"/>
          <w:szCs w:val="16"/>
        </w:rPr>
      </w:pPr>
      <w:r w:rsidRPr="00F15FF5">
        <w:rPr>
          <w:rStyle w:val="FootnoteReference"/>
          <w:rFonts w:ascii="Cambria" w:hAnsi="Cambria"/>
          <w:sz w:val="16"/>
          <w:szCs w:val="16"/>
        </w:rPr>
        <w:footnoteRef/>
      </w:r>
      <w:r w:rsidRPr="00F15FF5">
        <w:rPr>
          <w:rFonts w:ascii="Cambria" w:hAnsi="Cambria"/>
          <w:sz w:val="16"/>
          <w:szCs w:val="16"/>
        </w:rPr>
        <w:t xml:space="preserve"> IACHR, Press release. UN Human Rights and IACHR condemn use of excessive force during demonstrations and during security operations in Brazil, May 26,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60" w:rsidRDefault="00B82E60" w:rsidP="00D11F9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82E60" w:rsidRDefault="00B82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60" w:rsidRDefault="001B40EA" w:rsidP="00A50FCF">
    <w:pPr>
      <w:pStyle w:val="Header"/>
      <w:tabs>
        <w:tab w:val="clear" w:pos="4320"/>
        <w:tab w:val="clear" w:pos="8640"/>
      </w:tabs>
      <w:jc w:val="center"/>
      <w:rPr>
        <w:sz w:val="22"/>
        <w:szCs w:val="22"/>
      </w:rPr>
    </w:pPr>
    <w:r>
      <w:rPr>
        <w:noProof/>
        <w:sz w:val="22"/>
        <w:szCs w:val="22"/>
      </w:rPr>
      <w:drawing>
        <wp:inline distT="0" distB="0" distL="0" distR="0" wp14:anchorId="2AA24D94" wp14:editId="2F86F0A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B82E60" w:rsidRPr="00EC7D62" w:rsidRDefault="0085747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F" w:rsidRDefault="00AD7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0F73"/>
    <w:rsid w:val="0001738E"/>
    <w:rsid w:val="0001788C"/>
    <w:rsid w:val="00032E1F"/>
    <w:rsid w:val="000337EF"/>
    <w:rsid w:val="00040C3A"/>
    <w:rsid w:val="000419AD"/>
    <w:rsid w:val="000433C9"/>
    <w:rsid w:val="00046773"/>
    <w:rsid w:val="000538BF"/>
    <w:rsid w:val="00054797"/>
    <w:rsid w:val="000716C5"/>
    <w:rsid w:val="00071BD1"/>
    <w:rsid w:val="000727DA"/>
    <w:rsid w:val="00075E23"/>
    <w:rsid w:val="0007682C"/>
    <w:rsid w:val="00076A85"/>
    <w:rsid w:val="0009344A"/>
    <w:rsid w:val="000A0270"/>
    <w:rsid w:val="000A392E"/>
    <w:rsid w:val="000A575F"/>
    <w:rsid w:val="000A746A"/>
    <w:rsid w:val="000D10DB"/>
    <w:rsid w:val="000E5A59"/>
    <w:rsid w:val="000E5EB5"/>
    <w:rsid w:val="000F35ED"/>
    <w:rsid w:val="00107131"/>
    <w:rsid w:val="0010736F"/>
    <w:rsid w:val="00113F73"/>
    <w:rsid w:val="00121CC2"/>
    <w:rsid w:val="00126384"/>
    <w:rsid w:val="00133EE5"/>
    <w:rsid w:val="00134DD5"/>
    <w:rsid w:val="00146298"/>
    <w:rsid w:val="00147F83"/>
    <w:rsid w:val="0015214B"/>
    <w:rsid w:val="00167A34"/>
    <w:rsid w:val="00192E0F"/>
    <w:rsid w:val="001A7870"/>
    <w:rsid w:val="001B3A00"/>
    <w:rsid w:val="001B40EA"/>
    <w:rsid w:val="001C1B41"/>
    <w:rsid w:val="001D65EF"/>
    <w:rsid w:val="001E2A66"/>
    <w:rsid w:val="001E49E7"/>
    <w:rsid w:val="001F7201"/>
    <w:rsid w:val="00205C37"/>
    <w:rsid w:val="00223A29"/>
    <w:rsid w:val="00223D15"/>
    <w:rsid w:val="002250A3"/>
    <w:rsid w:val="00225B2A"/>
    <w:rsid w:val="0022709D"/>
    <w:rsid w:val="0022736D"/>
    <w:rsid w:val="00235217"/>
    <w:rsid w:val="00246D1F"/>
    <w:rsid w:val="00247403"/>
    <w:rsid w:val="00247542"/>
    <w:rsid w:val="00252819"/>
    <w:rsid w:val="00252904"/>
    <w:rsid w:val="00266B61"/>
    <w:rsid w:val="0026712A"/>
    <w:rsid w:val="002704DB"/>
    <w:rsid w:val="002A0AAE"/>
    <w:rsid w:val="002A5820"/>
    <w:rsid w:val="002C1A11"/>
    <w:rsid w:val="002C28A3"/>
    <w:rsid w:val="002C51DC"/>
    <w:rsid w:val="002D2B26"/>
    <w:rsid w:val="002D7EA2"/>
    <w:rsid w:val="002E148E"/>
    <w:rsid w:val="002E187C"/>
    <w:rsid w:val="002E3AE7"/>
    <w:rsid w:val="00302733"/>
    <w:rsid w:val="003071E4"/>
    <w:rsid w:val="00314078"/>
    <w:rsid w:val="00314D9D"/>
    <w:rsid w:val="0031535D"/>
    <w:rsid w:val="0031697A"/>
    <w:rsid w:val="003239B8"/>
    <w:rsid w:val="00326A4E"/>
    <w:rsid w:val="0033169F"/>
    <w:rsid w:val="003329CF"/>
    <w:rsid w:val="00344977"/>
    <w:rsid w:val="00346C95"/>
    <w:rsid w:val="00356185"/>
    <w:rsid w:val="00360380"/>
    <w:rsid w:val="00373E7C"/>
    <w:rsid w:val="0037519E"/>
    <w:rsid w:val="00386CF0"/>
    <w:rsid w:val="0038709A"/>
    <w:rsid w:val="003935B7"/>
    <w:rsid w:val="003A2FBC"/>
    <w:rsid w:val="003B08D0"/>
    <w:rsid w:val="003B70FB"/>
    <w:rsid w:val="003C594A"/>
    <w:rsid w:val="003C676B"/>
    <w:rsid w:val="003D3BC2"/>
    <w:rsid w:val="003E6CA1"/>
    <w:rsid w:val="00402FC5"/>
    <w:rsid w:val="0040328A"/>
    <w:rsid w:val="00405303"/>
    <w:rsid w:val="004065A8"/>
    <w:rsid w:val="00407DD4"/>
    <w:rsid w:val="00413AF0"/>
    <w:rsid w:val="004165C2"/>
    <w:rsid w:val="00421B53"/>
    <w:rsid w:val="00423157"/>
    <w:rsid w:val="004231C3"/>
    <w:rsid w:val="004340E6"/>
    <w:rsid w:val="00441ECB"/>
    <w:rsid w:val="00445193"/>
    <w:rsid w:val="004529D1"/>
    <w:rsid w:val="00462C1B"/>
    <w:rsid w:val="004633EB"/>
    <w:rsid w:val="00466469"/>
    <w:rsid w:val="00467B7E"/>
    <w:rsid w:val="00473BB4"/>
    <w:rsid w:val="00474922"/>
    <w:rsid w:val="00477592"/>
    <w:rsid w:val="00486F1C"/>
    <w:rsid w:val="0049419D"/>
    <w:rsid w:val="004A6A54"/>
    <w:rsid w:val="004C20D2"/>
    <w:rsid w:val="004C2312"/>
    <w:rsid w:val="004C4B62"/>
    <w:rsid w:val="004C54C9"/>
    <w:rsid w:val="004D3F16"/>
    <w:rsid w:val="004D4ABA"/>
    <w:rsid w:val="004D5D4E"/>
    <w:rsid w:val="004D6025"/>
    <w:rsid w:val="004D624B"/>
    <w:rsid w:val="004E2649"/>
    <w:rsid w:val="004F6387"/>
    <w:rsid w:val="00501399"/>
    <w:rsid w:val="0050633D"/>
    <w:rsid w:val="00507BC4"/>
    <w:rsid w:val="005128E4"/>
    <w:rsid w:val="005133DB"/>
    <w:rsid w:val="005173D3"/>
    <w:rsid w:val="00521CB6"/>
    <w:rsid w:val="00523F4B"/>
    <w:rsid w:val="00525355"/>
    <w:rsid w:val="00525560"/>
    <w:rsid w:val="005343AC"/>
    <w:rsid w:val="00544C49"/>
    <w:rsid w:val="00545E63"/>
    <w:rsid w:val="005516A1"/>
    <w:rsid w:val="00553223"/>
    <w:rsid w:val="00563557"/>
    <w:rsid w:val="0057402A"/>
    <w:rsid w:val="005771D0"/>
    <w:rsid w:val="005858D8"/>
    <w:rsid w:val="00586B5A"/>
    <w:rsid w:val="0059191A"/>
    <w:rsid w:val="005921FF"/>
    <w:rsid w:val="00594069"/>
    <w:rsid w:val="005A24ED"/>
    <w:rsid w:val="005A6D0E"/>
    <w:rsid w:val="005B52B0"/>
    <w:rsid w:val="005B6806"/>
    <w:rsid w:val="005C4225"/>
    <w:rsid w:val="005D14E4"/>
    <w:rsid w:val="005D157E"/>
    <w:rsid w:val="005E16A2"/>
    <w:rsid w:val="005F0DAD"/>
    <w:rsid w:val="005F0F33"/>
    <w:rsid w:val="005F1367"/>
    <w:rsid w:val="005F3CE4"/>
    <w:rsid w:val="00600DEB"/>
    <w:rsid w:val="006233E7"/>
    <w:rsid w:val="00627C9F"/>
    <w:rsid w:val="006311E9"/>
    <w:rsid w:val="00632354"/>
    <w:rsid w:val="00632CF2"/>
    <w:rsid w:val="00642810"/>
    <w:rsid w:val="0065040F"/>
    <w:rsid w:val="00652333"/>
    <w:rsid w:val="00652437"/>
    <w:rsid w:val="0065281D"/>
    <w:rsid w:val="00653B8B"/>
    <w:rsid w:val="00671A1D"/>
    <w:rsid w:val="0068009E"/>
    <w:rsid w:val="00692219"/>
    <w:rsid w:val="006A17D2"/>
    <w:rsid w:val="006A20E7"/>
    <w:rsid w:val="006A410A"/>
    <w:rsid w:val="006A73E6"/>
    <w:rsid w:val="006B2D5C"/>
    <w:rsid w:val="006B2EF2"/>
    <w:rsid w:val="006B5EE6"/>
    <w:rsid w:val="006C4EB1"/>
    <w:rsid w:val="006E0166"/>
    <w:rsid w:val="006E7B34"/>
    <w:rsid w:val="006F47B8"/>
    <w:rsid w:val="0070697F"/>
    <w:rsid w:val="007077C2"/>
    <w:rsid w:val="0072199C"/>
    <w:rsid w:val="00722C9F"/>
    <w:rsid w:val="007253B8"/>
    <w:rsid w:val="0073741F"/>
    <w:rsid w:val="0074265B"/>
    <w:rsid w:val="007637AA"/>
    <w:rsid w:val="00765C9E"/>
    <w:rsid w:val="0076643F"/>
    <w:rsid w:val="007665A8"/>
    <w:rsid w:val="00777F63"/>
    <w:rsid w:val="00782D07"/>
    <w:rsid w:val="007921D7"/>
    <w:rsid w:val="00796E66"/>
    <w:rsid w:val="007A5817"/>
    <w:rsid w:val="007B05C4"/>
    <w:rsid w:val="007B5AB5"/>
    <w:rsid w:val="007B60E9"/>
    <w:rsid w:val="007B6CC3"/>
    <w:rsid w:val="007B76D3"/>
    <w:rsid w:val="007B7C77"/>
    <w:rsid w:val="007C3334"/>
    <w:rsid w:val="007D2B98"/>
    <w:rsid w:val="007D592B"/>
    <w:rsid w:val="007E21BC"/>
    <w:rsid w:val="007E6AE4"/>
    <w:rsid w:val="007E7C82"/>
    <w:rsid w:val="007F588D"/>
    <w:rsid w:val="00803F1C"/>
    <w:rsid w:val="0080600E"/>
    <w:rsid w:val="00817612"/>
    <w:rsid w:val="008338A4"/>
    <w:rsid w:val="00834D49"/>
    <w:rsid w:val="00835499"/>
    <w:rsid w:val="00837C45"/>
    <w:rsid w:val="00844730"/>
    <w:rsid w:val="008457C2"/>
    <w:rsid w:val="008515FA"/>
    <w:rsid w:val="00852E37"/>
    <w:rsid w:val="00857471"/>
    <w:rsid w:val="00857A82"/>
    <w:rsid w:val="00873836"/>
    <w:rsid w:val="00883ABD"/>
    <w:rsid w:val="008849E7"/>
    <w:rsid w:val="00885737"/>
    <w:rsid w:val="00890650"/>
    <w:rsid w:val="00897E12"/>
    <w:rsid w:val="008A49EC"/>
    <w:rsid w:val="008A7E0F"/>
    <w:rsid w:val="008B0BF5"/>
    <w:rsid w:val="008B12F5"/>
    <w:rsid w:val="008B23D6"/>
    <w:rsid w:val="008B4634"/>
    <w:rsid w:val="008B75E0"/>
    <w:rsid w:val="008C0F99"/>
    <w:rsid w:val="008D08B9"/>
    <w:rsid w:val="008D298A"/>
    <w:rsid w:val="008D4833"/>
    <w:rsid w:val="008D768D"/>
    <w:rsid w:val="008E129C"/>
    <w:rsid w:val="008E3759"/>
    <w:rsid w:val="008E3BFE"/>
    <w:rsid w:val="008E7501"/>
    <w:rsid w:val="008F1912"/>
    <w:rsid w:val="008F6EB6"/>
    <w:rsid w:val="0090270B"/>
    <w:rsid w:val="009041DC"/>
    <w:rsid w:val="00917B5A"/>
    <w:rsid w:val="00920A58"/>
    <w:rsid w:val="00920A8C"/>
    <w:rsid w:val="0092280D"/>
    <w:rsid w:val="00934A2C"/>
    <w:rsid w:val="0095227B"/>
    <w:rsid w:val="0096287D"/>
    <w:rsid w:val="0096706E"/>
    <w:rsid w:val="00974491"/>
    <w:rsid w:val="00975C4E"/>
    <w:rsid w:val="00975F16"/>
    <w:rsid w:val="00980118"/>
    <w:rsid w:val="00981FBA"/>
    <w:rsid w:val="009830FA"/>
    <w:rsid w:val="00997BC5"/>
    <w:rsid w:val="009A09A5"/>
    <w:rsid w:val="009A4F41"/>
    <w:rsid w:val="009B381B"/>
    <w:rsid w:val="009C476F"/>
    <w:rsid w:val="009D1753"/>
    <w:rsid w:val="009D4F46"/>
    <w:rsid w:val="009D7611"/>
    <w:rsid w:val="009E0B61"/>
    <w:rsid w:val="009E4029"/>
    <w:rsid w:val="009E53DE"/>
    <w:rsid w:val="009E559E"/>
    <w:rsid w:val="00A014FC"/>
    <w:rsid w:val="00A02089"/>
    <w:rsid w:val="00A11212"/>
    <w:rsid w:val="00A11E44"/>
    <w:rsid w:val="00A12B00"/>
    <w:rsid w:val="00A17AD1"/>
    <w:rsid w:val="00A23DEA"/>
    <w:rsid w:val="00A24DF1"/>
    <w:rsid w:val="00A328B3"/>
    <w:rsid w:val="00A37F2E"/>
    <w:rsid w:val="00A50FCF"/>
    <w:rsid w:val="00A528D1"/>
    <w:rsid w:val="00A53003"/>
    <w:rsid w:val="00A60656"/>
    <w:rsid w:val="00A610CD"/>
    <w:rsid w:val="00A6705B"/>
    <w:rsid w:val="00A758AA"/>
    <w:rsid w:val="00A75CC3"/>
    <w:rsid w:val="00A83849"/>
    <w:rsid w:val="00A83D19"/>
    <w:rsid w:val="00AA09A2"/>
    <w:rsid w:val="00AA7996"/>
    <w:rsid w:val="00AB5D48"/>
    <w:rsid w:val="00AB605B"/>
    <w:rsid w:val="00AB68EB"/>
    <w:rsid w:val="00AC19CB"/>
    <w:rsid w:val="00AD7F0F"/>
    <w:rsid w:val="00AE5488"/>
    <w:rsid w:val="00AE6F91"/>
    <w:rsid w:val="00AE7C88"/>
    <w:rsid w:val="00AF5571"/>
    <w:rsid w:val="00B07341"/>
    <w:rsid w:val="00B1143D"/>
    <w:rsid w:val="00B22A7A"/>
    <w:rsid w:val="00B2320A"/>
    <w:rsid w:val="00B256AC"/>
    <w:rsid w:val="00B2753E"/>
    <w:rsid w:val="00B30539"/>
    <w:rsid w:val="00B314DB"/>
    <w:rsid w:val="00B361F2"/>
    <w:rsid w:val="00B3718B"/>
    <w:rsid w:val="00B45DF3"/>
    <w:rsid w:val="00B4632A"/>
    <w:rsid w:val="00B51266"/>
    <w:rsid w:val="00B530F1"/>
    <w:rsid w:val="00B57388"/>
    <w:rsid w:val="00B70D03"/>
    <w:rsid w:val="00B70F0B"/>
    <w:rsid w:val="00B76866"/>
    <w:rsid w:val="00B82E60"/>
    <w:rsid w:val="00BA276C"/>
    <w:rsid w:val="00BB306F"/>
    <w:rsid w:val="00BC2234"/>
    <w:rsid w:val="00BC2D66"/>
    <w:rsid w:val="00BD4B89"/>
    <w:rsid w:val="00BD5922"/>
    <w:rsid w:val="00BE600B"/>
    <w:rsid w:val="00BF02CB"/>
    <w:rsid w:val="00BF0E15"/>
    <w:rsid w:val="00BF2D10"/>
    <w:rsid w:val="00BF6719"/>
    <w:rsid w:val="00BF6FD8"/>
    <w:rsid w:val="00C03680"/>
    <w:rsid w:val="00C054DF"/>
    <w:rsid w:val="00C12C99"/>
    <w:rsid w:val="00C21762"/>
    <w:rsid w:val="00C21FEF"/>
    <w:rsid w:val="00C24543"/>
    <w:rsid w:val="00C256A2"/>
    <w:rsid w:val="00C40341"/>
    <w:rsid w:val="00C51515"/>
    <w:rsid w:val="00C55F0F"/>
    <w:rsid w:val="00C5660B"/>
    <w:rsid w:val="00C66B72"/>
    <w:rsid w:val="00C734D1"/>
    <w:rsid w:val="00C8048F"/>
    <w:rsid w:val="00C83A59"/>
    <w:rsid w:val="00C87AC4"/>
    <w:rsid w:val="00C927EA"/>
    <w:rsid w:val="00C9567A"/>
    <w:rsid w:val="00CA73C3"/>
    <w:rsid w:val="00CB212D"/>
    <w:rsid w:val="00CB2660"/>
    <w:rsid w:val="00CC5E90"/>
    <w:rsid w:val="00CD046C"/>
    <w:rsid w:val="00CD7318"/>
    <w:rsid w:val="00CE076C"/>
    <w:rsid w:val="00CE5199"/>
    <w:rsid w:val="00CE66D5"/>
    <w:rsid w:val="00CE729E"/>
    <w:rsid w:val="00CF47A6"/>
    <w:rsid w:val="00CF637A"/>
    <w:rsid w:val="00D059DE"/>
    <w:rsid w:val="00D05ABD"/>
    <w:rsid w:val="00D11F95"/>
    <w:rsid w:val="00D13FCE"/>
    <w:rsid w:val="00D21316"/>
    <w:rsid w:val="00D24B29"/>
    <w:rsid w:val="00D306D1"/>
    <w:rsid w:val="00D30800"/>
    <w:rsid w:val="00D34786"/>
    <w:rsid w:val="00D358AF"/>
    <w:rsid w:val="00D37BFC"/>
    <w:rsid w:val="00D47A8E"/>
    <w:rsid w:val="00D52D14"/>
    <w:rsid w:val="00D53787"/>
    <w:rsid w:val="00D640F0"/>
    <w:rsid w:val="00D712D3"/>
    <w:rsid w:val="00D71422"/>
    <w:rsid w:val="00D72DC6"/>
    <w:rsid w:val="00D7558D"/>
    <w:rsid w:val="00D81D92"/>
    <w:rsid w:val="00D876F9"/>
    <w:rsid w:val="00D92541"/>
    <w:rsid w:val="00D97864"/>
    <w:rsid w:val="00DA1503"/>
    <w:rsid w:val="00DA2224"/>
    <w:rsid w:val="00DA7B5F"/>
    <w:rsid w:val="00DC11E7"/>
    <w:rsid w:val="00DC4545"/>
    <w:rsid w:val="00DC7023"/>
    <w:rsid w:val="00DC75DD"/>
    <w:rsid w:val="00DC769A"/>
    <w:rsid w:val="00DD3D86"/>
    <w:rsid w:val="00DD4AD2"/>
    <w:rsid w:val="00DE7C96"/>
    <w:rsid w:val="00DF1EC4"/>
    <w:rsid w:val="00DF38D8"/>
    <w:rsid w:val="00DF6B98"/>
    <w:rsid w:val="00E0340B"/>
    <w:rsid w:val="00E04A90"/>
    <w:rsid w:val="00E0551F"/>
    <w:rsid w:val="00E219C7"/>
    <w:rsid w:val="00E27F2F"/>
    <w:rsid w:val="00E4118C"/>
    <w:rsid w:val="00E43157"/>
    <w:rsid w:val="00E461CE"/>
    <w:rsid w:val="00E476AF"/>
    <w:rsid w:val="00E5163F"/>
    <w:rsid w:val="00E51CC5"/>
    <w:rsid w:val="00E52C5C"/>
    <w:rsid w:val="00E60A72"/>
    <w:rsid w:val="00E67B89"/>
    <w:rsid w:val="00E720CA"/>
    <w:rsid w:val="00E84EB5"/>
    <w:rsid w:val="00E85662"/>
    <w:rsid w:val="00E8789F"/>
    <w:rsid w:val="00E9000A"/>
    <w:rsid w:val="00E97B71"/>
    <w:rsid w:val="00EA3D34"/>
    <w:rsid w:val="00EB454D"/>
    <w:rsid w:val="00ED1D4C"/>
    <w:rsid w:val="00ED549D"/>
    <w:rsid w:val="00ED76BE"/>
    <w:rsid w:val="00EE00E9"/>
    <w:rsid w:val="00EE2D51"/>
    <w:rsid w:val="00EE65B4"/>
    <w:rsid w:val="00EF148E"/>
    <w:rsid w:val="00EF619B"/>
    <w:rsid w:val="00F00B55"/>
    <w:rsid w:val="00F02AD1"/>
    <w:rsid w:val="00F15FF5"/>
    <w:rsid w:val="00F22392"/>
    <w:rsid w:val="00F253CC"/>
    <w:rsid w:val="00F37106"/>
    <w:rsid w:val="00F519CF"/>
    <w:rsid w:val="00F55F3D"/>
    <w:rsid w:val="00F56BA5"/>
    <w:rsid w:val="00F60E22"/>
    <w:rsid w:val="00F669B1"/>
    <w:rsid w:val="00F81395"/>
    <w:rsid w:val="00F81BB8"/>
    <w:rsid w:val="00F917D1"/>
    <w:rsid w:val="00F93517"/>
    <w:rsid w:val="00F9653B"/>
    <w:rsid w:val="00F97337"/>
    <w:rsid w:val="00FB4AB4"/>
    <w:rsid w:val="00FB62CF"/>
    <w:rsid w:val="00FD3C3B"/>
    <w:rsid w:val="00FD602C"/>
    <w:rsid w:val="00FE07DD"/>
    <w:rsid w:val="00FE0979"/>
    <w:rsid w:val="00FE6B45"/>
    <w:rsid w:val="00FF49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4CF2-794D-4CB1-8079-27FA6A96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10183</Characters>
  <Application>Microsoft Office Word</Application>
  <DocSecurity>0</DocSecurity>
  <Lines>221</Lines>
  <Paragraphs>67</Paragraphs>
  <ScaleCrop>false</ScaleCrop>
  <HeadingPairs>
    <vt:vector size="2" baseType="variant">
      <vt:variant>
        <vt:lpstr>Title</vt:lpstr>
      </vt:variant>
      <vt:variant>
        <vt:i4>1</vt:i4>
      </vt:variant>
    </vt:vector>
  </HeadingPairs>
  <TitlesOfParts>
    <vt:vector size="1" baseType="lpstr">
      <vt:lpstr>Report No. 44/19</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44/19</dc:title>
  <dc:creator/>
  <cp:lastModifiedBy/>
  <cp:revision>1</cp:revision>
  <dcterms:created xsi:type="dcterms:W3CDTF">2019-05-24T14:08:00Z</dcterms:created>
  <dcterms:modified xsi:type="dcterms:W3CDTF">2019-05-24T14:10:00Z</dcterms:modified>
</cp:coreProperties>
</file>