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1" locked="0" layoutInCell="1" allowOverlap="1" wp14:anchorId="4B70000D" wp14:editId="1D49CCAD">
                <wp:simplePos x="0" y="0"/>
                <wp:positionH relativeFrom="column">
                  <wp:posOffset>-500932</wp:posOffset>
                </wp:positionH>
                <wp:positionV relativeFrom="paragraph">
                  <wp:posOffset>-397565</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553F2" id="Rectangle 1" o:spid="_x0000_s1026" style="position:absolute;margin-left:-39.45pt;margin-top:-31.3pt;width:111pt;height:706.9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B8D" w:rsidRDefault="00C41B8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41B8D" w:rsidRDefault="00C41B8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6F3474"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265BFE5E" wp14:editId="323A29DA">
                <wp:simplePos x="0" y="0"/>
                <wp:positionH relativeFrom="column">
                  <wp:posOffset>-707998</wp:posOffset>
                </wp:positionH>
                <wp:positionV relativeFrom="paragraph">
                  <wp:posOffset>132080</wp:posOffset>
                </wp:positionV>
                <wp:extent cx="1587997"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87997"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B8D" w:rsidRPr="006F3474" w:rsidRDefault="00C41B8D" w:rsidP="006F3474">
                            <w:pPr>
                              <w:spacing w:line="360" w:lineRule="auto"/>
                              <w:jc w:val="right"/>
                              <w:rPr>
                                <w:rFonts w:asciiTheme="minorHAnsi" w:hAnsiTheme="minorHAnsi"/>
                                <w:color w:val="FFFFFF" w:themeColor="background1"/>
                                <w:sz w:val="22"/>
                                <w:lang w:val="pt-BR"/>
                              </w:rPr>
                            </w:pPr>
                            <w:r w:rsidRPr="006F3474">
                              <w:rPr>
                                <w:rFonts w:asciiTheme="minorHAnsi" w:hAnsiTheme="minorHAnsi"/>
                                <w:color w:val="FFFFFF" w:themeColor="background1"/>
                                <w:sz w:val="22"/>
                                <w:lang w:val="pt-BR"/>
                              </w:rPr>
                              <w:t>OEA/Ser.L/V/II.</w:t>
                            </w:r>
                          </w:p>
                          <w:p w:rsidR="00C41B8D" w:rsidRPr="006F3474" w:rsidRDefault="00C41B8D" w:rsidP="006F3474">
                            <w:pPr>
                              <w:spacing w:line="360" w:lineRule="auto"/>
                              <w:jc w:val="right"/>
                              <w:rPr>
                                <w:rFonts w:asciiTheme="minorHAnsi" w:hAnsiTheme="minorHAnsi"/>
                                <w:color w:val="FFFFFF" w:themeColor="background1"/>
                                <w:sz w:val="22"/>
                                <w:lang w:val="pt-BR"/>
                              </w:rPr>
                            </w:pPr>
                            <w:r w:rsidRPr="006F3474">
                              <w:rPr>
                                <w:rFonts w:asciiTheme="minorHAnsi" w:hAnsiTheme="minorHAnsi"/>
                                <w:color w:val="FFFFFF" w:themeColor="background1"/>
                                <w:sz w:val="22"/>
                                <w:lang w:val="pt-BR"/>
                              </w:rPr>
                              <w:t xml:space="preserve">Doc. </w:t>
                            </w:r>
                            <w:r w:rsidR="006F3474" w:rsidRPr="006F3474">
                              <w:rPr>
                                <w:rFonts w:asciiTheme="minorHAnsi" w:hAnsiTheme="minorHAnsi"/>
                                <w:color w:val="FFFFFF" w:themeColor="background1"/>
                                <w:sz w:val="22"/>
                                <w:lang w:val="pt-BR"/>
                              </w:rPr>
                              <w:t>137</w:t>
                            </w:r>
                          </w:p>
                          <w:p w:rsidR="00C41B8D" w:rsidRPr="006F3474" w:rsidRDefault="00C41B8D" w:rsidP="006F3474">
                            <w:pPr>
                              <w:spacing w:line="360" w:lineRule="auto"/>
                              <w:jc w:val="right"/>
                              <w:rPr>
                                <w:rFonts w:asciiTheme="minorHAnsi" w:hAnsiTheme="minorHAnsi"/>
                                <w:color w:val="FFFFFF" w:themeColor="background1"/>
                                <w:sz w:val="22"/>
                              </w:rPr>
                            </w:pPr>
                            <w:r w:rsidRPr="006F3474">
                              <w:rPr>
                                <w:rFonts w:asciiTheme="minorHAnsi" w:hAnsiTheme="minorHAnsi"/>
                                <w:color w:val="FFFFFF" w:themeColor="background1"/>
                                <w:sz w:val="22"/>
                                <w:lang w:val="pt-BR"/>
                              </w:rPr>
                              <w:t xml:space="preserve"> </w:t>
                            </w:r>
                            <w:r w:rsidR="006F3474" w:rsidRPr="006F3474">
                              <w:rPr>
                                <w:rFonts w:asciiTheme="minorHAnsi" w:hAnsiTheme="minorHAnsi"/>
                                <w:color w:val="FFFFFF" w:themeColor="background1"/>
                                <w:sz w:val="22"/>
                              </w:rPr>
                              <w:t>16 August 2019</w:t>
                            </w:r>
                          </w:p>
                          <w:p w:rsidR="00C41B8D" w:rsidRPr="006F3474" w:rsidRDefault="00C41B8D" w:rsidP="006F3474">
                            <w:pPr>
                              <w:spacing w:line="360" w:lineRule="auto"/>
                              <w:jc w:val="right"/>
                              <w:rPr>
                                <w:rFonts w:asciiTheme="minorHAnsi" w:hAnsiTheme="minorHAnsi"/>
                                <w:color w:val="FFFFFF" w:themeColor="background1"/>
                                <w:sz w:val="22"/>
                              </w:rPr>
                            </w:pPr>
                            <w:r w:rsidRPr="006F3474">
                              <w:rPr>
                                <w:rFonts w:asciiTheme="minorHAnsi" w:hAnsiTheme="minorHAnsi"/>
                                <w:color w:val="FFFFFF" w:themeColor="background1"/>
                                <w:sz w:val="22"/>
                              </w:rPr>
                              <w:t>Original:</w:t>
                            </w:r>
                            <w:r w:rsidR="006F3474">
                              <w:rPr>
                                <w:rFonts w:asciiTheme="minorHAnsi" w:hAnsiTheme="minorHAnsi"/>
                                <w:color w:val="FFFFFF" w:themeColor="background1"/>
                                <w:sz w:val="22"/>
                              </w:rPr>
                              <w:t xml:space="preserve"> </w:t>
                            </w:r>
                            <w:r w:rsidRPr="006F3474">
                              <w:rPr>
                                <w:rFonts w:asciiTheme="minorHAnsi" w:hAnsiTheme="minorHAnsi"/>
                                <w:color w:val="FFFFFF" w:themeColor="background1"/>
                                <w:sz w:val="22"/>
                              </w:rPr>
                              <w:t xml:space="preserve">Portuguese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55.75pt;margin-top:10.4pt;width:125.05pt;height: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" filled="f" stroked="f" strokeweight=".5pt">
                <v:textbox>
                  <w:txbxContent>
                    <w:p w:rsidR="00C41B8D" w:rsidRPr="006F3474" w:rsidRDefault="00C41B8D" w:rsidP="006F3474">
                      <w:pPr>
                        <w:spacing w:line="360" w:lineRule="auto"/>
                        <w:jc w:val="right"/>
                        <w:rPr>
                          <w:rFonts w:asciiTheme="minorHAnsi" w:hAnsiTheme="minorHAnsi"/>
                          <w:color w:val="FFFFFF" w:themeColor="background1"/>
                          <w:sz w:val="22"/>
                          <w:lang w:val="pt-BR"/>
                        </w:rPr>
                      </w:pPr>
                      <w:r w:rsidRPr="006F3474">
                        <w:rPr>
                          <w:rFonts w:asciiTheme="minorHAnsi" w:hAnsiTheme="minorHAnsi"/>
                          <w:color w:val="FFFFFF" w:themeColor="background1"/>
                          <w:sz w:val="22"/>
                          <w:lang w:val="pt-BR"/>
                        </w:rPr>
                        <w:t>OEA/Ser.L/V/II.</w:t>
                      </w:r>
                    </w:p>
                    <w:p w:rsidR="00C41B8D" w:rsidRPr="006F3474" w:rsidRDefault="00C41B8D" w:rsidP="006F3474">
                      <w:pPr>
                        <w:spacing w:line="360" w:lineRule="auto"/>
                        <w:jc w:val="right"/>
                        <w:rPr>
                          <w:rFonts w:asciiTheme="minorHAnsi" w:hAnsiTheme="minorHAnsi"/>
                          <w:color w:val="FFFFFF" w:themeColor="background1"/>
                          <w:sz w:val="22"/>
                          <w:lang w:val="pt-BR"/>
                        </w:rPr>
                      </w:pPr>
                      <w:r w:rsidRPr="006F3474">
                        <w:rPr>
                          <w:rFonts w:asciiTheme="minorHAnsi" w:hAnsiTheme="minorHAnsi"/>
                          <w:color w:val="FFFFFF" w:themeColor="background1"/>
                          <w:sz w:val="22"/>
                          <w:lang w:val="pt-BR"/>
                        </w:rPr>
                        <w:t xml:space="preserve">Doc. </w:t>
                      </w:r>
                      <w:r w:rsidR="006F3474" w:rsidRPr="006F3474">
                        <w:rPr>
                          <w:rFonts w:asciiTheme="minorHAnsi" w:hAnsiTheme="minorHAnsi"/>
                          <w:color w:val="FFFFFF" w:themeColor="background1"/>
                          <w:sz w:val="22"/>
                          <w:lang w:val="pt-BR"/>
                        </w:rPr>
                        <w:t>137</w:t>
                      </w:r>
                    </w:p>
                    <w:p w:rsidR="00C41B8D" w:rsidRPr="006F3474" w:rsidRDefault="00C41B8D" w:rsidP="006F3474">
                      <w:pPr>
                        <w:spacing w:line="360" w:lineRule="auto"/>
                        <w:jc w:val="right"/>
                        <w:rPr>
                          <w:rFonts w:asciiTheme="minorHAnsi" w:hAnsiTheme="minorHAnsi"/>
                          <w:color w:val="FFFFFF" w:themeColor="background1"/>
                          <w:sz w:val="22"/>
                        </w:rPr>
                      </w:pPr>
                      <w:r w:rsidRPr="006F3474">
                        <w:rPr>
                          <w:rFonts w:asciiTheme="minorHAnsi" w:hAnsiTheme="minorHAnsi"/>
                          <w:color w:val="FFFFFF" w:themeColor="background1"/>
                          <w:sz w:val="22"/>
                          <w:lang w:val="pt-BR"/>
                        </w:rPr>
                        <w:t xml:space="preserve"> </w:t>
                      </w:r>
                      <w:r w:rsidR="006F3474" w:rsidRPr="006F3474">
                        <w:rPr>
                          <w:rFonts w:asciiTheme="minorHAnsi" w:hAnsiTheme="minorHAnsi"/>
                          <w:color w:val="FFFFFF" w:themeColor="background1"/>
                          <w:sz w:val="22"/>
                        </w:rPr>
                        <w:t>16 August 2019</w:t>
                      </w:r>
                    </w:p>
                    <w:p w:rsidR="00C41B8D" w:rsidRPr="006F3474" w:rsidRDefault="00C41B8D" w:rsidP="006F3474">
                      <w:pPr>
                        <w:spacing w:line="360" w:lineRule="auto"/>
                        <w:jc w:val="right"/>
                        <w:rPr>
                          <w:rFonts w:asciiTheme="minorHAnsi" w:hAnsiTheme="minorHAnsi"/>
                          <w:color w:val="FFFFFF" w:themeColor="background1"/>
                          <w:sz w:val="22"/>
                        </w:rPr>
                      </w:pPr>
                      <w:r w:rsidRPr="006F3474">
                        <w:rPr>
                          <w:rFonts w:asciiTheme="minorHAnsi" w:hAnsiTheme="minorHAnsi"/>
                          <w:color w:val="FFFFFF" w:themeColor="background1"/>
                          <w:sz w:val="22"/>
                        </w:rPr>
                        <w:t>Original:</w:t>
                      </w:r>
                      <w:r w:rsidR="006F3474">
                        <w:rPr>
                          <w:rFonts w:asciiTheme="minorHAnsi" w:hAnsiTheme="minorHAnsi"/>
                          <w:color w:val="FFFFFF" w:themeColor="background1"/>
                          <w:sz w:val="22"/>
                        </w:rPr>
                        <w:t xml:space="preserve"> </w:t>
                      </w:r>
                      <w:r w:rsidRPr="006F3474">
                        <w:rPr>
                          <w:rFonts w:asciiTheme="minorHAnsi" w:hAnsiTheme="minorHAnsi"/>
                          <w:color w:val="FFFFFF" w:themeColor="background1"/>
                          <w:sz w:val="22"/>
                        </w:rPr>
                        <w:t xml:space="preserve">Portuguese </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56192"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B8D" w:rsidRPr="004B7EB6" w:rsidRDefault="00C41B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F3474">
                              <w:rPr>
                                <w:rFonts w:asciiTheme="majorHAnsi" w:hAnsiTheme="majorHAnsi" w:cs="Arial"/>
                                <w:b/>
                                <w:bCs/>
                                <w:color w:val="0D0D0D" w:themeColor="text1" w:themeTint="F2"/>
                                <w:sz w:val="36"/>
                                <w:szCs w:val="40"/>
                              </w:rPr>
                              <w:t>128</w:t>
                            </w:r>
                            <w:r w:rsidRPr="004B7EB6">
                              <w:rPr>
                                <w:rFonts w:asciiTheme="majorHAnsi" w:hAnsiTheme="majorHAnsi" w:cs="Arial"/>
                                <w:b/>
                                <w:bCs/>
                                <w:color w:val="0D0D0D" w:themeColor="text1" w:themeTint="F2"/>
                                <w:sz w:val="36"/>
                                <w:szCs w:val="40"/>
                              </w:rPr>
                              <w:t>/</w:t>
                            </w:r>
                            <w:r w:rsidR="006F3474">
                              <w:rPr>
                                <w:rFonts w:asciiTheme="majorHAnsi" w:hAnsiTheme="majorHAnsi" w:cs="Arial"/>
                                <w:b/>
                                <w:bCs/>
                                <w:color w:val="0D0D0D" w:themeColor="text1" w:themeTint="F2"/>
                                <w:sz w:val="36"/>
                                <w:szCs w:val="40"/>
                              </w:rPr>
                              <w:t>19</w:t>
                            </w:r>
                          </w:p>
                          <w:p w:rsidR="00C41B8D" w:rsidRPr="004B7EB6" w:rsidRDefault="00C41B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1174-09</w:t>
                            </w:r>
                          </w:p>
                          <w:p w:rsidR="00C41B8D" w:rsidRPr="004B7EB6" w:rsidRDefault="00C41B8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41B8D" w:rsidRPr="004B7EB6" w:rsidRDefault="00C41B8D" w:rsidP="004B7EB6">
                            <w:pPr>
                              <w:spacing w:line="276" w:lineRule="auto"/>
                              <w:rPr>
                                <w:rFonts w:asciiTheme="majorHAnsi" w:hAnsiTheme="majorHAnsi" w:cs="Arial"/>
                                <w:color w:val="0D0D0D" w:themeColor="text1" w:themeTint="F2"/>
                                <w:szCs w:val="22"/>
                              </w:rPr>
                            </w:pPr>
                          </w:p>
                          <w:p w:rsidR="00C41B8D" w:rsidRPr="008E0C48" w:rsidRDefault="008E0C48" w:rsidP="00E52664">
                            <w:pPr>
                              <w:spacing w:line="276" w:lineRule="auto"/>
                              <w:rPr>
                                <w:rFonts w:asciiTheme="majorHAnsi" w:hAnsiTheme="majorHAnsi" w:cs="Arial"/>
                                <w:color w:val="0D0D0D" w:themeColor="text1" w:themeTint="F2"/>
                                <w:szCs w:val="22"/>
                                <w:lang w:val="fr-CA"/>
                              </w:rPr>
                            </w:pPr>
                            <w:r w:rsidRPr="008E0C48">
                              <w:rPr>
                                <w:rFonts w:asciiTheme="majorHAnsi" w:hAnsiTheme="majorHAnsi" w:cs="Arial"/>
                                <w:color w:val="0D0D0D" w:themeColor="text1" w:themeTint="F2"/>
                                <w:szCs w:val="22"/>
                                <w:lang w:val="fr-CA"/>
                              </w:rPr>
                              <w:t>JOSÉ RAFAEL BREZER ET AL</w:t>
                            </w:r>
                            <w:r w:rsidR="001A12EA">
                              <w:rPr>
                                <w:rFonts w:asciiTheme="majorHAnsi" w:hAnsiTheme="majorHAnsi" w:cs="Arial"/>
                                <w:color w:val="0D0D0D" w:themeColor="text1" w:themeTint="F2"/>
                                <w:szCs w:val="22"/>
                                <w:lang w:val="fr-CA"/>
                              </w:rPr>
                              <w:t>.</w:t>
                            </w:r>
                          </w:p>
                          <w:p w:rsidR="00C41B8D" w:rsidRPr="008E0C48" w:rsidRDefault="00C41B8D" w:rsidP="00E52664">
                            <w:pPr>
                              <w:spacing w:line="276" w:lineRule="auto"/>
                              <w:rPr>
                                <w:rFonts w:asciiTheme="majorHAnsi" w:hAnsiTheme="majorHAnsi" w:cs="Arial"/>
                                <w:color w:val="0D0D0D" w:themeColor="text1" w:themeTint="F2"/>
                                <w:szCs w:val="22"/>
                                <w:lang w:val="fr-CA"/>
                              </w:rPr>
                            </w:pPr>
                            <w:r w:rsidRPr="008E0C48">
                              <w:rPr>
                                <w:rFonts w:asciiTheme="majorHAnsi" w:hAnsiTheme="majorHAnsi" w:cs="Arial"/>
                                <w:color w:val="0D0D0D" w:themeColor="text1" w:themeTint="F2"/>
                                <w:szCs w:val="22"/>
                                <w:lang w:val="fr-CA"/>
                              </w:rPr>
                              <w:t>BRAZIL</w:t>
                            </w:r>
                          </w:p>
                          <w:p w:rsidR="00C41B8D" w:rsidRPr="008E0C48" w:rsidRDefault="00C41B8D" w:rsidP="00F42B71">
                            <w:pPr>
                              <w:spacing w:line="276" w:lineRule="auto"/>
                              <w:rPr>
                                <w:rFonts w:asciiTheme="majorHAnsi" w:hAnsiTheme="majorHAnsi"/>
                                <w:color w:val="0D0D0D" w:themeColor="text1" w:themeTint="F2"/>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C41B8D" w:rsidRPr="004B7EB6" w:rsidRDefault="00C41B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F3474">
                        <w:rPr>
                          <w:rFonts w:asciiTheme="majorHAnsi" w:hAnsiTheme="majorHAnsi" w:cs="Arial"/>
                          <w:b/>
                          <w:bCs/>
                          <w:color w:val="0D0D0D" w:themeColor="text1" w:themeTint="F2"/>
                          <w:sz w:val="36"/>
                          <w:szCs w:val="40"/>
                        </w:rPr>
                        <w:t>128</w:t>
                      </w:r>
                      <w:r w:rsidRPr="004B7EB6">
                        <w:rPr>
                          <w:rFonts w:asciiTheme="majorHAnsi" w:hAnsiTheme="majorHAnsi" w:cs="Arial"/>
                          <w:b/>
                          <w:bCs/>
                          <w:color w:val="0D0D0D" w:themeColor="text1" w:themeTint="F2"/>
                          <w:sz w:val="36"/>
                          <w:szCs w:val="40"/>
                        </w:rPr>
                        <w:t>/</w:t>
                      </w:r>
                      <w:r w:rsidR="006F3474">
                        <w:rPr>
                          <w:rFonts w:asciiTheme="majorHAnsi" w:hAnsiTheme="majorHAnsi" w:cs="Arial"/>
                          <w:b/>
                          <w:bCs/>
                          <w:color w:val="0D0D0D" w:themeColor="text1" w:themeTint="F2"/>
                          <w:sz w:val="36"/>
                          <w:szCs w:val="40"/>
                        </w:rPr>
                        <w:t>19</w:t>
                      </w:r>
                    </w:p>
                    <w:p w:rsidR="00C41B8D" w:rsidRPr="004B7EB6" w:rsidRDefault="00C41B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1174-09</w:t>
                      </w:r>
                    </w:p>
                    <w:p w:rsidR="00C41B8D" w:rsidRPr="004B7EB6" w:rsidRDefault="00C41B8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C41B8D" w:rsidRPr="004B7EB6" w:rsidRDefault="00C41B8D" w:rsidP="004B7EB6">
                      <w:pPr>
                        <w:spacing w:line="276" w:lineRule="auto"/>
                        <w:rPr>
                          <w:rFonts w:asciiTheme="majorHAnsi" w:hAnsiTheme="majorHAnsi" w:cs="Arial"/>
                          <w:color w:val="0D0D0D" w:themeColor="text1" w:themeTint="F2"/>
                          <w:szCs w:val="22"/>
                        </w:rPr>
                      </w:pPr>
                    </w:p>
                    <w:p w:rsidR="00C41B8D" w:rsidRPr="008E0C48" w:rsidRDefault="008E0C48" w:rsidP="00E52664">
                      <w:pPr>
                        <w:spacing w:line="276" w:lineRule="auto"/>
                        <w:rPr>
                          <w:rFonts w:asciiTheme="majorHAnsi" w:hAnsiTheme="majorHAnsi" w:cs="Arial"/>
                          <w:color w:val="0D0D0D" w:themeColor="text1" w:themeTint="F2"/>
                          <w:szCs w:val="22"/>
                          <w:lang w:val="fr-CA"/>
                        </w:rPr>
                      </w:pPr>
                      <w:r w:rsidRPr="008E0C48">
                        <w:rPr>
                          <w:rFonts w:asciiTheme="majorHAnsi" w:hAnsiTheme="majorHAnsi" w:cs="Arial"/>
                          <w:color w:val="0D0D0D" w:themeColor="text1" w:themeTint="F2"/>
                          <w:szCs w:val="22"/>
                          <w:lang w:val="fr-CA"/>
                        </w:rPr>
                        <w:t>JOSÉ RAFAEL BREZER ET AL</w:t>
                      </w:r>
                      <w:r w:rsidR="001A12EA">
                        <w:rPr>
                          <w:rFonts w:asciiTheme="majorHAnsi" w:hAnsiTheme="majorHAnsi" w:cs="Arial"/>
                          <w:color w:val="0D0D0D" w:themeColor="text1" w:themeTint="F2"/>
                          <w:szCs w:val="22"/>
                          <w:lang w:val="fr-CA"/>
                        </w:rPr>
                        <w:t>.</w:t>
                      </w:r>
                    </w:p>
                    <w:p w:rsidR="00C41B8D" w:rsidRPr="008E0C48" w:rsidRDefault="00C41B8D" w:rsidP="00E52664">
                      <w:pPr>
                        <w:spacing w:line="276" w:lineRule="auto"/>
                        <w:rPr>
                          <w:rFonts w:asciiTheme="majorHAnsi" w:hAnsiTheme="majorHAnsi" w:cs="Arial"/>
                          <w:color w:val="0D0D0D" w:themeColor="text1" w:themeTint="F2"/>
                          <w:szCs w:val="22"/>
                          <w:lang w:val="fr-CA"/>
                        </w:rPr>
                      </w:pPr>
                      <w:r w:rsidRPr="008E0C48">
                        <w:rPr>
                          <w:rFonts w:asciiTheme="majorHAnsi" w:hAnsiTheme="majorHAnsi" w:cs="Arial"/>
                          <w:color w:val="0D0D0D" w:themeColor="text1" w:themeTint="F2"/>
                          <w:szCs w:val="22"/>
                          <w:lang w:val="fr-CA"/>
                        </w:rPr>
                        <w:t>BRAZIL</w:t>
                      </w:r>
                    </w:p>
                    <w:p w:rsidR="00C41B8D" w:rsidRPr="008E0C48" w:rsidRDefault="00C41B8D" w:rsidP="00F42B71">
                      <w:pPr>
                        <w:spacing w:line="276" w:lineRule="auto"/>
                        <w:rPr>
                          <w:rFonts w:asciiTheme="majorHAnsi" w:hAnsiTheme="majorHAnsi"/>
                          <w:color w:val="0D0D0D" w:themeColor="text1" w:themeTint="F2"/>
                          <w:lang w:val="fr-CA"/>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9C852D3">
                <wp:simplePos x="0" y="0"/>
                <wp:positionH relativeFrom="column">
                  <wp:posOffset>1206500</wp:posOffset>
                </wp:positionH>
                <wp:positionV relativeFrom="paragraph">
                  <wp:posOffset>67310</wp:posOffset>
                </wp:positionV>
                <wp:extent cx="4595495" cy="704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B8D" w:rsidRPr="003C32BC" w:rsidRDefault="00C41B8D" w:rsidP="001A12EA">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6F3474">
                              <w:rPr>
                                <w:rFonts w:asciiTheme="majorHAnsi" w:hAnsiTheme="majorHAnsi"/>
                                <w:color w:val="0D0D0D" w:themeColor="text1" w:themeTint="F2"/>
                                <w:sz w:val="18"/>
                                <w:szCs w:val="22"/>
                              </w:rPr>
                              <w:t>August 16</w:t>
                            </w:r>
                            <w:r>
                              <w:rPr>
                                <w:rFonts w:asciiTheme="majorHAnsi" w:hAnsiTheme="majorHAnsi"/>
                                <w:color w:val="0D0D0D" w:themeColor="text1" w:themeTint="F2"/>
                                <w:sz w:val="18"/>
                                <w:szCs w:val="22"/>
                              </w:rPr>
                              <w:t>, 2019</w:t>
                            </w:r>
                            <w:r w:rsidR="006F3474">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5.3pt;width:361.8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" filled="f" stroked="f" strokeweight=".5pt">
                <v:textbox>
                  <w:txbxContent>
                    <w:p w:rsidR="00C41B8D" w:rsidRPr="003C32BC" w:rsidRDefault="00C41B8D" w:rsidP="001A12EA">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6F3474">
                        <w:rPr>
                          <w:rFonts w:asciiTheme="majorHAnsi" w:hAnsiTheme="majorHAnsi"/>
                          <w:color w:val="0D0D0D" w:themeColor="text1" w:themeTint="F2"/>
                          <w:sz w:val="18"/>
                          <w:szCs w:val="22"/>
                        </w:rPr>
                        <w:t>August 16</w:t>
                      </w:r>
                      <w:r>
                        <w:rPr>
                          <w:rFonts w:asciiTheme="majorHAnsi" w:hAnsiTheme="majorHAnsi"/>
                          <w:color w:val="0D0D0D" w:themeColor="text1" w:themeTint="F2"/>
                          <w:sz w:val="18"/>
                          <w:szCs w:val="22"/>
                        </w:rPr>
                        <w:t>, 2019</w:t>
                      </w:r>
                      <w:r w:rsidR="006F3474">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E512A9"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58752" behindDoc="0" locked="0" layoutInCell="1" allowOverlap="1" wp14:anchorId="10BA30C6" wp14:editId="7B2AFFB4">
                <wp:simplePos x="0" y="0"/>
                <wp:positionH relativeFrom="column">
                  <wp:posOffset>1237970</wp:posOffset>
                </wp:positionH>
                <wp:positionV relativeFrom="paragraph">
                  <wp:posOffset>12700</wp:posOffset>
                </wp:positionV>
                <wp:extent cx="4824095" cy="67551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75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B8D" w:rsidRPr="002F10CB" w:rsidRDefault="00C41B8D" w:rsidP="00F644E6">
                            <w:pPr>
                              <w:spacing w:line="276" w:lineRule="auto"/>
                              <w:rPr>
                                <w:rFonts w:asciiTheme="majorHAnsi" w:hAnsiTheme="majorHAnsi"/>
                                <w:color w:val="595959" w:themeColor="text1" w:themeTint="A6"/>
                                <w:sz w:val="18"/>
                              </w:rPr>
                            </w:pPr>
                            <w:r w:rsidRPr="002F10CB">
                              <w:rPr>
                                <w:rFonts w:asciiTheme="majorHAnsi" w:hAnsiTheme="majorHAnsi"/>
                                <w:b/>
                                <w:color w:val="595959" w:themeColor="text1" w:themeTint="A6"/>
                                <w:sz w:val="18"/>
                              </w:rPr>
                              <w:t xml:space="preserve">Cite as: </w:t>
                            </w:r>
                            <w:r w:rsidRPr="002F10CB">
                              <w:rPr>
                                <w:rFonts w:asciiTheme="majorHAnsi" w:hAnsiTheme="majorHAnsi"/>
                                <w:color w:val="595959" w:themeColor="text1" w:themeTint="A6"/>
                                <w:sz w:val="18"/>
                              </w:rPr>
                              <w:t xml:space="preserve">IACHR, Report No. </w:t>
                            </w:r>
                            <w:r w:rsidR="006F3474">
                              <w:rPr>
                                <w:rFonts w:asciiTheme="majorHAnsi" w:hAnsiTheme="majorHAnsi"/>
                                <w:color w:val="595959" w:themeColor="text1" w:themeTint="A6"/>
                                <w:sz w:val="18"/>
                              </w:rPr>
                              <w:t>128</w:t>
                            </w:r>
                            <w:r w:rsidRPr="002F10CB">
                              <w:rPr>
                                <w:rFonts w:asciiTheme="majorHAnsi" w:hAnsiTheme="majorHAnsi"/>
                                <w:color w:val="595959" w:themeColor="text1" w:themeTint="A6"/>
                                <w:sz w:val="18"/>
                              </w:rPr>
                              <w:t xml:space="preserve">/19, Petition 1174-09. </w:t>
                            </w:r>
                            <w:r w:rsidRPr="001D3742">
                              <w:rPr>
                                <w:rFonts w:asciiTheme="majorHAnsi" w:hAnsiTheme="majorHAnsi"/>
                                <w:color w:val="595959" w:themeColor="text1" w:themeTint="A6"/>
                                <w:sz w:val="18"/>
                                <w:lang w:val="fr-CA"/>
                              </w:rPr>
                              <w:t xml:space="preserve">Admissibility. José Rafael Brezer et al.  </w:t>
                            </w:r>
                            <w:r w:rsidR="006F3474">
                              <w:rPr>
                                <w:rFonts w:asciiTheme="majorHAnsi" w:hAnsiTheme="majorHAnsi"/>
                                <w:color w:val="595959" w:themeColor="text1" w:themeTint="A6"/>
                                <w:sz w:val="18"/>
                              </w:rPr>
                              <w:t>Brazil. August 16, 2019</w:t>
                            </w:r>
                            <w:r w:rsidRPr="002F10CB">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7.5pt;margin-top:1pt;width:379.85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" filled="f" stroked="f" strokeweight=".5pt">
                <v:textbox>
                  <w:txbxContent>
                    <w:p w:rsidR="00C41B8D" w:rsidRPr="002F10CB" w:rsidRDefault="00C41B8D" w:rsidP="00F644E6">
                      <w:pPr>
                        <w:spacing w:line="276" w:lineRule="auto"/>
                        <w:rPr>
                          <w:rFonts w:asciiTheme="majorHAnsi" w:hAnsiTheme="majorHAnsi"/>
                          <w:color w:val="595959" w:themeColor="text1" w:themeTint="A6"/>
                          <w:sz w:val="18"/>
                        </w:rPr>
                      </w:pPr>
                      <w:r w:rsidRPr="002F10CB">
                        <w:rPr>
                          <w:rFonts w:asciiTheme="majorHAnsi" w:hAnsiTheme="majorHAnsi"/>
                          <w:b/>
                          <w:color w:val="595959" w:themeColor="text1" w:themeTint="A6"/>
                          <w:sz w:val="18"/>
                        </w:rPr>
                        <w:t xml:space="preserve">Cite as: </w:t>
                      </w:r>
                      <w:r w:rsidRPr="002F10CB">
                        <w:rPr>
                          <w:rFonts w:asciiTheme="majorHAnsi" w:hAnsiTheme="majorHAnsi"/>
                          <w:color w:val="595959" w:themeColor="text1" w:themeTint="A6"/>
                          <w:sz w:val="18"/>
                        </w:rPr>
                        <w:t xml:space="preserve">IACHR, Report No. </w:t>
                      </w:r>
                      <w:r w:rsidR="006F3474">
                        <w:rPr>
                          <w:rFonts w:asciiTheme="majorHAnsi" w:hAnsiTheme="majorHAnsi"/>
                          <w:color w:val="595959" w:themeColor="text1" w:themeTint="A6"/>
                          <w:sz w:val="18"/>
                        </w:rPr>
                        <w:t>128</w:t>
                      </w:r>
                      <w:r w:rsidRPr="002F10CB">
                        <w:rPr>
                          <w:rFonts w:asciiTheme="majorHAnsi" w:hAnsiTheme="majorHAnsi"/>
                          <w:color w:val="595959" w:themeColor="text1" w:themeTint="A6"/>
                          <w:sz w:val="18"/>
                        </w:rPr>
                        <w:t xml:space="preserve">/19, Petition 1174-09. </w:t>
                      </w:r>
                      <w:r w:rsidRPr="001D3742">
                        <w:rPr>
                          <w:rFonts w:asciiTheme="majorHAnsi" w:hAnsiTheme="majorHAnsi"/>
                          <w:color w:val="595959" w:themeColor="text1" w:themeTint="A6"/>
                          <w:sz w:val="18"/>
                          <w:lang w:val="fr-CA"/>
                        </w:rPr>
                        <w:t xml:space="preserve">Admissibility. José Rafael Brezer et al.  </w:t>
                      </w:r>
                      <w:r w:rsidR="006F3474">
                        <w:rPr>
                          <w:rFonts w:asciiTheme="majorHAnsi" w:hAnsiTheme="majorHAnsi"/>
                          <w:color w:val="595959" w:themeColor="text1" w:themeTint="A6"/>
                          <w:sz w:val="18"/>
                        </w:rPr>
                        <w:t>Brazil. August 16, 2019</w:t>
                      </w:r>
                      <w:r w:rsidRPr="002F10CB">
                        <w:rPr>
                          <w:rFonts w:asciiTheme="majorHAnsi" w:hAnsiTheme="majorHAnsi"/>
                          <w:color w:val="595959" w:themeColor="text1" w:themeTint="A6"/>
                          <w:sz w:val="18"/>
                        </w:rPr>
                        <w:t>.</w:t>
                      </w:r>
                    </w:p>
                  </w:txbxContent>
                </v:textbox>
              </v:shape>
            </w:pict>
          </mc:Fallback>
        </mc:AlternateContent>
      </w: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B8D" w:rsidRPr="004B7EB6" w:rsidRDefault="00C41B8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C41B8D" w:rsidRPr="004B7EB6" w:rsidRDefault="00C41B8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B8D" w:rsidRDefault="00C41B8D">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C41B8D" w:rsidRDefault="00C41B8D">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610"/>
        <w:gridCol w:w="6750"/>
      </w:tblGrid>
      <w:tr w:rsidR="00746DEB" w:rsidRPr="00746DEB" w:rsidTr="00746DEB">
        <w:tc>
          <w:tcPr>
            <w:tcW w:w="2610" w:type="dxa"/>
            <w:tcBorders>
              <w:top w:val="single" w:sz="4"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bCs/>
                <w:color w:val="FFFFFF" w:themeColor="background1"/>
                <w:sz w:val="19"/>
                <w:szCs w:val="19"/>
                <w:lang w:val="es-ES" w:eastAsia="es-ES"/>
              </w:rPr>
              <w:t>Petitioner</w:t>
            </w:r>
          </w:p>
        </w:tc>
        <w:tc>
          <w:tcPr>
            <w:tcW w:w="6750" w:type="dxa"/>
            <w:vAlign w:val="center"/>
          </w:tcPr>
          <w:p w:rsidR="00746DEB" w:rsidRPr="00746DEB" w:rsidRDefault="00746DEB" w:rsidP="00746DEB">
            <w:pPr>
              <w:jc w:val="both"/>
              <w:rPr>
                <w:rFonts w:ascii="Cambria" w:hAnsi="Cambria"/>
                <w:bCs/>
                <w:sz w:val="19"/>
                <w:szCs w:val="19"/>
              </w:rPr>
            </w:pPr>
            <w:r w:rsidRPr="00746DEB">
              <w:rPr>
                <w:rFonts w:asciiTheme="majorHAnsi" w:hAnsiTheme="majorHAnsi"/>
                <w:bCs/>
                <w:sz w:val="19"/>
                <w:szCs w:val="19"/>
              </w:rPr>
              <w:t>Inter-American Foundation for the Defense of Human Rights (FidDH: Fundação Interamericana de Defesa dos Direitos Humanos) and the Associationn of Christians for the Abolition of Torture (ACAT)</w:t>
            </w:r>
          </w:p>
        </w:tc>
      </w:tr>
      <w:tr w:rsidR="00746DEB" w:rsidRPr="00746DEB" w:rsidTr="00746DEB">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bCs/>
                <w:color w:val="FFFFFF" w:themeColor="background1"/>
                <w:sz w:val="19"/>
                <w:szCs w:val="19"/>
                <w:lang w:val="es-ES" w:eastAsia="es-ES"/>
              </w:rPr>
              <w:t>Alleged victim</w:t>
            </w:r>
          </w:p>
        </w:tc>
        <w:tc>
          <w:tcPr>
            <w:tcW w:w="6750" w:type="dxa"/>
            <w:vAlign w:val="center"/>
          </w:tcPr>
          <w:p w:rsidR="00746DEB" w:rsidRPr="00746DEB" w:rsidRDefault="00746DEB" w:rsidP="00746DEB">
            <w:pPr>
              <w:jc w:val="both"/>
              <w:rPr>
                <w:rFonts w:ascii="Cambria" w:hAnsi="Cambria"/>
                <w:bCs/>
                <w:sz w:val="19"/>
                <w:szCs w:val="19"/>
              </w:rPr>
            </w:pPr>
            <w:r w:rsidRPr="00746DEB">
              <w:rPr>
                <w:rFonts w:ascii="Cambria" w:hAnsi="Cambria"/>
                <w:bCs/>
                <w:sz w:val="19"/>
                <w:szCs w:val="19"/>
              </w:rPr>
              <w:t>José Brezer et al.</w:t>
            </w:r>
            <w:r w:rsidRPr="00746DEB">
              <w:rPr>
                <w:rStyle w:val="FootnoteReference"/>
                <w:rFonts w:asciiTheme="majorHAnsi" w:hAnsiTheme="majorHAnsi"/>
                <w:bCs/>
                <w:sz w:val="19"/>
                <w:szCs w:val="19"/>
                <w:lang w:val="pt-BR"/>
              </w:rPr>
              <w:footnoteReference w:id="2"/>
            </w:r>
          </w:p>
        </w:tc>
      </w:tr>
      <w:tr w:rsidR="00746DEB" w:rsidRPr="00746DEB" w:rsidTr="00746DEB">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bCs/>
                <w:color w:val="FFFFFF" w:themeColor="background1"/>
                <w:sz w:val="19"/>
                <w:szCs w:val="19"/>
                <w:lang w:val="es-ES" w:eastAsia="es-ES"/>
              </w:rPr>
              <w:t>Respondent State</w:t>
            </w:r>
          </w:p>
        </w:tc>
        <w:tc>
          <w:tcPr>
            <w:tcW w:w="6750" w:type="dxa"/>
            <w:vAlign w:val="center"/>
          </w:tcPr>
          <w:p w:rsidR="00746DEB" w:rsidRPr="00746DEB" w:rsidRDefault="00746DEB" w:rsidP="00746DEB">
            <w:pPr>
              <w:jc w:val="both"/>
              <w:rPr>
                <w:rFonts w:ascii="Cambria" w:hAnsi="Cambria"/>
                <w:bCs/>
                <w:sz w:val="19"/>
                <w:szCs w:val="19"/>
              </w:rPr>
            </w:pPr>
            <w:r w:rsidRPr="00746DEB">
              <w:rPr>
                <w:rFonts w:asciiTheme="majorHAnsi" w:hAnsiTheme="majorHAnsi"/>
                <w:bCs/>
                <w:sz w:val="19"/>
                <w:szCs w:val="19"/>
                <w:lang w:val="pt-BR"/>
              </w:rPr>
              <w:t>Brazil</w:t>
            </w:r>
            <w:r w:rsidRPr="00746DEB">
              <w:rPr>
                <w:rStyle w:val="FootnoteReference"/>
                <w:rFonts w:asciiTheme="majorHAnsi" w:hAnsiTheme="majorHAnsi"/>
                <w:bCs/>
                <w:sz w:val="19"/>
                <w:szCs w:val="19"/>
                <w:lang w:val="pt-BR"/>
              </w:rPr>
              <w:footnoteReference w:id="3"/>
            </w:r>
          </w:p>
        </w:tc>
      </w:tr>
      <w:tr w:rsidR="00746DEB" w:rsidRPr="00746DEB" w:rsidTr="00746DEB">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bCs/>
                <w:color w:val="FFFFFF" w:themeColor="background1"/>
                <w:sz w:val="19"/>
                <w:szCs w:val="19"/>
                <w:lang w:val="es-ES" w:eastAsia="es-ES"/>
              </w:rPr>
              <w:t>Rights invoked</w:t>
            </w:r>
          </w:p>
        </w:tc>
        <w:tc>
          <w:tcPr>
            <w:tcW w:w="6750" w:type="dxa"/>
            <w:vAlign w:val="center"/>
          </w:tcPr>
          <w:p w:rsidR="00746DEB" w:rsidRPr="00746DEB" w:rsidRDefault="00746DEB" w:rsidP="00746DEB">
            <w:pPr>
              <w:jc w:val="both"/>
              <w:rPr>
                <w:rFonts w:ascii="Cambria" w:hAnsi="Cambria"/>
                <w:bCs/>
                <w:sz w:val="19"/>
                <w:szCs w:val="19"/>
              </w:rPr>
            </w:pPr>
            <w:r w:rsidRPr="00746DEB">
              <w:rPr>
                <w:rFonts w:asciiTheme="majorHAnsi" w:hAnsiTheme="majorHAnsi"/>
                <w:bCs/>
                <w:sz w:val="19"/>
                <w:szCs w:val="19"/>
              </w:rPr>
              <w:t>Articles 5 (humane treatment), 7 (personal liberty), 8 (judicial guarantees), 19 (rights of the child), 24 (equality before the law), and 25 (judicial protection), all in conjunction with Articles 1(1) (obligation to respect the rights) and 2 (obligation to adopt domestic law provisions) of the American Convention on Human Rights</w:t>
            </w:r>
            <w:r w:rsidRPr="00746DEB">
              <w:rPr>
                <w:rStyle w:val="FootnoteReference"/>
                <w:rFonts w:asciiTheme="majorHAnsi" w:hAnsiTheme="majorHAnsi"/>
                <w:bCs/>
                <w:sz w:val="19"/>
                <w:szCs w:val="19"/>
                <w:lang w:val="pt-BR"/>
              </w:rPr>
              <w:footnoteReference w:id="4"/>
            </w:r>
            <w:r w:rsidRPr="00746DEB">
              <w:rPr>
                <w:rFonts w:asciiTheme="majorHAnsi" w:hAnsiTheme="majorHAnsi"/>
                <w:bCs/>
                <w:sz w:val="19"/>
                <w:szCs w:val="19"/>
              </w:rPr>
              <w:t>; and Articles 1, 6, 7, 8, and 9 of the Inter-American Convention to Prevent and Punish Torture</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610"/>
        <w:gridCol w:w="6750"/>
      </w:tblGrid>
      <w:tr w:rsidR="00F621C3" w:rsidRPr="00746DEB" w:rsidTr="00746DEB">
        <w:tc>
          <w:tcPr>
            <w:tcW w:w="2610" w:type="dxa"/>
            <w:tcBorders>
              <w:top w:val="single" w:sz="6" w:space="0" w:color="auto"/>
              <w:bottom w:val="single" w:sz="6" w:space="0" w:color="auto"/>
            </w:tcBorders>
            <w:shd w:val="clear" w:color="auto" w:fill="67AE3C"/>
            <w:vAlign w:val="center"/>
          </w:tcPr>
          <w:p w:rsidR="00F621C3" w:rsidRPr="00746DEB" w:rsidRDefault="00746DEB" w:rsidP="00B06BB7">
            <w:pPr>
              <w:jc w:val="center"/>
              <w:rPr>
                <w:rFonts w:ascii="Cambria" w:hAnsi="Cambria"/>
                <w:b/>
                <w:bCs/>
                <w:color w:val="FFFFFF" w:themeColor="background1"/>
                <w:sz w:val="19"/>
                <w:szCs w:val="19"/>
              </w:rPr>
            </w:pPr>
            <w:r w:rsidRPr="00746DEB">
              <w:rPr>
                <w:rFonts w:ascii="Cambria" w:hAnsi="Cambria"/>
                <w:bCs/>
                <w:color w:val="FFFFFF" w:themeColor="background1"/>
                <w:sz w:val="19"/>
                <w:szCs w:val="19"/>
              </w:rPr>
              <w:t>Filing of the petition</w:t>
            </w:r>
          </w:p>
        </w:tc>
        <w:tc>
          <w:tcPr>
            <w:tcW w:w="6750" w:type="dxa"/>
            <w:vAlign w:val="center"/>
          </w:tcPr>
          <w:p w:rsidR="00F621C3" w:rsidRPr="00746DEB" w:rsidRDefault="00513ECE" w:rsidP="00C41B8D">
            <w:pPr>
              <w:jc w:val="both"/>
              <w:rPr>
                <w:rFonts w:ascii="Cambria" w:hAnsi="Cambria"/>
                <w:bCs/>
                <w:sz w:val="19"/>
                <w:szCs w:val="19"/>
              </w:rPr>
            </w:pPr>
            <w:r w:rsidRPr="00746DEB">
              <w:rPr>
                <w:rFonts w:ascii="Cambria" w:hAnsi="Cambria"/>
                <w:bCs/>
                <w:sz w:val="19"/>
                <w:szCs w:val="19"/>
              </w:rPr>
              <w:t>September 17, 2009</w:t>
            </w:r>
          </w:p>
        </w:tc>
      </w:tr>
      <w:tr w:rsidR="00746DEB" w:rsidRPr="00746DEB" w:rsidTr="00746DEB">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color w:val="FFFFFF" w:themeColor="background1"/>
                <w:sz w:val="19"/>
                <w:szCs w:val="19"/>
                <w:lang w:val="es-ES" w:eastAsia="es-ES"/>
              </w:rPr>
              <w:t>Notification of the petition</w:t>
            </w:r>
          </w:p>
        </w:tc>
        <w:tc>
          <w:tcPr>
            <w:tcW w:w="6750" w:type="dxa"/>
            <w:vAlign w:val="center"/>
          </w:tcPr>
          <w:p w:rsidR="00746DEB" w:rsidRPr="00746DEB" w:rsidRDefault="00746DEB" w:rsidP="00746DEB">
            <w:pPr>
              <w:jc w:val="both"/>
              <w:rPr>
                <w:rFonts w:ascii="Cambria" w:hAnsi="Cambria"/>
                <w:bCs/>
                <w:sz w:val="19"/>
                <w:szCs w:val="19"/>
              </w:rPr>
            </w:pPr>
            <w:r w:rsidRPr="00746DEB">
              <w:rPr>
                <w:rFonts w:ascii="Cambria" w:hAnsi="Cambria"/>
                <w:bCs/>
                <w:sz w:val="19"/>
                <w:szCs w:val="19"/>
              </w:rPr>
              <w:t xml:space="preserve">July 2, 2014 </w:t>
            </w:r>
          </w:p>
        </w:tc>
      </w:tr>
      <w:tr w:rsidR="00746DEB" w:rsidRPr="00746DEB" w:rsidTr="00746DEB">
        <w:trPr>
          <w:trHeight w:val="264"/>
        </w:trPr>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color w:val="FFFFFF" w:themeColor="background1"/>
                <w:sz w:val="19"/>
                <w:szCs w:val="19"/>
                <w:lang w:val="es-ES" w:eastAsia="es-ES"/>
              </w:rPr>
              <w:t>State’s first response</w:t>
            </w:r>
          </w:p>
        </w:tc>
        <w:tc>
          <w:tcPr>
            <w:tcW w:w="6750" w:type="dxa"/>
            <w:vAlign w:val="center"/>
          </w:tcPr>
          <w:p w:rsidR="00746DEB" w:rsidRPr="00746DEB" w:rsidRDefault="00746DEB" w:rsidP="00746DEB">
            <w:pPr>
              <w:jc w:val="both"/>
              <w:rPr>
                <w:rFonts w:ascii="Cambria" w:hAnsi="Cambria"/>
                <w:bCs/>
                <w:sz w:val="19"/>
                <w:szCs w:val="19"/>
              </w:rPr>
            </w:pPr>
            <w:r w:rsidRPr="00746DEB">
              <w:rPr>
                <w:rFonts w:ascii="Cambria" w:hAnsi="Cambria"/>
                <w:bCs/>
                <w:sz w:val="19"/>
                <w:szCs w:val="19"/>
              </w:rPr>
              <w:t>October 3, 2014</w:t>
            </w:r>
          </w:p>
        </w:tc>
      </w:tr>
      <w:tr w:rsidR="00746DEB" w:rsidRPr="00746DEB" w:rsidTr="00746DEB">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eastAsia="es-ES"/>
              </w:rPr>
            </w:pPr>
            <w:r w:rsidRPr="00746DEB">
              <w:rPr>
                <w:rFonts w:ascii="Cambria" w:hAnsi="Cambria"/>
                <w:bCs/>
                <w:color w:val="FFFFFF" w:themeColor="background1"/>
                <w:sz w:val="19"/>
                <w:szCs w:val="19"/>
                <w:lang w:eastAsia="es-ES"/>
              </w:rPr>
              <w:t>Additional observations from the petitioner</w:t>
            </w:r>
          </w:p>
        </w:tc>
        <w:tc>
          <w:tcPr>
            <w:tcW w:w="6750" w:type="dxa"/>
            <w:vAlign w:val="center"/>
          </w:tcPr>
          <w:p w:rsidR="00746DEB" w:rsidRPr="00746DEB" w:rsidRDefault="00746DEB" w:rsidP="00746DEB">
            <w:pPr>
              <w:jc w:val="both"/>
              <w:rPr>
                <w:rFonts w:ascii="Cambria" w:hAnsi="Cambria"/>
                <w:bCs/>
                <w:sz w:val="19"/>
                <w:szCs w:val="19"/>
              </w:rPr>
            </w:pPr>
            <w:r w:rsidRPr="00746DEB">
              <w:rPr>
                <w:rFonts w:ascii="Cambria" w:hAnsi="Cambria"/>
                <w:bCs/>
                <w:sz w:val="19"/>
                <w:szCs w:val="19"/>
              </w:rPr>
              <w:t>May 8, 2015</w:t>
            </w:r>
          </w:p>
        </w:tc>
      </w:tr>
      <w:tr w:rsidR="00746DEB" w:rsidRPr="00746DEB" w:rsidTr="00746DEB">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eastAsia="es-ES"/>
              </w:rPr>
            </w:pPr>
            <w:r w:rsidRPr="00746DEB">
              <w:rPr>
                <w:rFonts w:ascii="Cambria" w:hAnsi="Cambria"/>
                <w:bCs/>
                <w:color w:val="FFFFFF" w:themeColor="background1"/>
                <w:sz w:val="19"/>
                <w:szCs w:val="19"/>
                <w:lang w:eastAsia="es-ES"/>
              </w:rPr>
              <w:t>Additional observations from the State</w:t>
            </w:r>
          </w:p>
        </w:tc>
        <w:tc>
          <w:tcPr>
            <w:tcW w:w="6750" w:type="dxa"/>
            <w:vAlign w:val="center"/>
          </w:tcPr>
          <w:p w:rsidR="00746DEB" w:rsidRPr="00746DEB" w:rsidRDefault="00746DEB" w:rsidP="00746DEB">
            <w:pPr>
              <w:jc w:val="both"/>
              <w:rPr>
                <w:rFonts w:ascii="Cambria" w:hAnsi="Cambria"/>
                <w:bCs/>
                <w:sz w:val="19"/>
                <w:szCs w:val="19"/>
              </w:rPr>
            </w:pPr>
            <w:r w:rsidRPr="00746DEB">
              <w:rPr>
                <w:rFonts w:ascii="Cambria" w:hAnsi="Cambria"/>
                <w:bCs/>
                <w:sz w:val="19"/>
                <w:szCs w:val="19"/>
              </w:rPr>
              <w:t>September 9, 2015</w:t>
            </w:r>
          </w:p>
        </w:tc>
      </w:tr>
      <w:tr w:rsidR="00746DEB" w:rsidRPr="00746DEB" w:rsidTr="00746DEB">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eastAsia="es-ES"/>
              </w:rPr>
            </w:pPr>
            <w:r w:rsidRPr="00746DEB">
              <w:rPr>
                <w:rFonts w:ascii="Cambria" w:hAnsi="Cambria"/>
                <w:bCs/>
                <w:color w:val="FFFFFF" w:themeColor="background1"/>
                <w:sz w:val="19"/>
                <w:szCs w:val="19"/>
                <w:lang w:eastAsia="es-ES"/>
              </w:rPr>
              <w:t>Notification of the possible archiving of the petition</w:t>
            </w:r>
          </w:p>
        </w:tc>
        <w:tc>
          <w:tcPr>
            <w:tcW w:w="6750" w:type="dxa"/>
            <w:vAlign w:val="center"/>
          </w:tcPr>
          <w:p w:rsidR="00746DEB" w:rsidRPr="00746DEB" w:rsidRDefault="00746DEB" w:rsidP="00746DEB">
            <w:pPr>
              <w:jc w:val="both"/>
              <w:rPr>
                <w:rFonts w:ascii="Cambria" w:hAnsi="Cambria"/>
                <w:bCs/>
                <w:sz w:val="19"/>
                <w:szCs w:val="19"/>
              </w:rPr>
            </w:pPr>
            <w:r w:rsidRPr="00746DEB">
              <w:rPr>
                <w:rFonts w:ascii="Cambria" w:hAnsi="Cambria"/>
                <w:bCs/>
                <w:sz w:val="19"/>
                <w:szCs w:val="19"/>
              </w:rPr>
              <w:t>September 21, 2018</w:t>
            </w:r>
          </w:p>
        </w:tc>
      </w:tr>
      <w:tr w:rsidR="00746DEB" w:rsidRPr="00746DEB" w:rsidTr="00746DEB">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eastAsia="es-ES"/>
              </w:rPr>
            </w:pPr>
            <w:r w:rsidRPr="00746DEB">
              <w:rPr>
                <w:rFonts w:ascii="Cambria" w:hAnsi="Cambria"/>
                <w:bCs/>
                <w:color w:val="FFFFFF" w:themeColor="background1"/>
                <w:sz w:val="19"/>
                <w:szCs w:val="19"/>
                <w:lang w:eastAsia="es-ES"/>
              </w:rPr>
              <w:t>Response to the notification regarding the possible archiving of the petition</w:t>
            </w:r>
          </w:p>
        </w:tc>
        <w:tc>
          <w:tcPr>
            <w:tcW w:w="6750" w:type="dxa"/>
            <w:vAlign w:val="center"/>
          </w:tcPr>
          <w:p w:rsidR="00746DEB" w:rsidRPr="00746DEB" w:rsidRDefault="00746DEB" w:rsidP="00746DEB">
            <w:pPr>
              <w:jc w:val="both"/>
              <w:rPr>
                <w:rFonts w:ascii="Cambria" w:hAnsi="Cambria"/>
                <w:bCs/>
                <w:sz w:val="19"/>
                <w:szCs w:val="19"/>
              </w:rPr>
            </w:pPr>
            <w:r w:rsidRPr="00746DEB">
              <w:rPr>
                <w:rFonts w:ascii="Cambria" w:hAnsi="Cambria"/>
                <w:bCs/>
                <w:sz w:val="19"/>
                <w:szCs w:val="19"/>
              </w:rPr>
              <w:t>November 5,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10"/>
        <w:gridCol w:w="6750"/>
      </w:tblGrid>
      <w:tr w:rsidR="00746DEB" w:rsidRPr="00746DEB" w:rsidTr="00746DEB">
        <w:trPr>
          <w:cantSplit/>
        </w:trPr>
        <w:tc>
          <w:tcPr>
            <w:tcW w:w="2610" w:type="dxa"/>
            <w:tcBorders>
              <w:top w:val="single" w:sz="4" w:space="0" w:color="auto"/>
              <w:bottom w:val="single" w:sz="6" w:space="0" w:color="auto"/>
            </w:tcBorders>
            <w:shd w:val="clear" w:color="auto" w:fill="67AE3C"/>
            <w:vAlign w:val="center"/>
          </w:tcPr>
          <w:p w:rsidR="00746DEB" w:rsidRPr="00746DEB" w:rsidRDefault="00746DEB" w:rsidP="00746DEB">
            <w:pPr>
              <w:jc w:val="center"/>
              <w:rPr>
                <w:rFonts w:ascii="Cambria" w:hAnsi="Cambria"/>
                <w:bCs/>
                <w:i/>
                <w:color w:val="FFFFFF" w:themeColor="background1"/>
                <w:sz w:val="19"/>
                <w:szCs w:val="19"/>
                <w:lang w:val="es-ES" w:eastAsia="es-ES"/>
              </w:rPr>
            </w:pPr>
            <w:r w:rsidRPr="00746DEB">
              <w:rPr>
                <w:rFonts w:ascii="Cambria" w:hAnsi="Cambria"/>
                <w:bCs/>
                <w:i/>
                <w:color w:val="FFFFFF" w:themeColor="background1"/>
                <w:sz w:val="19"/>
                <w:szCs w:val="19"/>
                <w:lang w:val="es-ES" w:eastAsia="es-ES"/>
              </w:rPr>
              <w:t>Ratione personae</w:t>
            </w:r>
          </w:p>
        </w:tc>
        <w:tc>
          <w:tcPr>
            <w:tcW w:w="6750" w:type="dxa"/>
            <w:vAlign w:val="center"/>
          </w:tcPr>
          <w:p w:rsidR="00746DEB" w:rsidRPr="00746DEB" w:rsidRDefault="00746DEB" w:rsidP="00746DEB">
            <w:pPr>
              <w:rPr>
                <w:rFonts w:asciiTheme="majorHAnsi" w:hAnsiTheme="majorHAnsi"/>
                <w:bCs/>
                <w:sz w:val="19"/>
                <w:szCs w:val="19"/>
              </w:rPr>
            </w:pPr>
            <w:r w:rsidRPr="00746DEB">
              <w:rPr>
                <w:rFonts w:asciiTheme="majorHAnsi" w:hAnsiTheme="majorHAnsi"/>
                <w:bCs/>
                <w:sz w:val="19"/>
                <w:szCs w:val="19"/>
              </w:rPr>
              <w:t xml:space="preserve">Yes </w:t>
            </w:r>
          </w:p>
        </w:tc>
      </w:tr>
      <w:tr w:rsidR="00746DEB" w:rsidRPr="00746DEB" w:rsidTr="00746DEB">
        <w:trPr>
          <w:cantSplit/>
        </w:trPr>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bCs/>
                <w:i/>
                <w:color w:val="FFFFFF" w:themeColor="background1"/>
                <w:sz w:val="19"/>
                <w:szCs w:val="19"/>
                <w:lang w:val="es-ES" w:eastAsia="es-ES"/>
              </w:rPr>
              <w:t>Ratione loci</w:t>
            </w:r>
          </w:p>
        </w:tc>
        <w:tc>
          <w:tcPr>
            <w:tcW w:w="6750" w:type="dxa"/>
            <w:vAlign w:val="center"/>
          </w:tcPr>
          <w:p w:rsidR="00746DEB" w:rsidRPr="00746DEB" w:rsidRDefault="00746DEB" w:rsidP="00746DEB">
            <w:pPr>
              <w:rPr>
                <w:rFonts w:asciiTheme="majorHAnsi" w:hAnsiTheme="majorHAnsi"/>
                <w:bCs/>
                <w:sz w:val="19"/>
                <w:szCs w:val="19"/>
              </w:rPr>
            </w:pPr>
            <w:r w:rsidRPr="00746DEB">
              <w:rPr>
                <w:rFonts w:asciiTheme="majorHAnsi" w:hAnsiTheme="majorHAnsi"/>
                <w:bCs/>
                <w:sz w:val="19"/>
                <w:szCs w:val="19"/>
              </w:rPr>
              <w:t>Yes</w:t>
            </w:r>
          </w:p>
        </w:tc>
      </w:tr>
      <w:tr w:rsidR="00746DEB" w:rsidRPr="00746DEB" w:rsidTr="00746DEB">
        <w:trPr>
          <w:cantSplit/>
        </w:trPr>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bCs/>
                <w:i/>
                <w:color w:val="FFFFFF" w:themeColor="background1"/>
                <w:sz w:val="19"/>
                <w:szCs w:val="19"/>
                <w:lang w:val="es-ES" w:eastAsia="es-ES"/>
              </w:rPr>
              <w:t>Ratione temporis</w:t>
            </w:r>
          </w:p>
        </w:tc>
        <w:tc>
          <w:tcPr>
            <w:tcW w:w="6750" w:type="dxa"/>
            <w:vAlign w:val="center"/>
          </w:tcPr>
          <w:p w:rsidR="00746DEB" w:rsidRPr="00746DEB" w:rsidRDefault="00746DEB" w:rsidP="00746DEB">
            <w:pPr>
              <w:rPr>
                <w:rFonts w:asciiTheme="majorHAnsi" w:hAnsiTheme="majorHAnsi"/>
                <w:bCs/>
                <w:sz w:val="19"/>
                <w:szCs w:val="19"/>
              </w:rPr>
            </w:pPr>
            <w:r w:rsidRPr="00746DEB">
              <w:rPr>
                <w:rFonts w:asciiTheme="majorHAnsi" w:hAnsiTheme="majorHAnsi"/>
                <w:bCs/>
                <w:sz w:val="19"/>
                <w:szCs w:val="19"/>
              </w:rPr>
              <w:t>Yes</w:t>
            </w:r>
          </w:p>
        </w:tc>
      </w:tr>
      <w:tr w:rsidR="00746DEB" w:rsidRPr="00746DEB" w:rsidTr="00746DEB">
        <w:trPr>
          <w:cantSplit/>
        </w:trPr>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bCs/>
                <w:i/>
                <w:color w:val="FFFFFF" w:themeColor="background1"/>
                <w:sz w:val="19"/>
                <w:szCs w:val="19"/>
                <w:lang w:val="es-ES" w:eastAsia="es-ES"/>
              </w:rPr>
              <w:t>Ratione materiae</w:t>
            </w:r>
          </w:p>
        </w:tc>
        <w:tc>
          <w:tcPr>
            <w:tcW w:w="6750" w:type="dxa"/>
            <w:vAlign w:val="center"/>
          </w:tcPr>
          <w:p w:rsidR="00746DEB" w:rsidRPr="00746DEB" w:rsidRDefault="00746DEB" w:rsidP="00746DEB">
            <w:pPr>
              <w:jc w:val="both"/>
              <w:rPr>
                <w:rFonts w:asciiTheme="majorHAnsi" w:hAnsiTheme="majorHAnsi"/>
                <w:bCs/>
                <w:sz w:val="19"/>
                <w:szCs w:val="19"/>
              </w:rPr>
            </w:pPr>
            <w:r w:rsidRPr="00746DEB">
              <w:rPr>
                <w:rFonts w:asciiTheme="majorHAnsi" w:hAnsiTheme="majorHAnsi"/>
                <w:bCs/>
                <w:sz w:val="19"/>
                <w:szCs w:val="19"/>
              </w:rPr>
              <w:t>Yes. American Convention (instrument adopted September 25, 1992) and Inter-American Convention to Prevent and Punish Torture (instrument deposited July 20, 1989)</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10"/>
        <w:gridCol w:w="6750"/>
      </w:tblGrid>
      <w:tr w:rsidR="00746DEB" w:rsidRPr="00746DEB" w:rsidTr="00746DEB">
        <w:trPr>
          <w:cantSplit/>
        </w:trPr>
        <w:tc>
          <w:tcPr>
            <w:tcW w:w="2610" w:type="dxa"/>
            <w:tcBorders>
              <w:top w:val="single" w:sz="4"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eastAsia="es-ES"/>
              </w:rPr>
            </w:pPr>
            <w:r w:rsidRPr="00746DEB">
              <w:rPr>
                <w:rFonts w:ascii="Cambria" w:hAnsi="Cambria"/>
                <w:bCs/>
                <w:color w:val="FFFFFF" w:themeColor="background1"/>
                <w:sz w:val="19"/>
                <w:szCs w:val="19"/>
                <w:lang w:eastAsia="es-ES"/>
              </w:rPr>
              <w:t xml:space="preserve">Duplication of procedures and international </w:t>
            </w:r>
            <w:r w:rsidRPr="00746DEB">
              <w:rPr>
                <w:rFonts w:ascii="Cambria" w:hAnsi="Cambria"/>
                <w:bCs/>
                <w:i/>
                <w:color w:val="FFFFFF" w:themeColor="background1"/>
                <w:sz w:val="19"/>
                <w:szCs w:val="19"/>
                <w:lang w:eastAsia="es-ES"/>
              </w:rPr>
              <w:t>res judicata</w:t>
            </w:r>
          </w:p>
        </w:tc>
        <w:tc>
          <w:tcPr>
            <w:tcW w:w="6750" w:type="dxa"/>
            <w:vAlign w:val="center"/>
          </w:tcPr>
          <w:p w:rsidR="00746DEB" w:rsidRPr="00746DEB" w:rsidRDefault="00746DEB" w:rsidP="00746DEB">
            <w:pPr>
              <w:jc w:val="both"/>
              <w:rPr>
                <w:rFonts w:ascii="Cambria" w:hAnsi="Cambria"/>
                <w:bCs/>
                <w:sz w:val="19"/>
                <w:szCs w:val="19"/>
              </w:rPr>
            </w:pPr>
            <w:r w:rsidRPr="00746DEB">
              <w:rPr>
                <w:rFonts w:ascii="Cambria" w:hAnsi="Cambria"/>
                <w:bCs/>
                <w:sz w:val="19"/>
                <w:szCs w:val="19"/>
              </w:rPr>
              <w:t>No</w:t>
            </w:r>
          </w:p>
        </w:tc>
      </w:tr>
      <w:tr w:rsidR="00746DEB" w:rsidRPr="00746DEB" w:rsidTr="00746DEB">
        <w:trPr>
          <w:cantSplit/>
        </w:trPr>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i/>
                <w:color w:val="FFFFFF" w:themeColor="background1"/>
                <w:sz w:val="19"/>
                <w:szCs w:val="19"/>
                <w:lang w:val="es-ES" w:eastAsia="es-ES"/>
              </w:rPr>
            </w:pPr>
            <w:r w:rsidRPr="00746DEB">
              <w:rPr>
                <w:rFonts w:ascii="Cambria" w:hAnsi="Cambria"/>
                <w:bCs/>
                <w:color w:val="FFFFFF" w:themeColor="background1"/>
                <w:sz w:val="19"/>
                <w:szCs w:val="19"/>
                <w:lang w:val="es-ES" w:eastAsia="es-ES"/>
              </w:rPr>
              <w:t>Rights declared admissible</w:t>
            </w:r>
          </w:p>
        </w:tc>
        <w:tc>
          <w:tcPr>
            <w:tcW w:w="6750" w:type="dxa"/>
            <w:vAlign w:val="center"/>
          </w:tcPr>
          <w:p w:rsidR="00746DEB" w:rsidRPr="00746DEB" w:rsidRDefault="00746DEB" w:rsidP="00746DEB">
            <w:pPr>
              <w:jc w:val="both"/>
              <w:rPr>
                <w:rFonts w:ascii="Cambria" w:hAnsi="Cambria"/>
                <w:bCs/>
                <w:sz w:val="19"/>
                <w:szCs w:val="19"/>
              </w:rPr>
            </w:pPr>
            <w:r w:rsidRPr="00746DEB">
              <w:rPr>
                <w:rFonts w:asciiTheme="majorHAnsi" w:hAnsiTheme="majorHAnsi"/>
                <w:bCs/>
                <w:sz w:val="19"/>
                <w:szCs w:val="19"/>
              </w:rPr>
              <w:t>Articles 5 (humane treatment), 7 (personal liberty), 8 (judicial guarantees), 19 (rights of the child), 22 (movement and residence), 24 (equality before the law), and 25 (judicial protection), all in conjunction with Articles 1(1) (obligation to respect the rights) and 2 (obligation to adopt provisions of domestic law) of the American Convention, and Articles 1, 6, and 8 of the Inter-American Convention to Prevent and Punish Torture</w:t>
            </w:r>
          </w:p>
        </w:tc>
      </w:tr>
      <w:tr w:rsidR="00746DEB" w:rsidRPr="00746DEB" w:rsidTr="00746DEB">
        <w:trPr>
          <w:cantSplit/>
        </w:trPr>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eastAsia="es-ES"/>
              </w:rPr>
            </w:pPr>
            <w:r w:rsidRPr="00746DEB">
              <w:rPr>
                <w:rFonts w:ascii="Cambria" w:hAnsi="Cambria"/>
                <w:bCs/>
                <w:color w:val="FFFFFF" w:themeColor="background1"/>
                <w:sz w:val="19"/>
                <w:szCs w:val="19"/>
                <w:lang w:eastAsia="es-ES"/>
              </w:rPr>
              <w:lastRenderedPageBreak/>
              <w:t xml:space="preserve">Exhaustion or exception to the exhaustion of remedies </w:t>
            </w:r>
          </w:p>
        </w:tc>
        <w:tc>
          <w:tcPr>
            <w:tcW w:w="6750" w:type="dxa"/>
            <w:vAlign w:val="center"/>
          </w:tcPr>
          <w:p w:rsidR="00746DEB" w:rsidRPr="00746DEB" w:rsidRDefault="00746DEB" w:rsidP="00746DEB">
            <w:pPr>
              <w:rPr>
                <w:rFonts w:ascii="Cambria" w:hAnsi="Cambria"/>
                <w:bCs/>
                <w:sz w:val="19"/>
                <w:szCs w:val="19"/>
              </w:rPr>
            </w:pPr>
            <w:r w:rsidRPr="00746DEB">
              <w:rPr>
                <w:rFonts w:ascii="Cambria" w:hAnsi="Cambria"/>
                <w:bCs/>
                <w:sz w:val="19"/>
                <w:szCs w:val="19"/>
              </w:rPr>
              <w:t>Yes</w:t>
            </w:r>
          </w:p>
          <w:p w:rsidR="00746DEB" w:rsidRPr="00746DEB" w:rsidRDefault="00746DEB" w:rsidP="00746DEB">
            <w:pPr>
              <w:rPr>
                <w:rFonts w:ascii="Cambria" w:hAnsi="Cambria"/>
                <w:bCs/>
                <w:sz w:val="19"/>
                <w:szCs w:val="19"/>
              </w:rPr>
            </w:pPr>
          </w:p>
        </w:tc>
      </w:tr>
      <w:tr w:rsidR="00746DEB" w:rsidRPr="00746DEB" w:rsidTr="00746DEB">
        <w:trPr>
          <w:cantSplit/>
        </w:trPr>
        <w:tc>
          <w:tcPr>
            <w:tcW w:w="2610" w:type="dxa"/>
            <w:tcBorders>
              <w:top w:val="single" w:sz="6" w:space="0" w:color="auto"/>
              <w:bottom w:val="single" w:sz="6" w:space="0" w:color="auto"/>
            </w:tcBorders>
            <w:shd w:val="clear" w:color="auto" w:fill="67AE3C"/>
            <w:vAlign w:val="center"/>
          </w:tcPr>
          <w:p w:rsidR="00746DEB" w:rsidRPr="00746DEB" w:rsidRDefault="00746DEB" w:rsidP="00746DEB">
            <w:pPr>
              <w:jc w:val="center"/>
              <w:rPr>
                <w:rFonts w:ascii="Cambria" w:hAnsi="Cambria"/>
                <w:bCs/>
                <w:color w:val="FFFFFF" w:themeColor="background1"/>
                <w:sz w:val="19"/>
                <w:szCs w:val="19"/>
                <w:lang w:val="es-ES" w:eastAsia="es-ES"/>
              </w:rPr>
            </w:pPr>
            <w:r w:rsidRPr="00746DEB">
              <w:rPr>
                <w:rFonts w:ascii="Cambria" w:hAnsi="Cambria"/>
                <w:bCs/>
                <w:color w:val="FFFFFF" w:themeColor="background1"/>
                <w:sz w:val="19"/>
                <w:szCs w:val="19"/>
                <w:lang w:val="es-ES" w:eastAsia="es-ES"/>
              </w:rPr>
              <w:t>Timeliness of the petition</w:t>
            </w:r>
          </w:p>
        </w:tc>
        <w:tc>
          <w:tcPr>
            <w:tcW w:w="6750" w:type="dxa"/>
            <w:vAlign w:val="center"/>
          </w:tcPr>
          <w:p w:rsidR="00746DEB" w:rsidRPr="00746DEB" w:rsidRDefault="00746DEB" w:rsidP="00746DEB">
            <w:pPr>
              <w:rPr>
                <w:rFonts w:asciiTheme="majorHAnsi" w:hAnsiTheme="majorHAnsi"/>
                <w:bCs/>
                <w:sz w:val="19"/>
                <w:szCs w:val="19"/>
              </w:rPr>
            </w:pPr>
            <w:r w:rsidRPr="00746DEB">
              <w:rPr>
                <w:rFonts w:asciiTheme="majorHAnsi" w:hAnsiTheme="majorHAnsi"/>
                <w:bCs/>
                <w:sz w:val="19"/>
                <w:szCs w:val="19"/>
              </w:rPr>
              <w:t>Yes, March 18, 2009</w:t>
            </w:r>
          </w:p>
        </w:tc>
      </w:tr>
    </w:tbl>
    <w:p w:rsidR="00F621C3" w:rsidRPr="000B6B7A" w:rsidRDefault="00F621C3" w:rsidP="00746DEB">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46DEB">
        <w:rPr>
          <w:rFonts w:asciiTheme="majorHAnsi" w:hAnsiTheme="majorHAnsi"/>
          <w:b/>
          <w:sz w:val="20"/>
          <w:szCs w:val="20"/>
        </w:rPr>
        <w:t>SUMMARY OF ALLEGED FACTS</w:t>
      </w:r>
    </w:p>
    <w:p w:rsidR="00E52664" w:rsidRPr="001D3742" w:rsidRDefault="009B14DF" w:rsidP="00E5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bCs/>
          <w:sz w:val="20"/>
          <w:szCs w:val="20"/>
        </w:rPr>
        <w:t xml:space="preserve">The petitioner alleges that the adolescent </w:t>
      </w:r>
      <w:r w:rsidR="00E52664" w:rsidRPr="001D3742">
        <w:rPr>
          <w:rFonts w:asciiTheme="majorHAnsi" w:hAnsiTheme="majorHAnsi"/>
          <w:bCs/>
          <w:sz w:val="20"/>
          <w:szCs w:val="20"/>
        </w:rPr>
        <w:t>José Rafael Brezer (</w:t>
      </w:r>
      <w:r w:rsidRPr="001D3742">
        <w:rPr>
          <w:rFonts w:asciiTheme="majorHAnsi" w:hAnsiTheme="majorHAnsi"/>
          <w:bCs/>
          <w:sz w:val="20"/>
          <w:szCs w:val="20"/>
        </w:rPr>
        <w:t xml:space="preserve">hereinafter </w:t>
      </w:r>
      <w:r w:rsidR="00E52664" w:rsidRPr="001D3742">
        <w:rPr>
          <w:rFonts w:asciiTheme="majorHAnsi" w:hAnsiTheme="majorHAnsi"/>
          <w:bCs/>
          <w:sz w:val="20"/>
          <w:szCs w:val="20"/>
        </w:rPr>
        <w:t>“</w:t>
      </w:r>
      <w:r w:rsidRPr="001D3742">
        <w:rPr>
          <w:rFonts w:asciiTheme="majorHAnsi" w:hAnsiTheme="majorHAnsi"/>
          <w:bCs/>
          <w:sz w:val="20"/>
          <w:szCs w:val="20"/>
        </w:rPr>
        <w:t>alleged victim</w:t>
      </w:r>
      <w:r w:rsidR="00E52664" w:rsidRPr="001D3742">
        <w:rPr>
          <w:rFonts w:asciiTheme="majorHAnsi" w:hAnsiTheme="majorHAnsi"/>
          <w:bCs/>
          <w:sz w:val="20"/>
          <w:szCs w:val="20"/>
        </w:rPr>
        <w:t xml:space="preserve">”), 15 </w:t>
      </w:r>
      <w:r w:rsidRPr="001D3742">
        <w:rPr>
          <w:rFonts w:asciiTheme="majorHAnsi" w:hAnsiTheme="majorHAnsi"/>
          <w:bCs/>
          <w:sz w:val="20"/>
          <w:szCs w:val="20"/>
        </w:rPr>
        <w:t>years old at the time of the facts, was false</w:t>
      </w:r>
      <w:r w:rsidR="00E512A9" w:rsidRPr="001D3742">
        <w:rPr>
          <w:rFonts w:asciiTheme="majorHAnsi" w:hAnsiTheme="majorHAnsi"/>
          <w:bCs/>
          <w:sz w:val="20"/>
          <w:szCs w:val="20"/>
        </w:rPr>
        <w:t>l</w:t>
      </w:r>
      <w:r w:rsidRPr="001D3742">
        <w:rPr>
          <w:rFonts w:asciiTheme="majorHAnsi" w:hAnsiTheme="majorHAnsi"/>
          <w:bCs/>
          <w:sz w:val="20"/>
          <w:szCs w:val="20"/>
        </w:rPr>
        <w:t>y accused, kidnapped, and torture</w:t>
      </w:r>
      <w:r w:rsidR="00E512A9" w:rsidRPr="001D3742">
        <w:rPr>
          <w:rFonts w:asciiTheme="majorHAnsi" w:hAnsiTheme="majorHAnsi"/>
          <w:bCs/>
          <w:sz w:val="20"/>
          <w:szCs w:val="20"/>
        </w:rPr>
        <w:t>d</w:t>
      </w:r>
      <w:r w:rsidRPr="001D3742">
        <w:rPr>
          <w:rFonts w:asciiTheme="majorHAnsi" w:hAnsiTheme="majorHAnsi"/>
          <w:bCs/>
          <w:sz w:val="20"/>
          <w:szCs w:val="20"/>
        </w:rPr>
        <w:t xml:space="preserve"> by private persons and state security agents of the state of </w:t>
      </w:r>
      <w:r w:rsidR="00E52664" w:rsidRPr="001D3742">
        <w:rPr>
          <w:rFonts w:asciiTheme="majorHAnsi" w:hAnsiTheme="majorHAnsi"/>
          <w:bCs/>
          <w:sz w:val="20"/>
          <w:szCs w:val="20"/>
        </w:rPr>
        <w:t>São Paulo.</w:t>
      </w:r>
      <w:r w:rsidR="00E52664" w:rsidRPr="001D3742">
        <w:rPr>
          <w:rFonts w:asciiTheme="majorHAnsi" w:hAnsiTheme="majorHAnsi"/>
          <w:sz w:val="20"/>
          <w:szCs w:val="20"/>
        </w:rPr>
        <w:t xml:space="preserve"> </w:t>
      </w:r>
      <w:r w:rsidRPr="001D3742">
        <w:rPr>
          <w:rFonts w:asciiTheme="majorHAnsi" w:hAnsiTheme="majorHAnsi"/>
          <w:sz w:val="20"/>
          <w:szCs w:val="20"/>
        </w:rPr>
        <w:t xml:space="preserve">All of those involved in the facts were said to have been acquitted in allegedly partial proceedings that resulted in impunity and grave sequelae for the alleged victim and his family. </w:t>
      </w:r>
    </w:p>
    <w:p w:rsidR="00E52664" w:rsidRPr="001D3742" w:rsidRDefault="009B14DF" w:rsidP="00E5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bCs/>
          <w:sz w:val="20"/>
          <w:szCs w:val="20"/>
        </w:rPr>
        <w:t xml:space="preserve">The petitioners state that on July </w:t>
      </w:r>
      <w:r w:rsidR="00E52664" w:rsidRPr="001D3742">
        <w:rPr>
          <w:rFonts w:asciiTheme="majorHAnsi" w:hAnsiTheme="majorHAnsi"/>
          <w:bCs/>
          <w:sz w:val="20"/>
          <w:szCs w:val="20"/>
        </w:rPr>
        <w:t>12</w:t>
      </w:r>
      <w:r w:rsidRPr="001D3742">
        <w:rPr>
          <w:rFonts w:asciiTheme="majorHAnsi" w:hAnsiTheme="majorHAnsi"/>
          <w:bCs/>
          <w:sz w:val="20"/>
          <w:szCs w:val="20"/>
        </w:rPr>
        <w:t>,</w:t>
      </w:r>
      <w:r w:rsidR="00E52664" w:rsidRPr="001D3742">
        <w:rPr>
          <w:rFonts w:asciiTheme="majorHAnsi" w:hAnsiTheme="majorHAnsi"/>
          <w:bCs/>
          <w:sz w:val="20"/>
          <w:szCs w:val="20"/>
        </w:rPr>
        <w:t xml:space="preserve"> 1997, </w:t>
      </w:r>
      <w:r w:rsidRPr="001D3742">
        <w:rPr>
          <w:rFonts w:asciiTheme="majorHAnsi" w:hAnsiTheme="majorHAnsi"/>
          <w:bCs/>
          <w:sz w:val="20"/>
          <w:szCs w:val="20"/>
        </w:rPr>
        <w:t xml:space="preserve">the alleged victim was falsely accused of receiving </w:t>
      </w:r>
      <w:r w:rsidR="00EA6348" w:rsidRPr="001D3742">
        <w:rPr>
          <w:rFonts w:asciiTheme="majorHAnsi" w:hAnsiTheme="majorHAnsi"/>
          <w:bCs/>
          <w:sz w:val="20"/>
          <w:szCs w:val="20"/>
        </w:rPr>
        <w:t xml:space="preserve">as stolen goods </w:t>
      </w:r>
      <w:r w:rsidRPr="001D3742">
        <w:rPr>
          <w:rFonts w:asciiTheme="majorHAnsi" w:hAnsiTheme="majorHAnsi"/>
          <w:bCs/>
          <w:sz w:val="20"/>
          <w:szCs w:val="20"/>
        </w:rPr>
        <w:t xml:space="preserve">jewels from the family of attorney </w:t>
      </w:r>
      <w:r w:rsidR="00E52664" w:rsidRPr="001D3742">
        <w:rPr>
          <w:rFonts w:asciiTheme="majorHAnsi" w:hAnsiTheme="majorHAnsi"/>
          <w:bCs/>
          <w:sz w:val="20"/>
          <w:szCs w:val="20"/>
        </w:rPr>
        <w:t>José Rubens do Amaral Lincoln (</w:t>
      </w:r>
      <w:r w:rsidRPr="001D3742">
        <w:rPr>
          <w:rFonts w:asciiTheme="majorHAnsi" w:hAnsiTheme="majorHAnsi"/>
          <w:bCs/>
          <w:sz w:val="20"/>
          <w:szCs w:val="20"/>
        </w:rPr>
        <w:t xml:space="preserve">hereinafter </w:t>
      </w:r>
      <w:r w:rsidR="00E52664" w:rsidRPr="001D3742">
        <w:rPr>
          <w:rFonts w:asciiTheme="majorHAnsi" w:hAnsiTheme="majorHAnsi"/>
          <w:bCs/>
          <w:sz w:val="20"/>
          <w:szCs w:val="20"/>
        </w:rPr>
        <w:t>“</w:t>
      </w:r>
      <w:r w:rsidRPr="001D3742">
        <w:rPr>
          <w:rFonts w:asciiTheme="majorHAnsi" w:hAnsiTheme="majorHAnsi"/>
          <w:bCs/>
          <w:sz w:val="20"/>
          <w:szCs w:val="20"/>
        </w:rPr>
        <w:t>M</w:t>
      </w:r>
      <w:r w:rsidR="00E52664" w:rsidRPr="001D3742">
        <w:rPr>
          <w:rFonts w:asciiTheme="majorHAnsi" w:hAnsiTheme="majorHAnsi"/>
          <w:bCs/>
          <w:sz w:val="20"/>
          <w:szCs w:val="20"/>
        </w:rPr>
        <w:t xml:space="preserve">r. Lincoln”). </w:t>
      </w:r>
      <w:r w:rsidRPr="001D3742">
        <w:rPr>
          <w:rFonts w:asciiTheme="majorHAnsi" w:hAnsiTheme="majorHAnsi"/>
          <w:bCs/>
          <w:sz w:val="20"/>
          <w:szCs w:val="20"/>
        </w:rPr>
        <w:t xml:space="preserve">Because of that accusation, </w:t>
      </w:r>
      <w:r w:rsidR="00E52664" w:rsidRPr="001D3742">
        <w:rPr>
          <w:rFonts w:asciiTheme="majorHAnsi" w:hAnsiTheme="majorHAnsi"/>
          <w:bCs/>
          <w:sz w:val="20"/>
          <w:szCs w:val="20"/>
        </w:rPr>
        <w:t xml:space="preserve">José Rafael Brezer </w:t>
      </w:r>
      <w:r w:rsidRPr="001D3742">
        <w:rPr>
          <w:rFonts w:asciiTheme="majorHAnsi" w:hAnsiTheme="majorHAnsi"/>
          <w:bCs/>
          <w:sz w:val="20"/>
          <w:szCs w:val="20"/>
        </w:rPr>
        <w:t xml:space="preserve">was kidnapped, arbitrarily held prisoner </w:t>
      </w:r>
      <w:r w:rsidR="00E512A9" w:rsidRPr="001D3742">
        <w:rPr>
          <w:rFonts w:asciiTheme="majorHAnsi" w:hAnsiTheme="majorHAnsi"/>
          <w:bCs/>
          <w:sz w:val="20"/>
          <w:szCs w:val="20"/>
        </w:rPr>
        <w:t xml:space="preserve">in a country house, </w:t>
      </w:r>
      <w:r w:rsidRPr="001D3742">
        <w:rPr>
          <w:rFonts w:asciiTheme="majorHAnsi" w:hAnsiTheme="majorHAnsi"/>
          <w:bCs/>
          <w:sz w:val="20"/>
          <w:szCs w:val="20"/>
        </w:rPr>
        <w:t xml:space="preserve">shackled, threated with death with a firearm, and physical assaulted by Mr. </w:t>
      </w:r>
      <w:r w:rsidR="00E52664" w:rsidRPr="001D3742">
        <w:rPr>
          <w:rFonts w:asciiTheme="majorHAnsi" w:hAnsiTheme="majorHAnsi"/>
          <w:bCs/>
          <w:sz w:val="20"/>
          <w:szCs w:val="20"/>
        </w:rPr>
        <w:t xml:space="preserve">Lincoln, </w:t>
      </w:r>
      <w:r w:rsidRPr="001D3742">
        <w:rPr>
          <w:rFonts w:asciiTheme="majorHAnsi" w:hAnsiTheme="majorHAnsi"/>
          <w:bCs/>
          <w:sz w:val="20"/>
          <w:szCs w:val="20"/>
        </w:rPr>
        <w:t xml:space="preserve">police investigator </w:t>
      </w:r>
      <w:r w:rsidR="00E52664" w:rsidRPr="001D3742">
        <w:rPr>
          <w:rFonts w:asciiTheme="majorHAnsi" w:hAnsiTheme="majorHAnsi"/>
          <w:bCs/>
          <w:sz w:val="20"/>
          <w:szCs w:val="20"/>
        </w:rPr>
        <w:t>Maria da Graça Lincoln Rezende (</w:t>
      </w:r>
      <w:r w:rsidRPr="001D3742">
        <w:rPr>
          <w:rFonts w:asciiTheme="majorHAnsi" w:hAnsiTheme="majorHAnsi"/>
          <w:bCs/>
          <w:sz w:val="20"/>
          <w:szCs w:val="20"/>
        </w:rPr>
        <w:t>Mr. Lincoln’s sister</w:t>
      </w:r>
      <w:r w:rsidR="00E52664" w:rsidRPr="001D3742">
        <w:rPr>
          <w:rFonts w:asciiTheme="majorHAnsi" w:hAnsiTheme="majorHAnsi"/>
          <w:bCs/>
          <w:sz w:val="20"/>
          <w:szCs w:val="20"/>
        </w:rPr>
        <w:t>)</w:t>
      </w:r>
      <w:r w:rsidRPr="001D3742">
        <w:rPr>
          <w:rFonts w:asciiTheme="majorHAnsi" w:hAnsiTheme="majorHAnsi"/>
          <w:bCs/>
          <w:sz w:val="20"/>
          <w:szCs w:val="20"/>
        </w:rPr>
        <w:t>,</w:t>
      </w:r>
      <w:r w:rsidR="00E52664" w:rsidRPr="001D3742">
        <w:rPr>
          <w:rFonts w:asciiTheme="majorHAnsi" w:hAnsiTheme="majorHAnsi"/>
          <w:bCs/>
          <w:sz w:val="20"/>
          <w:szCs w:val="20"/>
        </w:rPr>
        <w:t xml:space="preserve"> </w:t>
      </w:r>
      <w:r w:rsidRPr="001D3742">
        <w:rPr>
          <w:rFonts w:asciiTheme="majorHAnsi" w:hAnsiTheme="majorHAnsi"/>
          <w:bCs/>
          <w:sz w:val="20"/>
          <w:szCs w:val="20"/>
        </w:rPr>
        <w:t xml:space="preserve">and police investigator </w:t>
      </w:r>
      <w:r w:rsidR="00E52664" w:rsidRPr="001D3742">
        <w:rPr>
          <w:rFonts w:asciiTheme="majorHAnsi" w:hAnsiTheme="majorHAnsi"/>
          <w:bCs/>
          <w:sz w:val="20"/>
          <w:szCs w:val="20"/>
        </w:rPr>
        <w:t xml:space="preserve">Oséias Rosa. </w:t>
      </w:r>
      <w:r w:rsidRPr="001D3742">
        <w:rPr>
          <w:rFonts w:asciiTheme="majorHAnsi" w:hAnsiTheme="majorHAnsi"/>
          <w:bCs/>
          <w:sz w:val="20"/>
          <w:szCs w:val="20"/>
        </w:rPr>
        <w:t xml:space="preserve">They note that the detention was carried out without a judicial order and that the objective was to locate the jewels sold to the alleged victim by </w:t>
      </w:r>
      <w:r w:rsidR="00E52664" w:rsidRPr="001D3742">
        <w:rPr>
          <w:rFonts w:asciiTheme="majorHAnsi" w:hAnsiTheme="majorHAnsi"/>
          <w:bCs/>
          <w:sz w:val="20"/>
          <w:szCs w:val="20"/>
        </w:rPr>
        <w:t>José Rubens do Amaral Lincoln</w:t>
      </w:r>
      <w:r w:rsidRPr="001D3742">
        <w:rPr>
          <w:rFonts w:asciiTheme="majorHAnsi" w:hAnsiTheme="majorHAnsi"/>
          <w:bCs/>
          <w:sz w:val="20"/>
          <w:szCs w:val="20"/>
        </w:rPr>
        <w:t>’s son</w:t>
      </w:r>
      <w:r w:rsidR="00E52664" w:rsidRPr="001D3742">
        <w:rPr>
          <w:rFonts w:asciiTheme="majorHAnsi" w:hAnsiTheme="majorHAnsi"/>
          <w:bCs/>
          <w:sz w:val="20"/>
          <w:szCs w:val="20"/>
        </w:rPr>
        <w:t xml:space="preserve">. </w:t>
      </w:r>
      <w:r w:rsidRPr="001D3742">
        <w:rPr>
          <w:rFonts w:asciiTheme="majorHAnsi" w:hAnsiTheme="majorHAnsi"/>
          <w:bCs/>
          <w:sz w:val="20"/>
          <w:szCs w:val="20"/>
        </w:rPr>
        <w:t xml:space="preserve">According to the petitioners, the group used a car owned by Mr. </w:t>
      </w:r>
      <w:r w:rsidR="00E52664" w:rsidRPr="001D3742">
        <w:rPr>
          <w:rFonts w:asciiTheme="majorHAnsi" w:hAnsiTheme="majorHAnsi"/>
          <w:bCs/>
          <w:sz w:val="20"/>
          <w:szCs w:val="20"/>
        </w:rPr>
        <w:t xml:space="preserve">Lincoln, </w:t>
      </w:r>
      <w:r w:rsidRPr="001D3742">
        <w:rPr>
          <w:rFonts w:asciiTheme="majorHAnsi" w:hAnsiTheme="majorHAnsi"/>
          <w:bCs/>
          <w:sz w:val="20"/>
          <w:szCs w:val="20"/>
        </w:rPr>
        <w:t xml:space="preserve">without any license plate, to commit the crimes. After approximately one hour the alleged victim was taken to the police station after Mr. </w:t>
      </w:r>
      <w:r w:rsidR="00E52664" w:rsidRPr="001D3742">
        <w:rPr>
          <w:rFonts w:asciiTheme="majorHAnsi" w:hAnsiTheme="majorHAnsi"/>
          <w:bCs/>
          <w:sz w:val="20"/>
          <w:szCs w:val="20"/>
        </w:rPr>
        <w:t xml:space="preserve">Lincoln </w:t>
      </w:r>
      <w:r w:rsidRPr="001D3742">
        <w:rPr>
          <w:rFonts w:asciiTheme="majorHAnsi" w:hAnsiTheme="majorHAnsi"/>
          <w:bCs/>
          <w:sz w:val="20"/>
          <w:szCs w:val="20"/>
        </w:rPr>
        <w:t xml:space="preserve">communicated by telephone with the officer in charge, </w:t>
      </w:r>
      <w:r w:rsidR="00E52664" w:rsidRPr="001D3742">
        <w:rPr>
          <w:rFonts w:asciiTheme="majorHAnsi" w:hAnsiTheme="majorHAnsi"/>
          <w:bCs/>
          <w:sz w:val="20"/>
          <w:szCs w:val="20"/>
        </w:rPr>
        <w:t xml:space="preserve">José Rubens Carneiro. </w:t>
      </w:r>
      <w:r w:rsidRPr="001D3742">
        <w:rPr>
          <w:rFonts w:asciiTheme="majorHAnsi" w:hAnsiTheme="majorHAnsi"/>
          <w:bCs/>
          <w:sz w:val="20"/>
          <w:szCs w:val="20"/>
        </w:rPr>
        <w:t xml:space="preserve">The officer gave guidance to the parents of each adolescent to the effect that they should resolve the matter </w:t>
      </w:r>
      <w:r w:rsidR="00E52664" w:rsidRPr="001D3742">
        <w:rPr>
          <w:rFonts w:asciiTheme="majorHAnsi" w:hAnsiTheme="majorHAnsi"/>
          <w:bCs/>
          <w:sz w:val="20"/>
          <w:szCs w:val="20"/>
        </w:rPr>
        <w:t>domestic</w:t>
      </w:r>
      <w:r w:rsidRPr="001D3742">
        <w:rPr>
          <w:rFonts w:asciiTheme="majorHAnsi" w:hAnsiTheme="majorHAnsi"/>
          <w:bCs/>
          <w:sz w:val="20"/>
          <w:szCs w:val="20"/>
        </w:rPr>
        <w:t>ally</w:t>
      </w:r>
      <w:r w:rsidR="00E52664" w:rsidRPr="001D3742">
        <w:rPr>
          <w:rFonts w:asciiTheme="majorHAnsi" w:hAnsiTheme="majorHAnsi"/>
          <w:bCs/>
          <w:sz w:val="20"/>
          <w:szCs w:val="20"/>
        </w:rPr>
        <w:t xml:space="preserve">, </w:t>
      </w:r>
      <w:r w:rsidRPr="001D3742">
        <w:rPr>
          <w:rFonts w:asciiTheme="majorHAnsi" w:hAnsiTheme="majorHAnsi"/>
          <w:bCs/>
          <w:sz w:val="20"/>
          <w:szCs w:val="20"/>
        </w:rPr>
        <w:t>wh</w:t>
      </w:r>
      <w:r w:rsidR="00E512A9" w:rsidRPr="001D3742">
        <w:rPr>
          <w:rFonts w:asciiTheme="majorHAnsi" w:hAnsiTheme="majorHAnsi"/>
          <w:bCs/>
          <w:sz w:val="20"/>
          <w:szCs w:val="20"/>
        </w:rPr>
        <w:t>ich</w:t>
      </w:r>
      <w:r w:rsidR="00E52664" w:rsidRPr="001D3742">
        <w:rPr>
          <w:rFonts w:asciiTheme="majorHAnsi" w:hAnsiTheme="majorHAnsi"/>
          <w:bCs/>
          <w:sz w:val="20"/>
          <w:szCs w:val="20"/>
        </w:rPr>
        <w:t xml:space="preserve"> </w:t>
      </w:r>
      <w:r w:rsidRPr="001D3742">
        <w:rPr>
          <w:rFonts w:asciiTheme="majorHAnsi" w:hAnsiTheme="majorHAnsi"/>
          <w:bCs/>
          <w:sz w:val="20"/>
          <w:szCs w:val="20"/>
        </w:rPr>
        <w:t xml:space="preserve">was accepted by both families, without incident to date. The petitioners argue that the alleged victim did not report the facts at the time because of fear of reprisals. </w:t>
      </w:r>
    </w:p>
    <w:p w:rsidR="00E52664" w:rsidRPr="001D3742" w:rsidRDefault="009B14DF" w:rsidP="00984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sz w:val="20"/>
          <w:szCs w:val="20"/>
        </w:rPr>
        <w:t xml:space="preserve">On coming to learn all the details, the alleged victim’s mother, </w:t>
      </w:r>
      <w:r w:rsidR="00E52664" w:rsidRPr="001D3742">
        <w:rPr>
          <w:rFonts w:asciiTheme="majorHAnsi" w:hAnsiTheme="majorHAnsi"/>
          <w:sz w:val="20"/>
          <w:szCs w:val="20"/>
        </w:rPr>
        <w:t>Maria Aparecida Uterkircher Brezer (</w:t>
      </w:r>
      <w:r w:rsidRPr="001D3742">
        <w:rPr>
          <w:rFonts w:asciiTheme="majorHAnsi" w:hAnsiTheme="majorHAnsi"/>
          <w:sz w:val="20"/>
          <w:szCs w:val="20"/>
        </w:rPr>
        <w:t xml:space="preserve">hereinafter </w:t>
      </w:r>
      <w:r w:rsidR="00E52664" w:rsidRPr="001D3742">
        <w:rPr>
          <w:rFonts w:asciiTheme="majorHAnsi" w:hAnsiTheme="majorHAnsi"/>
          <w:sz w:val="20"/>
          <w:szCs w:val="20"/>
        </w:rPr>
        <w:t>“</w:t>
      </w:r>
      <w:r w:rsidRPr="001D3742">
        <w:rPr>
          <w:rFonts w:asciiTheme="majorHAnsi" w:hAnsiTheme="majorHAnsi"/>
          <w:sz w:val="20"/>
          <w:szCs w:val="20"/>
        </w:rPr>
        <w:t xml:space="preserve">Ms. </w:t>
      </w:r>
      <w:r w:rsidR="00E52664" w:rsidRPr="001D3742">
        <w:rPr>
          <w:rFonts w:asciiTheme="majorHAnsi" w:hAnsiTheme="majorHAnsi"/>
          <w:sz w:val="20"/>
          <w:szCs w:val="20"/>
        </w:rPr>
        <w:t xml:space="preserve">Brezer”), </w:t>
      </w:r>
      <w:r w:rsidRPr="001D3742">
        <w:rPr>
          <w:rFonts w:asciiTheme="majorHAnsi" w:hAnsiTheme="majorHAnsi"/>
          <w:sz w:val="20"/>
          <w:szCs w:val="20"/>
        </w:rPr>
        <w:t>lodged a complaint with the police</w:t>
      </w:r>
      <w:r w:rsidR="00E512A9" w:rsidRPr="001D3742">
        <w:rPr>
          <w:rFonts w:asciiTheme="majorHAnsi" w:hAnsiTheme="majorHAnsi"/>
          <w:sz w:val="20"/>
          <w:szCs w:val="20"/>
        </w:rPr>
        <w:t>,</w:t>
      </w:r>
      <w:r w:rsidRPr="001D3742">
        <w:rPr>
          <w:rFonts w:asciiTheme="majorHAnsi" w:hAnsiTheme="majorHAnsi"/>
          <w:sz w:val="20"/>
          <w:szCs w:val="20"/>
        </w:rPr>
        <w:t xml:space="preserve"> accompanied by an eyewitness, </w:t>
      </w:r>
      <w:r w:rsidR="00E52664" w:rsidRPr="001D3742">
        <w:rPr>
          <w:rFonts w:asciiTheme="majorHAnsi" w:hAnsiTheme="majorHAnsi"/>
          <w:sz w:val="20"/>
          <w:szCs w:val="20"/>
        </w:rPr>
        <w:t xml:space="preserve">Deusa Aparecida Leme. </w:t>
      </w:r>
      <w:r w:rsidRPr="001D3742">
        <w:rPr>
          <w:rFonts w:asciiTheme="majorHAnsi" w:hAnsiTheme="majorHAnsi"/>
          <w:sz w:val="20"/>
          <w:szCs w:val="20"/>
        </w:rPr>
        <w:t xml:space="preserve">Yet they allege that despite indicating the names of all those involved, the police officer who </w:t>
      </w:r>
      <w:r w:rsidR="00E512A9" w:rsidRPr="001D3742">
        <w:rPr>
          <w:rFonts w:asciiTheme="majorHAnsi" w:hAnsiTheme="majorHAnsi"/>
          <w:sz w:val="20"/>
          <w:szCs w:val="20"/>
        </w:rPr>
        <w:t xml:space="preserve">took </w:t>
      </w:r>
      <w:r w:rsidRPr="001D3742">
        <w:rPr>
          <w:rFonts w:asciiTheme="majorHAnsi" w:hAnsiTheme="majorHAnsi"/>
          <w:sz w:val="20"/>
          <w:szCs w:val="20"/>
        </w:rPr>
        <w:t>the incident report in</w:t>
      </w:r>
      <w:r w:rsidR="00E512A9" w:rsidRPr="001D3742">
        <w:rPr>
          <w:rFonts w:asciiTheme="majorHAnsi" w:hAnsiTheme="majorHAnsi"/>
          <w:sz w:val="20"/>
          <w:szCs w:val="20"/>
        </w:rPr>
        <w:t>c</w:t>
      </w:r>
      <w:r w:rsidRPr="001D3742">
        <w:rPr>
          <w:rFonts w:asciiTheme="majorHAnsi" w:hAnsiTheme="majorHAnsi"/>
          <w:sz w:val="20"/>
          <w:szCs w:val="20"/>
        </w:rPr>
        <w:t xml:space="preserve">luded only the first names of the persons denounced in the document. That information was confirmed by the </w:t>
      </w:r>
      <w:r w:rsidR="00DA6C5B" w:rsidRPr="001D3742">
        <w:rPr>
          <w:rFonts w:asciiTheme="majorHAnsi" w:hAnsiTheme="majorHAnsi"/>
          <w:sz w:val="20"/>
          <w:szCs w:val="20"/>
        </w:rPr>
        <w:t>Office of the Attorney General</w:t>
      </w:r>
      <w:r w:rsidRPr="001D3742">
        <w:rPr>
          <w:rFonts w:asciiTheme="majorHAnsi" w:hAnsiTheme="majorHAnsi"/>
          <w:sz w:val="20"/>
          <w:szCs w:val="20"/>
        </w:rPr>
        <w:t xml:space="preserve">, </w:t>
      </w:r>
      <w:r w:rsidR="00984A1E" w:rsidRPr="001D3742">
        <w:rPr>
          <w:rFonts w:asciiTheme="majorHAnsi" w:hAnsiTheme="majorHAnsi"/>
          <w:sz w:val="20"/>
          <w:szCs w:val="20"/>
        </w:rPr>
        <w:t xml:space="preserve">which also found that the police officer </w:t>
      </w:r>
      <w:r w:rsidR="009746D4" w:rsidRPr="001D3742">
        <w:rPr>
          <w:rFonts w:asciiTheme="majorHAnsi" w:hAnsiTheme="majorHAnsi"/>
          <w:sz w:val="20"/>
          <w:szCs w:val="20"/>
        </w:rPr>
        <w:t xml:space="preserve">vouched for </w:t>
      </w:r>
      <w:r w:rsidR="00984A1E" w:rsidRPr="001D3742">
        <w:rPr>
          <w:rFonts w:asciiTheme="majorHAnsi" w:hAnsiTheme="majorHAnsi"/>
          <w:sz w:val="20"/>
          <w:szCs w:val="20"/>
        </w:rPr>
        <w:t xml:space="preserve">the conduct of Mr. </w:t>
      </w:r>
      <w:r w:rsidR="00E52664" w:rsidRPr="001D3742">
        <w:rPr>
          <w:rFonts w:asciiTheme="majorHAnsi" w:hAnsiTheme="majorHAnsi"/>
          <w:sz w:val="20"/>
          <w:szCs w:val="20"/>
        </w:rPr>
        <w:t xml:space="preserve">Lincoln </w:t>
      </w:r>
      <w:r w:rsidR="00984A1E" w:rsidRPr="001D3742">
        <w:rPr>
          <w:rFonts w:asciiTheme="majorHAnsi" w:hAnsiTheme="majorHAnsi"/>
          <w:sz w:val="20"/>
          <w:szCs w:val="20"/>
        </w:rPr>
        <w:t xml:space="preserve">and the police investigators. It was only on July </w:t>
      </w:r>
      <w:r w:rsidR="00E52664" w:rsidRPr="001D3742">
        <w:rPr>
          <w:rFonts w:asciiTheme="majorHAnsi" w:hAnsiTheme="majorHAnsi"/>
          <w:sz w:val="20"/>
          <w:szCs w:val="20"/>
        </w:rPr>
        <w:t>15</w:t>
      </w:r>
      <w:r w:rsidR="00984A1E" w:rsidRPr="001D3742">
        <w:rPr>
          <w:rFonts w:asciiTheme="majorHAnsi" w:hAnsiTheme="majorHAnsi"/>
          <w:sz w:val="20"/>
          <w:szCs w:val="20"/>
        </w:rPr>
        <w:t>,</w:t>
      </w:r>
      <w:r w:rsidR="00E52664" w:rsidRPr="001D3742">
        <w:rPr>
          <w:rFonts w:asciiTheme="majorHAnsi" w:hAnsiTheme="majorHAnsi"/>
          <w:sz w:val="20"/>
          <w:szCs w:val="20"/>
        </w:rPr>
        <w:t xml:space="preserve"> 1997, </w:t>
      </w:r>
      <w:r w:rsidR="00984A1E" w:rsidRPr="001D3742">
        <w:rPr>
          <w:rFonts w:asciiTheme="majorHAnsi" w:hAnsiTheme="majorHAnsi"/>
          <w:sz w:val="20"/>
          <w:szCs w:val="20"/>
        </w:rPr>
        <w:t xml:space="preserve">that Mr. </w:t>
      </w:r>
      <w:r w:rsidR="00E52664" w:rsidRPr="001D3742">
        <w:rPr>
          <w:rFonts w:asciiTheme="majorHAnsi" w:hAnsiTheme="majorHAnsi"/>
          <w:sz w:val="20"/>
          <w:szCs w:val="20"/>
        </w:rPr>
        <w:t xml:space="preserve">Lincoln </w:t>
      </w:r>
      <w:r w:rsidR="00984A1E" w:rsidRPr="001D3742">
        <w:rPr>
          <w:rFonts w:asciiTheme="majorHAnsi" w:hAnsiTheme="majorHAnsi"/>
          <w:sz w:val="20"/>
          <w:szCs w:val="20"/>
        </w:rPr>
        <w:t xml:space="preserve">reported the occurrence involving the jewels, and that day the alleged victim underwent an expert medical exam that found several lesions and </w:t>
      </w:r>
      <w:r w:rsidR="009746D4" w:rsidRPr="001D3742">
        <w:rPr>
          <w:rFonts w:asciiTheme="majorHAnsi" w:hAnsiTheme="majorHAnsi"/>
          <w:sz w:val="20"/>
          <w:szCs w:val="20"/>
        </w:rPr>
        <w:t xml:space="preserve">handcuff </w:t>
      </w:r>
      <w:r w:rsidR="00984A1E" w:rsidRPr="001D3742">
        <w:rPr>
          <w:rFonts w:asciiTheme="majorHAnsi" w:hAnsiTheme="majorHAnsi"/>
          <w:sz w:val="20"/>
          <w:szCs w:val="20"/>
        </w:rPr>
        <w:t xml:space="preserve">marks </w:t>
      </w:r>
      <w:r w:rsidR="00984A1E" w:rsidRPr="001D3742">
        <w:rPr>
          <w:rFonts w:asciiTheme="majorHAnsi" w:hAnsiTheme="majorHAnsi"/>
          <w:bCs/>
          <w:sz w:val="20"/>
          <w:szCs w:val="20"/>
        </w:rPr>
        <w:t xml:space="preserve">on his wrists. </w:t>
      </w:r>
    </w:p>
    <w:p w:rsidR="00E52664" w:rsidRPr="001D3742" w:rsidRDefault="00984A1E" w:rsidP="00E5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bCs/>
          <w:sz w:val="20"/>
          <w:szCs w:val="20"/>
        </w:rPr>
        <w:t xml:space="preserve">On July </w:t>
      </w:r>
      <w:r w:rsidR="00E52664" w:rsidRPr="001D3742">
        <w:rPr>
          <w:rFonts w:asciiTheme="majorHAnsi" w:hAnsiTheme="majorHAnsi"/>
          <w:bCs/>
          <w:sz w:val="20"/>
          <w:szCs w:val="20"/>
        </w:rPr>
        <w:t>17</w:t>
      </w:r>
      <w:r w:rsidRPr="001D3742">
        <w:rPr>
          <w:rFonts w:asciiTheme="majorHAnsi" w:hAnsiTheme="majorHAnsi"/>
          <w:bCs/>
          <w:sz w:val="20"/>
          <w:szCs w:val="20"/>
        </w:rPr>
        <w:t>,</w:t>
      </w:r>
      <w:r w:rsidR="00E52664" w:rsidRPr="001D3742">
        <w:rPr>
          <w:rFonts w:asciiTheme="majorHAnsi" w:hAnsiTheme="majorHAnsi"/>
          <w:bCs/>
          <w:sz w:val="20"/>
          <w:szCs w:val="20"/>
        </w:rPr>
        <w:t xml:space="preserve"> 1997, </w:t>
      </w:r>
      <w:r w:rsidRPr="001D3742">
        <w:rPr>
          <w:rFonts w:asciiTheme="majorHAnsi" w:hAnsiTheme="majorHAnsi"/>
          <w:bCs/>
          <w:sz w:val="20"/>
          <w:szCs w:val="20"/>
        </w:rPr>
        <w:t xml:space="preserve">the facts were related to the </w:t>
      </w:r>
      <w:r w:rsidR="00DA6C5B" w:rsidRPr="001D3742">
        <w:rPr>
          <w:rFonts w:asciiTheme="majorHAnsi" w:hAnsiTheme="majorHAnsi"/>
          <w:bCs/>
          <w:sz w:val="20"/>
          <w:szCs w:val="20"/>
        </w:rPr>
        <w:t xml:space="preserve">Office of the Attorney General, </w:t>
      </w:r>
      <w:r w:rsidRPr="001D3742">
        <w:rPr>
          <w:rFonts w:asciiTheme="majorHAnsi" w:hAnsiTheme="majorHAnsi"/>
          <w:bCs/>
          <w:sz w:val="20"/>
          <w:szCs w:val="20"/>
        </w:rPr>
        <w:t xml:space="preserve">which asked that a police inquiry be opened, which concluded on June 18, </w:t>
      </w:r>
      <w:r w:rsidR="00E52664" w:rsidRPr="001D3742">
        <w:rPr>
          <w:rFonts w:asciiTheme="majorHAnsi" w:hAnsiTheme="majorHAnsi"/>
          <w:bCs/>
          <w:sz w:val="20"/>
          <w:szCs w:val="20"/>
        </w:rPr>
        <w:t xml:space="preserve">1998. </w:t>
      </w:r>
      <w:r w:rsidRPr="001D3742">
        <w:rPr>
          <w:rFonts w:asciiTheme="majorHAnsi" w:hAnsiTheme="majorHAnsi"/>
          <w:bCs/>
          <w:sz w:val="20"/>
          <w:szCs w:val="20"/>
        </w:rPr>
        <w:t xml:space="preserve">On July </w:t>
      </w:r>
      <w:r w:rsidR="00E52664" w:rsidRPr="001D3742">
        <w:rPr>
          <w:rFonts w:asciiTheme="majorHAnsi" w:hAnsiTheme="majorHAnsi"/>
          <w:bCs/>
          <w:sz w:val="20"/>
          <w:szCs w:val="20"/>
        </w:rPr>
        <w:t>17</w:t>
      </w:r>
      <w:r w:rsidRPr="001D3742">
        <w:rPr>
          <w:rFonts w:asciiTheme="majorHAnsi" w:hAnsiTheme="majorHAnsi"/>
          <w:bCs/>
          <w:sz w:val="20"/>
          <w:szCs w:val="20"/>
        </w:rPr>
        <w:t>,</w:t>
      </w:r>
      <w:r w:rsidR="00E52664" w:rsidRPr="001D3742">
        <w:rPr>
          <w:rFonts w:asciiTheme="majorHAnsi" w:hAnsiTheme="majorHAnsi"/>
          <w:bCs/>
          <w:sz w:val="20"/>
          <w:szCs w:val="20"/>
        </w:rPr>
        <w:t xml:space="preserve"> 1998, </w:t>
      </w:r>
      <w:r w:rsidRPr="001D3742">
        <w:rPr>
          <w:rFonts w:asciiTheme="majorHAnsi" w:hAnsiTheme="majorHAnsi"/>
          <w:bCs/>
          <w:sz w:val="20"/>
          <w:szCs w:val="20"/>
        </w:rPr>
        <w:t xml:space="preserve">the </w:t>
      </w:r>
      <w:r w:rsidR="00DA6C5B" w:rsidRPr="001D3742">
        <w:rPr>
          <w:rFonts w:asciiTheme="majorHAnsi" w:hAnsiTheme="majorHAnsi"/>
          <w:bCs/>
          <w:sz w:val="20"/>
          <w:szCs w:val="20"/>
        </w:rPr>
        <w:t xml:space="preserve">Office of the Attorney General </w:t>
      </w:r>
      <w:r w:rsidRPr="001D3742">
        <w:rPr>
          <w:rFonts w:asciiTheme="majorHAnsi" w:hAnsiTheme="majorHAnsi"/>
          <w:bCs/>
          <w:sz w:val="20"/>
          <w:szCs w:val="20"/>
        </w:rPr>
        <w:t xml:space="preserve">filed charges against Mr. </w:t>
      </w:r>
      <w:r w:rsidR="00E52664" w:rsidRPr="001D3742">
        <w:rPr>
          <w:rFonts w:asciiTheme="majorHAnsi" w:hAnsiTheme="majorHAnsi"/>
          <w:sz w:val="20"/>
          <w:szCs w:val="20"/>
        </w:rPr>
        <w:t xml:space="preserve">Lincoln </w:t>
      </w:r>
      <w:r w:rsidRPr="001D3742">
        <w:rPr>
          <w:rFonts w:asciiTheme="majorHAnsi" w:hAnsiTheme="majorHAnsi"/>
          <w:sz w:val="20"/>
          <w:szCs w:val="20"/>
        </w:rPr>
        <w:t xml:space="preserve">and the police investigators </w:t>
      </w:r>
      <w:r w:rsidR="009746D4" w:rsidRPr="001D3742">
        <w:rPr>
          <w:rFonts w:asciiTheme="majorHAnsi" w:hAnsiTheme="majorHAnsi"/>
          <w:sz w:val="20"/>
          <w:szCs w:val="20"/>
        </w:rPr>
        <w:t xml:space="preserve">under </w:t>
      </w:r>
      <w:r w:rsidRPr="001D3742">
        <w:rPr>
          <w:rFonts w:asciiTheme="majorHAnsi" w:hAnsiTheme="majorHAnsi"/>
          <w:sz w:val="20"/>
          <w:szCs w:val="20"/>
        </w:rPr>
        <w:t xml:space="preserve">the Brazilian Anti-Torture Law </w:t>
      </w:r>
      <w:r w:rsidR="00E52664" w:rsidRPr="001D3742">
        <w:rPr>
          <w:rFonts w:asciiTheme="majorHAnsi" w:hAnsiTheme="majorHAnsi"/>
          <w:sz w:val="20"/>
          <w:szCs w:val="20"/>
        </w:rPr>
        <w:t>(</w:t>
      </w:r>
      <w:r w:rsidRPr="001D3742">
        <w:rPr>
          <w:rFonts w:asciiTheme="majorHAnsi" w:hAnsiTheme="majorHAnsi"/>
          <w:sz w:val="20"/>
          <w:szCs w:val="20"/>
        </w:rPr>
        <w:t xml:space="preserve">Law No. </w:t>
      </w:r>
      <w:r w:rsidR="00E52664" w:rsidRPr="001D3742">
        <w:rPr>
          <w:rFonts w:asciiTheme="majorHAnsi" w:hAnsiTheme="majorHAnsi"/>
          <w:sz w:val="20"/>
          <w:szCs w:val="20"/>
        </w:rPr>
        <w:t>9</w:t>
      </w:r>
      <w:r w:rsidRPr="001D3742">
        <w:rPr>
          <w:rFonts w:asciiTheme="majorHAnsi" w:hAnsiTheme="majorHAnsi"/>
          <w:sz w:val="20"/>
          <w:szCs w:val="20"/>
        </w:rPr>
        <w:t>,</w:t>
      </w:r>
      <w:r w:rsidR="00E52664" w:rsidRPr="001D3742">
        <w:rPr>
          <w:rFonts w:asciiTheme="majorHAnsi" w:hAnsiTheme="majorHAnsi"/>
          <w:sz w:val="20"/>
          <w:szCs w:val="20"/>
        </w:rPr>
        <w:t xml:space="preserve">455/97). </w:t>
      </w:r>
      <w:r w:rsidRPr="001D3742">
        <w:rPr>
          <w:rFonts w:asciiTheme="majorHAnsi" w:hAnsiTheme="majorHAnsi"/>
          <w:sz w:val="20"/>
          <w:szCs w:val="20"/>
        </w:rPr>
        <w:t xml:space="preserve">Also charged, under that same law, was the officer in charge the day of the facts for omission in failing to combat and effectively investigate torture. They alleged that the criminal action went forward only in relation to the first two, for as regards the officer it was archived based on the allegation of lack of just cause. In the judgment handed down on September </w:t>
      </w:r>
      <w:r w:rsidR="00E52664" w:rsidRPr="001D3742">
        <w:rPr>
          <w:rFonts w:asciiTheme="majorHAnsi" w:hAnsiTheme="majorHAnsi"/>
          <w:sz w:val="20"/>
          <w:szCs w:val="20"/>
        </w:rPr>
        <w:t>1</w:t>
      </w:r>
      <w:r w:rsidRPr="001D3742">
        <w:rPr>
          <w:rFonts w:asciiTheme="majorHAnsi" w:hAnsiTheme="majorHAnsi"/>
          <w:sz w:val="20"/>
          <w:szCs w:val="20"/>
        </w:rPr>
        <w:t>,</w:t>
      </w:r>
      <w:r w:rsidR="00E52664" w:rsidRPr="001D3742">
        <w:rPr>
          <w:rFonts w:asciiTheme="majorHAnsi" w:hAnsiTheme="majorHAnsi"/>
          <w:sz w:val="20"/>
          <w:szCs w:val="20"/>
        </w:rPr>
        <w:t xml:space="preserve"> 2000, </w:t>
      </w:r>
      <w:r w:rsidRPr="001D3742">
        <w:rPr>
          <w:rFonts w:asciiTheme="majorHAnsi" w:hAnsiTheme="majorHAnsi"/>
          <w:sz w:val="20"/>
          <w:szCs w:val="20"/>
        </w:rPr>
        <w:t xml:space="preserve">the accused were acquitted at trial as the judge understood that the accusations were driven by political considerations, and that there was not sufficient evidence to find that the crime took place. The </w:t>
      </w:r>
      <w:r w:rsidR="00DA6C5B" w:rsidRPr="001D3742">
        <w:rPr>
          <w:rFonts w:asciiTheme="majorHAnsi" w:hAnsiTheme="majorHAnsi"/>
          <w:sz w:val="20"/>
          <w:szCs w:val="20"/>
        </w:rPr>
        <w:t xml:space="preserve">Office of the Attorney General </w:t>
      </w:r>
      <w:r w:rsidRPr="001D3742">
        <w:rPr>
          <w:rFonts w:asciiTheme="majorHAnsi" w:hAnsiTheme="majorHAnsi"/>
          <w:sz w:val="20"/>
          <w:szCs w:val="20"/>
        </w:rPr>
        <w:t xml:space="preserve">appealed the judgment, and in </w:t>
      </w:r>
      <w:r w:rsidR="00E52664" w:rsidRPr="001D3742">
        <w:rPr>
          <w:rFonts w:asciiTheme="majorHAnsi" w:hAnsiTheme="majorHAnsi"/>
          <w:sz w:val="20"/>
          <w:szCs w:val="20"/>
        </w:rPr>
        <w:t>2006</w:t>
      </w:r>
      <w:r w:rsidRPr="001D3742">
        <w:rPr>
          <w:rFonts w:asciiTheme="majorHAnsi" w:hAnsiTheme="majorHAnsi"/>
          <w:sz w:val="20"/>
          <w:szCs w:val="20"/>
        </w:rPr>
        <w:t xml:space="preserve"> the appeal was </w:t>
      </w:r>
      <w:r w:rsidR="009746D4" w:rsidRPr="001D3742">
        <w:rPr>
          <w:rFonts w:asciiTheme="majorHAnsi" w:hAnsiTheme="majorHAnsi"/>
          <w:sz w:val="20"/>
          <w:szCs w:val="20"/>
        </w:rPr>
        <w:t xml:space="preserve">rejected </w:t>
      </w:r>
      <w:r w:rsidRPr="001D3742">
        <w:rPr>
          <w:rFonts w:asciiTheme="majorHAnsi" w:hAnsiTheme="majorHAnsi"/>
          <w:sz w:val="20"/>
          <w:szCs w:val="20"/>
        </w:rPr>
        <w:t>by the Court of Appeals (</w:t>
      </w:r>
      <w:r w:rsidR="00E52664" w:rsidRPr="0075218C">
        <w:rPr>
          <w:rFonts w:asciiTheme="majorHAnsi" w:hAnsiTheme="majorHAnsi"/>
          <w:i/>
          <w:sz w:val="20"/>
          <w:szCs w:val="20"/>
        </w:rPr>
        <w:t>Tribunal de Justiça</w:t>
      </w:r>
      <w:r w:rsidRPr="001D3742">
        <w:rPr>
          <w:rFonts w:asciiTheme="majorHAnsi" w:hAnsiTheme="majorHAnsi"/>
          <w:sz w:val="20"/>
          <w:szCs w:val="20"/>
        </w:rPr>
        <w:t xml:space="preserve">) of the state of </w:t>
      </w:r>
      <w:r w:rsidR="00E52664" w:rsidRPr="001D3742">
        <w:rPr>
          <w:rFonts w:asciiTheme="majorHAnsi" w:hAnsiTheme="majorHAnsi"/>
          <w:sz w:val="20"/>
          <w:szCs w:val="20"/>
        </w:rPr>
        <w:t>São Paulo (</w:t>
      </w:r>
      <w:r w:rsidRPr="001D3742">
        <w:rPr>
          <w:rFonts w:asciiTheme="majorHAnsi" w:hAnsiTheme="majorHAnsi"/>
          <w:sz w:val="20"/>
          <w:szCs w:val="20"/>
        </w:rPr>
        <w:t xml:space="preserve">hereinafter </w:t>
      </w:r>
      <w:r w:rsidR="00E52664" w:rsidRPr="001D3742">
        <w:rPr>
          <w:rFonts w:asciiTheme="majorHAnsi" w:hAnsiTheme="majorHAnsi"/>
          <w:sz w:val="20"/>
          <w:szCs w:val="20"/>
        </w:rPr>
        <w:t>“TJSP”)</w:t>
      </w:r>
      <w:r w:rsidRPr="001D3742">
        <w:rPr>
          <w:rFonts w:asciiTheme="majorHAnsi" w:hAnsiTheme="majorHAnsi"/>
          <w:sz w:val="20"/>
          <w:szCs w:val="20"/>
        </w:rPr>
        <w:t xml:space="preserve">, as it understood that the constituent elements of the crime of torture were not present. The alleged victim, </w:t>
      </w:r>
      <w:r w:rsidR="009746D4" w:rsidRPr="001D3742">
        <w:rPr>
          <w:rFonts w:asciiTheme="majorHAnsi" w:hAnsiTheme="majorHAnsi"/>
          <w:sz w:val="20"/>
          <w:szCs w:val="20"/>
        </w:rPr>
        <w:t xml:space="preserve">as private prosecutor, </w:t>
      </w:r>
      <w:r w:rsidRPr="001D3742">
        <w:rPr>
          <w:rFonts w:asciiTheme="majorHAnsi" w:hAnsiTheme="majorHAnsi"/>
          <w:sz w:val="20"/>
          <w:szCs w:val="20"/>
        </w:rPr>
        <w:t xml:space="preserve">filed </w:t>
      </w:r>
      <w:r w:rsidR="009746D4" w:rsidRPr="001D3742">
        <w:rPr>
          <w:rFonts w:asciiTheme="majorHAnsi" w:hAnsiTheme="majorHAnsi"/>
          <w:sz w:val="20"/>
          <w:szCs w:val="20"/>
        </w:rPr>
        <w:t xml:space="preserve">requests for amendment of judgment </w:t>
      </w:r>
      <w:r w:rsidR="00DA6C5B" w:rsidRPr="001D3742">
        <w:rPr>
          <w:rFonts w:asciiTheme="majorHAnsi" w:hAnsiTheme="majorHAnsi"/>
          <w:sz w:val="20"/>
          <w:szCs w:val="20"/>
        </w:rPr>
        <w:t>(</w:t>
      </w:r>
      <w:r w:rsidR="00EA6348" w:rsidRPr="0075218C">
        <w:rPr>
          <w:rFonts w:asciiTheme="majorHAnsi" w:hAnsiTheme="majorHAnsi"/>
          <w:i/>
          <w:sz w:val="20"/>
          <w:szCs w:val="20"/>
        </w:rPr>
        <w:t>Embargos de Declaração</w:t>
      </w:r>
      <w:r w:rsidR="00DA6C5B" w:rsidRPr="001D3742">
        <w:rPr>
          <w:rFonts w:asciiTheme="majorHAnsi" w:hAnsiTheme="majorHAnsi"/>
          <w:sz w:val="20"/>
          <w:szCs w:val="20"/>
        </w:rPr>
        <w:t xml:space="preserve">) </w:t>
      </w:r>
      <w:r w:rsidRPr="001D3742">
        <w:rPr>
          <w:rFonts w:asciiTheme="majorHAnsi" w:hAnsiTheme="majorHAnsi"/>
          <w:sz w:val="20"/>
          <w:szCs w:val="20"/>
        </w:rPr>
        <w:t xml:space="preserve">on April </w:t>
      </w:r>
      <w:r w:rsidR="00E52664" w:rsidRPr="001D3742">
        <w:rPr>
          <w:rFonts w:asciiTheme="majorHAnsi" w:hAnsiTheme="majorHAnsi"/>
          <w:sz w:val="20"/>
          <w:szCs w:val="20"/>
        </w:rPr>
        <w:t>5</w:t>
      </w:r>
      <w:r w:rsidRPr="001D3742">
        <w:rPr>
          <w:rFonts w:asciiTheme="majorHAnsi" w:hAnsiTheme="majorHAnsi"/>
          <w:sz w:val="20"/>
          <w:szCs w:val="20"/>
        </w:rPr>
        <w:t>,</w:t>
      </w:r>
      <w:r w:rsidR="00E52664" w:rsidRPr="001D3742">
        <w:rPr>
          <w:rFonts w:asciiTheme="majorHAnsi" w:hAnsiTheme="majorHAnsi"/>
          <w:sz w:val="20"/>
          <w:szCs w:val="20"/>
        </w:rPr>
        <w:t xml:space="preserve"> 2006, </w:t>
      </w:r>
      <w:r w:rsidRPr="001D3742">
        <w:rPr>
          <w:rFonts w:asciiTheme="majorHAnsi" w:hAnsiTheme="majorHAnsi"/>
          <w:sz w:val="20"/>
          <w:szCs w:val="20"/>
        </w:rPr>
        <w:t xml:space="preserve">which were rejected on August </w:t>
      </w:r>
      <w:r w:rsidR="00E52664" w:rsidRPr="001D3742">
        <w:rPr>
          <w:rFonts w:asciiTheme="majorHAnsi" w:hAnsiTheme="majorHAnsi"/>
          <w:sz w:val="20"/>
          <w:szCs w:val="20"/>
        </w:rPr>
        <w:t>3</w:t>
      </w:r>
      <w:r w:rsidRPr="001D3742">
        <w:rPr>
          <w:rFonts w:asciiTheme="majorHAnsi" w:hAnsiTheme="majorHAnsi"/>
          <w:sz w:val="20"/>
          <w:szCs w:val="20"/>
        </w:rPr>
        <w:t xml:space="preserve">, 2006. On September </w:t>
      </w:r>
      <w:r w:rsidR="00E52664" w:rsidRPr="001D3742">
        <w:rPr>
          <w:rFonts w:asciiTheme="majorHAnsi" w:hAnsiTheme="majorHAnsi"/>
          <w:sz w:val="20"/>
          <w:szCs w:val="20"/>
        </w:rPr>
        <w:t>15</w:t>
      </w:r>
      <w:r w:rsidRPr="001D3742">
        <w:rPr>
          <w:rFonts w:asciiTheme="majorHAnsi" w:hAnsiTheme="majorHAnsi"/>
          <w:sz w:val="20"/>
          <w:szCs w:val="20"/>
        </w:rPr>
        <w:t>,</w:t>
      </w:r>
      <w:r w:rsidR="00E52664" w:rsidRPr="001D3742">
        <w:rPr>
          <w:rFonts w:asciiTheme="majorHAnsi" w:hAnsiTheme="majorHAnsi"/>
          <w:sz w:val="20"/>
          <w:szCs w:val="20"/>
        </w:rPr>
        <w:t xml:space="preserve"> 2006, </w:t>
      </w:r>
      <w:r w:rsidRPr="001D3742">
        <w:rPr>
          <w:rFonts w:asciiTheme="majorHAnsi" w:hAnsiTheme="majorHAnsi"/>
          <w:sz w:val="20"/>
          <w:szCs w:val="20"/>
        </w:rPr>
        <w:t>the defense filed an Extraordinary Appeal (</w:t>
      </w:r>
      <w:r w:rsidR="00E52664" w:rsidRPr="0075218C">
        <w:rPr>
          <w:rFonts w:asciiTheme="majorHAnsi" w:hAnsiTheme="majorHAnsi"/>
          <w:i/>
          <w:sz w:val="20"/>
          <w:szCs w:val="20"/>
        </w:rPr>
        <w:t>Recurso Extraordinário</w:t>
      </w:r>
      <w:r w:rsidRPr="001D3742">
        <w:rPr>
          <w:rFonts w:asciiTheme="majorHAnsi" w:hAnsiTheme="majorHAnsi"/>
          <w:sz w:val="20"/>
          <w:szCs w:val="20"/>
        </w:rPr>
        <w:t>)</w:t>
      </w:r>
      <w:r w:rsidR="00E52664" w:rsidRPr="001D3742">
        <w:rPr>
          <w:rFonts w:asciiTheme="majorHAnsi" w:hAnsiTheme="majorHAnsi"/>
          <w:sz w:val="20"/>
          <w:szCs w:val="20"/>
        </w:rPr>
        <w:t xml:space="preserve"> </w:t>
      </w:r>
      <w:r w:rsidRPr="001D3742">
        <w:rPr>
          <w:rFonts w:asciiTheme="majorHAnsi" w:hAnsiTheme="majorHAnsi"/>
          <w:sz w:val="20"/>
          <w:szCs w:val="20"/>
        </w:rPr>
        <w:t>and a Special Appeal (</w:t>
      </w:r>
      <w:r w:rsidR="00E52664" w:rsidRPr="0075218C">
        <w:rPr>
          <w:rFonts w:asciiTheme="majorHAnsi" w:hAnsiTheme="majorHAnsi"/>
          <w:i/>
          <w:sz w:val="20"/>
          <w:szCs w:val="20"/>
        </w:rPr>
        <w:t>Recurso Especial</w:t>
      </w:r>
      <w:r w:rsidRPr="001D3742">
        <w:rPr>
          <w:rFonts w:asciiTheme="majorHAnsi" w:hAnsiTheme="majorHAnsi"/>
          <w:sz w:val="20"/>
          <w:szCs w:val="20"/>
        </w:rPr>
        <w:t>)</w:t>
      </w:r>
      <w:r w:rsidR="00E52664" w:rsidRPr="001D3742">
        <w:rPr>
          <w:rFonts w:asciiTheme="majorHAnsi" w:hAnsiTheme="majorHAnsi"/>
          <w:sz w:val="20"/>
          <w:szCs w:val="20"/>
        </w:rPr>
        <w:t xml:space="preserve">, </w:t>
      </w:r>
      <w:r w:rsidRPr="001D3742">
        <w:rPr>
          <w:rFonts w:asciiTheme="majorHAnsi" w:hAnsiTheme="majorHAnsi"/>
          <w:sz w:val="20"/>
          <w:szCs w:val="20"/>
        </w:rPr>
        <w:t xml:space="preserve">which were denied by the </w:t>
      </w:r>
      <w:r w:rsidR="00E52664" w:rsidRPr="001D3742">
        <w:rPr>
          <w:rFonts w:asciiTheme="majorHAnsi" w:hAnsiTheme="majorHAnsi"/>
          <w:sz w:val="20"/>
          <w:szCs w:val="20"/>
        </w:rPr>
        <w:t>TJSP</w:t>
      </w:r>
      <w:r w:rsidRPr="001D3742">
        <w:rPr>
          <w:rFonts w:asciiTheme="majorHAnsi" w:hAnsiTheme="majorHAnsi"/>
          <w:sz w:val="20"/>
          <w:szCs w:val="20"/>
        </w:rPr>
        <w:t>,</w:t>
      </w:r>
      <w:r w:rsidR="00E52664" w:rsidRPr="001D3742">
        <w:rPr>
          <w:rFonts w:asciiTheme="majorHAnsi" w:hAnsiTheme="majorHAnsi"/>
          <w:sz w:val="20"/>
          <w:szCs w:val="20"/>
        </w:rPr>
        <w:t xml:space="preserve"> </w:t>
      </w:r>
      <w:r w:rsidRPr="001D3742">
        <w:rPr>
          <w:rFonts w:asciiTheme="majorHAnsi" w:hAnsiTheme="majorHAnsi"/>
          <w:sz w:val="20"/>
          <w:szCs w:val="20"/>
        </w:rPr>
        <w:t xml:space="preserve">as it understood that what was sought was merely a reexamination of the evidence. Against that decision </w:t>
      </w:r>
      <w:r w:rsidR="009746D4" w:rsidRPr="001D3742">
        <w:rPr>
          <w:rFonts w:asciiTheme="majorHAnsi" w:hAnsiTheme="majorHAnsi"/>
          <w:sz w:val="20"/>
          <w:szCs w:val="20"/>
        </w:rPr>
        <w:t xml:space="preserve">interlocutory appeals </w:t>
      </w:r>
      <w:r w:rsidRPr="001D3742">
        <w:rPr>
          <w:rFonts w:asciiTheme="majorHAnsi" w:hAnsiTheme="majorHAnsi"/>
          <w:sz w:val="20"/>
          <w:szCs w:val="20"/>
        </w:rPr>
        <w:t>(</w:t>
      </w:r>
      <w:r w:rsidR="00E52664" w:rsidRPr="0075218C">
        <w:rPr>
          <w:rFonts w:asciiTheme="majorHAnsi" w:hAnsiTheme="majorHAnsi"/>
          <w:i/>
          <w:sz w:val="20"/>
          <w:szCs w:val="20"/>
        </w:rPr>
        <w:t>Agravos de Instrumento</w:t>
      </w:r>
      <w:r w:rsidRPr="001D3742">
        <w:rPr>
          <w:rFonts w:asciiTheme="majorHAnsi" w:hAnsiTheme="majorHAnsi"/>
          <w:sz w:val="20"/>
          <w:szCs w:val="20"/>
        </w:rPr>
        <w:t>) were filed before the higher courts. The Federal Supreme Court (</w:t>
      </w:r>
      <w:r w:rsidR="00E52664" w:rsidRPr="0075218C">
        <w:rPr>
          <w:rFonts w:asciiTheme="majorHAnsi" w:hAnsiTheme="majorHAnsi"/>
          <w:i/>
          <w:sz w:val="20"/>
          <w:szCs w:val="20"/>
        </w:rPr>
        <w:t>Supremo Tribunal Federal</w:t>
      </w:r>
      <w:r w:rsidRPr="001D3742">
        <w:rPr>
          <w:rFonts w:asciiTheme="majorHAnsi" w:hAnsiTheme="majorHAnsi"/>
          <w:sz w:val="20"/>
          <w:szCs w:val="20"/>
        </w:rPr>
        <w:t>)</w:t>
      </w:r>
      <w:r w:rsidR="00E52664" w:rsidRPr="001D3742">
        <w:rPr>
          <w:rFonts w:asciiTheme="majorHAnsi" w:hAnsiTheme="majorHAnsi"/>
          <w:sz w:val="20"/>
          <w:szCs w:val="20"/>
        </w:rPr>
        <w:t xml:space="preserve"> </w:t>
      </w:r>
      <w:r w:rsidRPr="001D3742">
        <w:rPr>
          <w:rFonts w:asciiTheme="majorHAnsi" w:hAnsiTheme="majorHAnsi"/>
          <w:sz w:val="20"/>
          <w:szCs w:val="20"/>
        </w:rPr>
        <w:t xml:space="preserve">dismissed </w:t>
      </w:r>
      <w:r w:rsidR="009746D4" w:rsidRPr="001D3742">
        <w:rPr>
          <w:rFonts w:asciiTheme="majorHAnsi" w:hAnsiTheme="majorHAnsi"/>
          <w:sz w:val="20"/>
          <w:szCs w:val="20"/>
        </w:rPr>
        <w:t xml:space="preserve">that appeal </w:t>
      </w:r>
      <w:r w:rsidRPr="001D3742">
        <w:rPr>
          <w:rFonts w:asciiTheme="majorHAnsi" w:hAnsiTheme="majorHAnsi"/>
          <w:sz w:val="20"/>
          <w:szCs w:val="20"/>
        </w:rPr>
        <w:t>on March</w:t>
      </w:r>
      <w:r w:rsidR="00E52664" w:rsidRPr="001D3742">
        <w:rPr>
          <w:rFonts w:asciiTheme="majorHAnsi" w:hAnsiTheme="majorHAnsi"/>
          <w:sz w:val="20"/>
          <w:szCs w:val="20"/>
        </w:rPr>
        <w:t xml:space="preserve"> 17</w:t>
      </w:r>
      <w:r w:rsidRPr="001D3742">
        <w:rPr>
          <w:rFonts w:asciiTheme="majorHAnsi" w:hAnsiTheme="majorHAnsi"/>
          <w:sz w:val="20"/>
          <w:szCs w:val="20"/>
        </w:rPr>
        <w:t>,</w:t>
      </w:r>
      <w:r w:rsidR="00E52664" w:rsidRPr="001D3742">
        <w:rPr>
          <w:rFonts w:asciiTheme="majorHAnsi" w:hAnsiTheme="majorHAnsi"/>
          <w:sz w:val="20"/>
          <w:szCs w:val="20"/>
        </w:rPr>
        <w:t xml:space="preserve"> 2008</w:t>
      </w:r>
      <w:r w:rsidRPr="001D3742">
        <w:rPr>
          <w:rFonts w:asciiTheme="majorHAnsi" w:hAnsiTheme="majorHAnsi"/>
          <w:sz w:val="20"/>
          <w:szCs w:val="20"/>
        </w:rPr>
        <w:t xml:space="preserve">; that judgment became </w:t>
      </w:r>
      <w:r w:rsidRPr="001D3742">
        <w:rPr>
          <w:rFonts w:asciiTheme="majorHAnsi" w:hAnsiTheme="majorHAnsi"/>
          <w:i/>
          <w:iCs/>
          <w:sz w:val="20"/>
          <w:szCs w:val="20"/>
        </w:rPr>
        <w:t>res judicata</w:t>
      </w:r>
      <w:r w:rsidRPr="001D3742">
        <w:rPr>
          <w:rFonts w:asciiTheme="majorHAnsi" w:hAnsiTheme="majorHAnsi"/>
          <w:sz w:val="20"/>
          <w:szCs w:val="20"/>
        </w:rPr>
        <w:t xml:space="preserve"> on April 28, 2008. </w:t>
      </w:r>
      <w:r w:rsidR="00DE237B" w:rsidRPr="001D3742">
        <w:rPr>
          <w:rFonts w:asciiTheme="majorHAnsi" w:hAnsiTheme="majorHAnsi"/>
          <w:sz w:val="20"/>
          <w:szCs w:val="20"/>
        </w:rPr>
        <w:t xml:space="preserve">The </w:t>
      </w:r>
      <w:r w:rsidR="009746D4" w:rsidRPr="001D3742">
        <w:rPr>
          <w:rFonts w:asciiTheme="majorHAnsi" w:hAnsiTheme="majorHAnsi"/>
          <w:sz w:val="20"/>
          <w:szCs w:val="20"/>
        </w:rPr>
        <w:t xml:space="preserve">Court of Appeals </w:t>
      </w:r>
      <w:r w:rsidR="00DE237B" w:rsidRPr="001D3742">
        <w:rPr>
          <w:rFonts w:asciiTheme="majorHAnsi" w:hAnsiTheme="majorHAnsi"/>
          <w:sz w:val="20"/>
          <w:szCs w:val="20"/>
        </w:rPr>
        <w:t>(</w:t>
      </w:r>
      <w:r w:rsidR="00E52664" w:rsidRPr="0075218C">
        <w:rPr>
          <w:rFonts w:asciiTheme="majorHAnsi" w:hAnsiTheme="majorHAnsi"/>
          <w:i/>
          <w:sz w:val="20"/>
          <w:szCs w:val="20"/>
        </w:rPr>
        <w:t>Superior Tribunal de Justiça</w:t>
      </w:r>
      <w:r w:rsidR="00DE237B" w:rsidRPr="001D3742">
        <w:rPr>
          <w:rFonts w:asciiTheme="majorHAnsi" w:hAnsiTheme="majorHAnsi"/>
          <w:sz w:val="20"/>
          <w:szCs w:val="20"/>
        </w:rPr>
        <w:t>)</w:t>
      </w:r>
      <w:r w:rsidR="00E52664" w:rsidRPr="001D3742">
        <w:rPr>
          <w:rFonts w:asciiTheme="majorHAnsi" w:hAnsiTheme="majorHAnsi"/>
          <w:sz w:val="20"/>
          <w:szCs w:val="20"/>
        </w:rPr>
        <w:t xml:space="preserve"> </w:t>
      </w:r>
      <w:r w:rsidR="00DE237B" w:rsidRPr="001D3742">
        <w:rPr>
          <w:rFonts w:asciiTheme="majorHAnsi" w:hAnsiTheme="majorHAnsi"/>
          <w:sz w:val="20"/>
          <w:szCs w:val="20"/>
        </w:rPr>
        <w:t xml:space="preserve">had dismissed it on February </w:t>
      </w:r>
      <w:r w:rsidR="00E52664" w:rsidRPr="001D3742">
        <w:rPr>
          <w:rFonts w:asciiTheme="majorHAnsi" w:hAnsiTheme="majorHAnsi"/>
          <w:sz w:val="20"/>
          <w:szCs w:val="20"/>
        </w:rPr>
        <w:t>18</w:t>
      </w:r>
      <w:r w:rsidR="00DE237B" w:rsidRPr="001D3742">
        <w:rPr>
          <w:rFonts w:asciiTheme="majorHAnsi" w:hAnsiTheme="majorHAnsi"/>
          <w:sz w:val="20"/>
          <w:szCs w:val="20"/>
        </w:rPr>
        <w:t>,</w:t>
      </w:r>
      <w:r w:rsidR="00E52664" w:rsidRPr="001D3742">
        <w:rPr>
          <w:rFonts w:asciiTheme="majorHAnsi" w:hAnsiTheme="majorHAnsi"/>
          <w:sz w:val="20"/>
          <w:szCs w:val="20"/>
        </w:rPr>
        <w:t xml:space="preserve"> 2009</w:t>
      </w:r>
      <w:r w:rsidR="00DE237B" w:rsidRPr="001D3742">
        <w:rPr>
          <w:rFonts w:asciiTheme="majorHAnsi" w:hAnsiTheme="majorHAnsi"/>
          <w:sz w:val="20"/>
          <w:szCs w:val="20"/>
        </w:rPr>
        <w:t>;</w:t>
      </w:r>
      <w:r w:rsidR="00E52664" w:rsidRPr="001D3742">
        <w:rPr>
          <w:rFonts w:asciiTheme="majorHAnsi" w:hAnsiTheme="majorHAnsi"/>
          <w:sz w:val="20"/>
          <w:szCs w:val="20"/>
        </w:rPr>
        <w:t xml:space="preserve"> </w:t>
      </w:r>
      <w:r w:rsidR="00DE237B" w:rsidRPr="001D3742">
        <w:rPr>
          <w:rFonts w:asciiTheme="majorHAnsi" w:hAnsiTheme="majorHAnsi"/>
          <w:sz w:val="20"/>
          <w:szCs w:val="20"/>
        </w:rPr>
        <w:t xml:space="preserve">that judgment became </w:t>
      </w:r>
      <w:r w:rsidR="00DE237B" w:rsidRPr="001D3742">
        <w:rPr>
          <w:rFonts w:asciiTheme="majorHAnsi" w:hAnsiTheme="majorHAnsi"/>
          <w:i/>
          <w:iCs/>
          <w:sz w:val="20"/>
          <w:szCs w:val="20"/>
        </w:rPr>
        <w:t>res judicata</w:t>
      </w:r>
      <w:r w:rsidR="00DE237B" w:rsidRPr="001D3742">
        <w:rPr>
          <w:rFonts w:asciiTheme="majorHAnsi" w:hAnsiTheme="majorHAnsi"/>
          <w:sz w:val="20"/>
          <w:szCs w:val="20"/>
        </w:rPr>
        <w:t xml:space="preserve"> on March 18, 2009</w:t>
      </w:r>
      <w:r w:rsidR="00E52664" w:rsidRPr="001D3742">
        <w:rPr>
          <w:rFonts w:asciiTheme="majorHAnsi" w:hAnsiTheme="majorHAnsi"/>
          <w:sz w:val="20"/>
          <w:szCs w:val="20"/>
        </w:rPr>
        <w:t>.</w:t>
      </w:r>
    </w:p>
    <w:p w:rsidR="00E52664" w:rsidRPr="001D3742" w:rsidRDefault="00DE237B" w:rsidP="00E5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sz w:val="20"/>
          <w:szCs w:val="20"/>
        </w:rPr>
        <w:lastRenderedPageBreak/>
        <w:t xml:space="preserve">Mr. </w:t>
      </w:r>
      <w:r w:rsidR="00E52664" w:rsidRPr="001D3742">
        <w:rPr>
          <w:rFonts w:asciiTheme="majorHAnsi" w:hAnsiTheme="majorHAnsi"/>
          <w:sz w:val="20"/>
          <w:szCs w:val="20"/>
        </w:rPr>
        <w:t xml:space="preserve">Lincoln </w:t>
      </w:r>
      <w:r w:rsidRPr="001D3742">
        <w:rPr>
          <w:rFonts w:asciiTheme="majorHAnsi" w:hAnsiTheme="majorHAnsi"/>
          <w:sz w:val="20"/>
          <w:szCs w:val="20"/>
        </w:rPr>
        <w:t>was subject to a disciplinary proceeding before the Ethics and Disciplin</w:t>
      </w:r>
      <w:r w:rsidR="009746D4" w:rsidRPr="001D3742">
        <w:rPr>
          <w:rFonts w:asciiTheme="majorHAnsi" w:hAnsiTheme="majorHAnsi"/>
          <w:sz w:val="20"/>
          <w:szCs w:val="20"/>
        </w:rPr>
        <w:t>ary</w:t>
      </w:r>
      <w:r w:rsidRPr="001D3742">
        <w:rPr>
          <w:rFonts w:asciiTheme="majorHAnsi" w:hAnsiTheme="majorHAnsi"/>
          <w:sz w:val="20"/>
          <w:szCs w:val="20"/>
        </w:rPr>
        <w:t xml:space="preserve"> Tribunal of the </w:t>
      </w:r>
      <w:r w:rsidR="00E52664" w:rsidRPr="001D3742">
        <w:rPr>
          <w:rFonts w:asciiTheme="majorHAnsi" w:hAnsiTheme="majorHAnsi"/>
          <w:sz w:val="20"/>
          <w:szCs w:val="20"/>
        </w:rPr>
        <w:t>Ordem dos Advogados do Brasil</w:t>
      </w:r>
      <w:r w:rsidRPr="001D3742">
        <w:rPr>
          <w:rFonts w:asciiTheme="majorHAnsi" w:hAnsiTheme="majorHAnsi"/>
          <w:sz w:val="20"/>
          <w:szCs w:val="20"/>
        </w:rPr>
        <w:t xml:space="preserve"> (</w:t>
      </w:r>
      <w:r w:rsidR="009746D4" w:rsidRPr="001D3742">
        <w:rPr>
          <w:rFonts w:asciiTheme="majorHAnsi" w:hAnsiTheme="majorHAnsi"/>
          <w:sz w:val="20"/>
          <w:szCs w:val="20"/>
        </w:rPr>
        <w:t xml:space="preserve">the </w:t>
      </w:r>
      <w:r w:rsidRPr="001D3742">
        <w:rPr>
          <w:rFonts w:asciiTheme="majorHAnsi" w:hAnsiTheme="majorHAnsi"/>
          <w:sz w:val="20"/>
          <w:szCs w:val="20"/>
        </w:rPr>
        <w:t xml:space="preserve">Brazilian bar association), </w:t>
      </w:r>
      <w:r w:rsidR="00E52664" w:rsidRPr="001D3742">
        <w:rPr>
          <w:rFonts w:asciiTheme="majorHAnsi" w:hAnsiTheme="majorHAnsi"/>
          <w:sz w:val="20"/>
          <w:szCs w:val="20"/>
        </w:rPr>
        <w:t xml:space="preserve">São Paulo </w:t>
      </w:r>
      <w:r w:rsidRPr="001D3742">
        <w:rPr>
          <w:rFonts w:asciiTheme="majorHAnsi" w:hAnsiTheme="majorHAnsi"/>
          <w:sz w:val="20"/>
          <w:szCs w:val="20"/>
        </w:rPr>
        <w:t xml:space="preserve">Section </w:t>
      </w:r>
      <w:r w:rsidR="00E52664" w:rsidRPr="001D3742">
        <w:rPr>
          <w:rFonts w:asciiTheme="majorHAnsi" w:hAnsiTheme="majorHAnsi"/>
          <w:sz w:val="20"/>
          <w:szCs w:val="20"/>
        </w:rPr>
        <w:t>(</w:t>
      </w:r>
      <w:r w:rsidRPr="001D3742">
        <w:rPr>
          <w:rFonts w:asciiTheme="majorHAnsi" w:hAnsiTheme="majorHAnsi"/>
          <w:sz w:val="20"/>
          <w:szCs w:val="20"/>
        </w:rPr>
        <w:t xml:space="preserve">hereinafter </w:t>
      </w:r>
      <w:r w:rsidR="00E52664" w:rsidRPr="001D3742">
        <w:rPr>
          <w:rFonts w:asciiTheme="majorHAnsi" w:hAnsiTheme="majorHAnsi"/>
          <w:sz w:val="20"/>
          <w:szCs w:val="20"/>
        </w:rPr>
        <w:t xml:space="preserve">“OAB/SP”), </w:t>
      </w:r>
      <w:r w:rsidRPr="001D3742">
        <w:rPr>
          <w:rFonts w:asciiTheme="majorHAnsi" w:hAnsiTheme="majorHAnsi"/>
          <w:sz w:val="20"/>
          <w:szCs w:val="20"/>
        </w:rPr>
        <w:t xml:space="preserve">by a </w:t>
      </w:r>
      <w:r w:rsidR="00E65CE1" w:rsidRPr="001D3742">
        <w:rPr>
          <w:rFonts w:asciiTheme="majorHAnsi" w:hAnsiTheme="majorHAnsi"/>
          <w:sz w:val="20"/>
          <w:szCs w:val="20"/>
        </w:rPr>
        <w:t xml:space="preserve">petition filed by </w:t>
      </w:r>
      <w:r w:rsidRPr="001D3742">
        <w:rPr>
          <w:rFonts w:asciiTheme="majorHAnsi" w:hAnsiTheme="majorHAnsi"/>
          <w:sz w:val="20"/>
          <w:szCs w:val="20"/>
        </w:rPr>
        <w:t xml:space="preserve">Ms. </w:t>
      </w:r>
      <w:r w:rsidR="00E52664" w:rsidRPr="001D3742">
        <w:rPr>
          <w:rFonts w:asciiTheme="majorHAnsi" w:hAnsiTheme="majorHAnsi"/>
          <w:sz w:val="20"/>
          <w:szCs w:val="20"/>
        </w:rPr>
        <w:t xml:space="preserve">Brezer. </w:t>
      </w:r>
      <w:r w:rsidRPr="001D3742">
        <w:rPr>
          <w:rFonts w:asciiTheme="majorHAnsi" w:hAnsiTheme="majorHAnsi"/>
          <w:sz w:val="20"/>
          <w:szCs w:val="20"/>
        </w:rPr>
        <w:t xml:space="preserve">In August </w:t>
      </w:r>
      <w:r w:rsidR="00E52664" w:rsidRPr="001D3742">
        <w:rPr>
          <w:rFonts w:asciiTheme="majorHAnsi" w:hAnsiTheme="majorHAnsi"/>
          <w:sz w:val="20"/>
          <w:szCs w:val="20"/>
        </w:rPr>
        <w:t xml:space="preserve">2004, </w:t>
      </w:r>
      <w:r w:rsidRPr="001D3742">
        <w:rPr>
          <w:rFonts w:asciiTheme="majorHAnsi" w:hAnsiTheme="majorHAnsi"/>
          <w:sz w:val="20"/>
          <w:szCs w:val="20"/>
        </w:rPr>
        <w:t>the Ethics and Disciplin</w:t>
      </w:r>
      <w:r w:rsidR="009746D4" w:rsidRPr="001D3742">
        <w:rPr>
          <w:rFonts w:asciiTheme="majorHAnsi" w:hAnsiTheme="majorHAnsi"/>
          <w:sz w:val="20"/>
          <w:szCs w:val="20"/>
        </w:rPr>
        <w:t>ary</w:t>
      </w:r>
      <w:r w:rsidRPr="001D3742">
        <w:rPr>
          <w:rFonts w:asciiTheme="majorHAnsi" w:hAnsiTheme="majorHAnsi"/>
          <w:sz w:val="20"/>
          <w:szCs w:val="20"/>
        </w:rPr>
        <w:t xml:space="preserve"> Tribunal </w:t>
      </w:r>
      <w:r w:rsidR="00E52664" w:rsidRPr="001D3742">
        <w:rPr>
          <w:rFonts w:asciiTheme="majorHAnsi" w:hAnsiTheme="majorHAnsi"/>
          <w:sz w:val="20"/>
          <w:szCs w:val="20"/>
        </w:rPr>
        <w:t>decid</w:t>
      </w:r>
      <w:r w:rsidRPr="001D3742">
        <w:rPr>
          <w:rFonts w:asciiTheme="majorHAnsi" w:hAnsiTheme="majorHAnsi"/>
          <w:sz w:val="20"/>
          <w:szCs w:val="20"/>
        </w:rPr>
        <w:t xml:space="preserve">ed not to </w:t>
      </w:r>
      <w:r w:rsidR="007C237A" w:rsidRPr="001D3742">
        <w:rPr>
          <w:rFonts w:asciiTheme="majorHAnsi" w:hAnsiTheme="majorHAnsi"/>
          <w:sz w:val="20"/>
          <w:szCs w:val="20"/>
        </w:rPr>
        <w:t xml:space="preserve">hold </w:t>
      </w:r>
      <w:r w:rsidRPr="001D3742">
        <w:rPr>
          <w:rFonts w:asciiTheme="majorHAnsi" w:hAnsiTheme="majorHAnsi"/>
          <w:sz w:val="20"/>
          <w:szCs w:val="20"/>
        </w:rPr>
        <w:t xml:space="preserve">him </w:t>
      </w:r>
      <w:r w:rsidR="007C237A" w:rsidRPr="001D3742">
        <w:rPr>
          <w:rFonts w:asciiTheme="majorHAnsi" w:hAnsiTheme="majorHAnsi"/>
          <w:sz w:val="20"/>
          <w:szCs w:val="20"/>
        </w:rPr>
        <w:t>liable</w:t>
      </w:r>
      <w:r w:rsidRPr="001D3742">
        <w:rPr>
          <w:rFonts w:asciiTheme="majorHAnsi" w:hAnsiTheme="majorHAnsi"/>
          <w:sz w:val="20"/>
          <w:szCs w:val="20"/>
        </w:rPr>
        <w:t xml:space="preserve">; that decision was affirmed on appeal. When the matter was further appealed, the Federal Council </w:t>
      </w:r>
      <w:r w:rsidR="009746D4" w:rsidRPr="001D3742">
        <w:rPr>
          <w:rFonts w:asciiTheme="majorHAnsi" w:hAnsiTheme="majorHAnsi"/>
          <w:sz w:val="20"/>
          <w:szCs w:val="20"/>
        </w:rPr>
        <w:t xml:space="preserve">of </w:t>
      </w:r>
      <w:r w:rsidRPr="001D3742">
        <w:rPr>
          <w:rFonts w:asciiTheme="majorHAnsi" w:hAnsiTheme="majorHAnsi"/>
          <w:sz w:val="20"/>
          <w:szCs w:val="20"/>
        </w:rPr>
        <w:t xml:space="preserve">the </w:t>
      </w:r>
      <w:r w:rsidR="00E52664" w:rsidRPr="001D3742">
        <w:rPr>
          <w:rFonts w:asciiTheme="majorHAnsi" w:hAnsiTheme="majorHAnsi"/>
          <w:sz w:val="20"/>
          <w:szCs w:val="20"/>
        </w:rPr>
        <w:t>OAB an</w:t>
      </w:r>
      <w:r w:rsidRPr="001D3742">
        <w:rPr>
          <w:rFonts w:asciiTheme="majorHAnsi" w:hAnsiTheme="majorHAnsi"/>
          <w:sz w:val="20"/>
          <w:szCs w:val="20"/>
        </w:rPr>
        <w:t>n</w:t>
      </w:r>
      <w:r w:rsidR="00E52664" w:rsidRPr="001D3742">
        <w:rPr>
          <w:rFonts w:asciiTheme="majorHAnsi" w:hAnsiTheme="majorHAnsi"/>
          <w:sz w:val="20"/>
          <w:szCs w:val="20"/>
        </w:rPr>
        <w:t>ul</w:t>
      </w:r>
      <w:r w:rsidRPr="001D3742">
        <w:rPr>
          <w:rFonts w:asciiTheme="majorHAnsi" w:hAnsiTheme="majorHAnsi"/>
          <w:sz w:val="20"/>
          <w:szCs w:val="20"/>
        </w:rPr>
        <w:t xml:space="preserve">led the proceeding on procedural grounds and the </w:t>
      </w:r>
      <w:r w:rsidR="00E52664" w:rsidRPr="001D3742">
        <w:rPr>
          <w:rFonts w:asciiTheme="majorHAnsi" w:hAnsiTheme="majorHAnsi"/>
          <w:sz w:val="20"/>
          <w:szCs w:val="20"/>
        </w:rPr>
        <w:t xml:space="preserve">OAB/SP </w:t>
      </w:r>
      <w:r w:rsidRPr="001D3742">
        <w:rPr>
          <w:rFonts w:asciiTheme="majorHAnsi" w:hAnsiTheme="majorHAnsi"/>
          <w:sz w:val="20"/>
          <w:szCs w:val="20"/>
        </w:rPr>
        <w:t xml:space="preserve">appealed on January </w:t>
      </w:r>
      <w:r w:rsidR="00E52664" w:rsidRPr="001D3742">
        <w:rPr>
          <w:rFonts w:asciiTheme="majorHAnsi" w:hAnsiTheme="majorHAnsi"/>
          <w:sz w:val="20"/>
          <w:szCs w:val="20"/>
        </w:rPr>
        <w:t>30</w:t>
      </w:r>
      <w:r w:rsidRPr="001D3742">
        <w:rPr>
          <w:rFonts w:asciiTheme="majorHAnsi" w:hAnsiTheme="majorHAnsi"/>
          <w:sz w:val="20"/>
          <w:szCs w:val="20"/>
        </w:rPr>
        <w:t>,</w:t>
      </w:r>
      <w:r w:rsidR="00E52664" w:rsidRPr="001D3742">
        <w:rPr>
          <w:rFonts w:asciiTheme="majorHAnsi" w:hAnsiTheme="majorHAnsi"/>
          <w:sz w:val="20"/>
          <w:szCs w:val="20"/>
        </w:rPr>
        <w:t xml:space="preserve"> 2008. </w:t>
      </w:r>
      <w:r w:rsidRPr="001D3742">
        <w:rPr>
          <w:rFonts w:asciiTheme="majorHAnsi" w:hAnsiTheme="majorHAnsi"/>
          <w:sz w:val="20"/>
          <w:szCs w:val="20"/>
        </w:rPr>
        <w:t xml:space="preserve">The petitioners do not report on the result of that proceeding. Similarly, the police investigators and police officer faced an administrative proceeding instituted by the Civilian Police of the State of </w:t>
      </w:r>
      <w:r w:rsidR="00E52664" w:rsidRPr="001D3742">
        <w:rPr>
          <w:rFonts w:asciiTheme="majorHAnsi" w:hAnsiTheme="majorHAnsi"/>
          <w:sz w:val="20"/>
          <w:szCs w:val="20"/>
        </w:rPr>
        <w:t xml:space="preserve">São Paulo. </w:t>
      </w:r>
      <w:r w:rsidRPr="001D3742">
        <w:rPr>
          <w:rFonts w:asciiTheme="majorHAnsi" w:hAnsiTheme="majorHAnsi"/>
          <w:sz w:val="20"/>
          <w:szCs w:val="20"/>
        </w:rPr>
        <w:t xml:space="preserve">In a decision of April 19, </w:t>
      </w:r>
      <w:r w:rsidR="00E52664" w:rsidRPr="001D3742">
        <w:rPr>
          <w:rFonts w:asciiTheme="majorHAnsi" w:hAnsiTheme="majorHAnsi"/>
          <w:sz w:val="20"/>
          <w:szCs w:val="20"/>
        </w:rPr>
        <w:t xml:space="preserve">2000, </w:t>
      </w:r>
      <w:r w:rsidRPr="001D3742">
        <w:rPr>
          <w:rFonts w:asciiTheme="majorHAnsi" w:hAnsiTheme="majorHAnsi"/>
          <w:sz w:val="20"/>
          <w:szCs w:val="20"/>
        </w:rPr>
        <w:t xml:space="preserve">the Council of the Civilian Police did not identify irregularities in the action of the agents involved. On May </w:t>
      </w:r>
      <w:r w:rsidR="00E52664" w:rsidRPr="001D3742">
        <w:rPr>
          <w:rFonts w:asciiTheme="majorHAnsi" w:hAnsiTheme="majorHAnsi"/>
          <w:sz w:val="20"/>
          <w:szCs w:val="20"/>
        </w:rPr>
        <w:t xml:space="preserve">8 2000, </w:t>
      </w:r>
      <w:r w:rsidRPr="001D3742">
        <w:rPr>
          <w:rFonts w:asciiTheme="majorHAnsi" w:hAnsiTheme="majorHAnsi"/>
          <w:sz w:val="20"/>
          <w:szCs w:val="20"/>
        </w:rPr>
        <w:t xml:space="preserve">the record was sent to the Secretary for Public Security of </w:t>
      </w:r>
      <w:r w:rsidR="00E52664" w:rsidRPr="001D3742">
        <w:rPr>
          <w:rFonts w:asciiTheme="majorHAnsi" w:hAnsiTheme="majorHAnsi"/>
          <w:sz w:val="20"/>
          <w:szCs w:val="20"/>
        </w:rPr>
        <w:t>São Paulo.</w:t>
      </w:r>
    </w:p>
    <w:p w:rsidR="00E52664" w:rsidRPr="001D3742" w:rsidRDefault="00E52664" w:rsidP="00E5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sz w:val="20"/>
          <w:szCs w:val="20"/>
        </w:rPr>
        <w:t>A</w:t>
      </w:r>
      <w:r w:rsidR="00DE237B" w:rsidRPr="001D3742">
        <w:rPr>
          <w:rFonts w:asciiTheme="majorHAnsi" w:hAnsiTheme="majorHAnsi"/>
          <w:sz w:val="20"/>
          <w:szCs w:val="20"/>
        </w:rPr>
        <w:t>fter filing the complaint, the alleged victim and his family suffered threats and were forced to leave the city w</w:t>
      </w:r>
      <w:r w:rsidR="009746D4" w:rsidRPr="001D3742">
        <w:rPr>
          <w:rFonts w:asciiTheme="majorHAnsi" w:hAnsiTheme="majorHAnsi"/>
          <w:sz w:val="20"/>
          <w:szCs w:val="20"/>
        </w:rPr>
        <w:t>h</w:t>
      </w:r>
      <w:r w:rsidR="00DE237B" w:rsidRPr="001D3742">
        <w:rPr>
          <w:rFonts w:asciiTheme="majorHAnsi" w:hAnsiTheme="majorHAnsi"/>
          <w:sz w:val="20"/>
          <w:szCs w:val="20"/>
        </w:rPr>
        <w:t xml:space="preserve">ere they lived in February 2000, </w:t>
      </w:r>
      <w:r w:rsidR="009746D4" w:rsidRPr="001D3742">
        <w:rPr>
          <w:rFonts w:asciiTheme="majorHAnsi" w:hAnsiTheme="majorHAnsi"/>
          <w:sz w:val="20"/>
          <w:szCs w:val="20"/>
        </w:rPr>
        <w:t xml:space="preserve">and move </w:t>
      </w:r>
      <w:r w:rsidR="00DE237B" w:rsidRPr="001D3742">
        <w:rPr>
          <w:rFonts w:asciiTheme="majorHAnsi" w:hAnsiTheme="majorHAnsi"/>
          <w:sz w:val="20"/>
          <w:szCs w:val="20"/>
        </w:rPr>
        <w:t xml:space="preserve">to a rural area. In addition, they indicate that the authorities who took measures to continue the investigations and the criminal action were transferred from the city. </w:t>
      </w:r>
      <w:r w:rsidR="00DE237B" w:rsidRPr="001D3742">
        <w:rPr>
          <w:rFonts w:asciiTheme="majorHAnsi" w:hAnsiTheme="majorHAnsi"/>
          <w:bCs/>
          <w:sz w:val="20"/>
          <w:szCs w:val="20"/>
        </w:rPr>
        <w:t>As a result of the threats and the impunity, they affirm that the whole family was weakened and suffered impacts on their lives. In addition, they all</w:t>
      </w:r>
      <w:r w:rsidR="009746D4" w:rsidRPr="001D3742">
        <w:rPr>
          <w:rFonts w:asciiTheme="majorHAnsi" w:hAnsiTheme="majorHAnsi"/>
          <w:bCs/>
          <w:sz w:val="20"/>
          <w:szCs w:val="20"/>
        </w:rPr>
        <w:t>e</w:t>
      </w:r>
      <w:r w:rsidR="00DE237B" w:rsidRPr="001D3742">
        <w:rPr>
          <w:rFonts w:asciiTheme="majorHAnsi" w:hAnsiTheme="majorHAnsi"/>
          <w:bCs/>
          <w:sz w:val="20"/>
          <w:szCs w:val="20"/>
        </w:rPr>
        <w:t xml:space="preserve">ged that witness </w:t>
      </w:r>
      <w:r w:rsidRPr="001D3742">
        <w:rPr>
          <w:rFonts w:asciiTheme="majorHAnsi" w:hAnsiTheme="majorHAnsi"/>
          <w:sz w:val="20"/>
          <w:szCs w:val="20"/>
        </w:rPr>
        <w:t xml:space="preserve">Deusa Aparecida Leme </w:t>
      </w:r>
      <w:r w:rsidR="00DE237B" w:rsidRPr="001D3742">
        <w:rPr>
          <w:rFonts w:asciiTheme="majorHAnsi" w:hAnsiTheme="majorHAnsi"/>
          <w:sz w:val="20"/>
          <w:szCs w:val="20"/>
        </w:rPr>
        <w:t xml:space="preserve">was threatened during the course of the criminal action to get her </w:t>
      </w:r>
      <w:r w:rsidR="007C237A" w:rsidRPr="001D3742">
        <w:rPr>
          <w:rFonts w:asciiTheme="majorHAnsi" w:hAnsiTheme="majorHAnsi"/>
          <w:sz w:val="20"/>
          <w:szCs w:val="20"/>
        </w:rPr>
        <w:t xml:space="preserve">not </w:t>
      </w:r>
      <w:r w:rsidR="00DE237B" w:rsidRPr="001D3742">
        <w:rPr>
          <w:rFonts w:asciiTheme="majorHAnsi" w:hAnsiTheme="majorHAnsi"/>
          <w:sz w:val="20"/>
          <w:szCs w:val="20"/>
        </w:rPr>
        <w:t>to tell the truth. The threat was said to have been from two persons</w:t>
      </w:r>
      <w:r w:rsidR="007C237A" w:rsidRPr="001D3742">
        <w:rPr>
          <w:rFonts w:asciiTheme="majorHAnsi" w:hAnsiTheme="majorHAnsi"/>
          <w:sz w:val="20"/>
          <w:szCs w:val="20"/>
        </w:rPr>
        <w:t>,</w:t>
      </w:r>
      <w:r w:rsidR="00DE237B" w:rsidRPr="001D3742">
        <w:rPr>
          <w:rFonts w:asciiTheme="majorHAnsi" w:hAnsiTheme="majorHAnsi"/>
          <w:sz w:val="20"/>
          <w:szCs w:val="20"/>
        </w:rPr>
        <w:t xml:space="preserve"> one of them a municipal guard. </w:t>
      </w:r>
      <w:r w:rsidR="00E65CE1" w:rsidRPr="001D3742">
        <w:rPr>
          <w:rFonts w:asciiTheme="majorHAnsi" w:hAnsiTheme="majorHAnsi"/>
          <w:sz w:val="20"/>
          <w:szCs w:val="20"/>
        </w:rPr>
        <w:t xml:space="preserve">Based on the petition, </w:t>
      </w:r>
      <w:r w:rsidR="003B24F2" w:rsidRPr="001D3742">
        <w:rPr>
          <w:rFonts w:asciiTheme="majorHAnsi" w:hAnsiTheme="majorHAnsi"/>
          <w:sz w:val="20"/>
          <w:szCs w:val="20"/>
        </w:rPr>
        <w:t xml:space="preserve">a criminal action was begun to verify the coercion suffered, resulting in acquittal by a judgment handed down on November </w:t>
      </w:r>
      <w:r w:rsidRPr="001D3742">
        <w:rPr>
          <w:rFonts w:asciiTheme="majorHAnsi" w:hAnsiTheme="majorHAnsi"/>
          <w:sz w:val="20"/>
          <w:szCs w:val="20"/>
        </w:rPr>
        <w:t>13</w:t>
      </w:r>
      <w:r w:rsidR="003B24F2" w:rsidRPr="001D3742">
        <w:rPr>
          <w:rFonts w:asciiTheme="majorHAnsi" w:hAnsiTheme="majorHAnsi"/>
          <w:sz w:val="20"/>
          <w:szCs w:val="20"/>
        </w:rPr>
        <w:t>,</w:t>
      </w:r>
      <w:r w:rsidRPr="001D3742">
        <w:rPr>
          <w:rFonts w:asciiTheme="majorHAnsi" w:hAnsiTheme="majorHAnsi"/>
          <w:sz w:val="20"/>
          <w:szCs w:val="20"/>
        </w:rPr>
        <w:t xml:space="preserve"> 2000, </w:t>
      </w:r>
      <w:r w:rsidR="003B24F2" w:rsidRPr="001D3742">
        <w:rPr>
          <w:rFonts w:asciiTheme="majorHAnsi" w:hAnsiTheme="majorHAnsi"/>
          <w:sz w:val="20"/>
          <w:szCs w:val="20"/>
        </w:rPr>
        <w:t>which was affir</w:t>
      </w:r>
      <w:r w:rsidR="007C237A" w:rsidRPr="001D3742">
        <w:rPr>
          <w:rFonts w:asciiTheme="majorHAnsi" w:hAnsiTheme="majorHAnsi"/>
          <w:sz w:val="20"/>
          <w:szCs w:val="20"/>
        </w:rPr>
        <w:t>m</w:t>
      </w:r>
      <w:r w:rsidR="003B24F2" w:rsidRPr="001D3742">
        <w:rPr>
          <w:rFonts w:asciiTheme="majorHAnsi" w:hAnsiTheme="majorHAnsi"/>
          <w:sz w:val="20"/>
          <w:szCs w:val="20"/>
        </w:rPr>
        <w:t xml:space="preserve">ed on appeal by decision of the </w:t>
      </w:r>
      <w:r w:rsidRPr="001D3742">
        <w:rPr>
          <w:rFonts w:asciiTheme="majorHAnsi" w:hAnsiTheme="majorHAnsi"/>
          <w:sz w:val="20"/>
          <w:szCs w:val="20"/>
        </w:rPr>
        <w:t xml:space="preserve">TJSP </w:t>
      </w:r>
      <w:r w:rsidR="003B24F2" w:rsidRPr="001D3742">
        <w:rPr>
          <w:rFonts w:asciiTheme="majorHAnsi" w:hAnsiTheme="majorHAnsi"/>
          <w:sz w:val="20"/>
          <w:szCs w:val="20"/>
        </w:rPr>
        <w:t xml:space="preserve">in </w:t>
      </w:r>
      <w:r w:rsidRPr="001D3742">
        <w:rPr>
          <w:rFonts w:asciiTheme="majorHAnsi" w:hAnsiTheme="majorHAnsi"/>
          <w:sz w:val="20"/>
          <w:szCs w:val="20"/>
        </w:rPr>
        <w:t xml:space="preserve">2005. </w:t>
      </w:r>
    </w:p>
    <w:p w:rsidR="00E52664" w:rsidRPr="001D3742" w:rsidRDefault="00142120" w:rsidP="00E5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sz w:val="20"/>
          <w:szCs w:val="20"/>
        </w:rPr>
        <w:t>In terms of c</w:t>
      </w:r>
      <w:r w:rsidR="00E52664" w:rsidRPr="001D3742">
        <w:rPr>
          <w:rFonts w:asciiTheme="majorHAnsi" w:hAnsiTheme="majorHAnsi"/>
          <w:sz w:val="20"/>
          <w:szCs w:val="20"/>
        </w:rPr>
        <w:t xml:space="preserve">ontext, </w:t>
      </w:r>
      <w:r w:rsidRPr="001D3742">
        <w:rPr>
          <w:rFonts w:asciiTheme="majorHAnsi" w:hAnsiTheme="majorHAnsi"/>
          <w:sz w:val="20"/>
          <w:szCs w:val="20"/>
        </w:rPr>
        <w:t>the petitioners argue that the clear inequality in economic capacity and power between the parties, as well as discriminatory sociocultural patterns, had a negative impa</w:t>
      </w:r>
      <w:r w:rsidR="007C237A" w:rsidRPr="001D3742">
        <w:rPr>
          <w:rFonts w:asciiTheme="majorHAnsi" w:hAnsiTheme="majorHAnsi"/>
          <w:sz w:val="20"/>
          <w:szCs w:val="20"/>
        </w:rPr>
        <w:t>c</w:t>
      </w:r>
      <w:r w:rsidRPr="001D3742">
        <w:rPr>
          <w:rFonts w:asciiTheme="majorHAnsi" w:hAnsiTheme="majorHAnsi"/>
          <w:sz w:val="20"/>
          <w:szCs w:val="20"/>
        </w:rPr>
        <w:t xml:space="preserve">t on </w:t>
      </w:r>
      <w:r w:rsidR="007C237A" w:rsidRPr="001D3742">
        <w:rPr>
          <w:rFonts w:asciiTheme="majorHAnsi" w:hAnsiTheme="majorHAnsi"/>
          <w:sz w:val="20"/>
          <w:szCs w:val="20"/>
        </w:rPr>
        <w:t xml:space="preserve">how </w:t>
      </w:r>
      <w:r w:rsidRPr="001D3742">
        <w:rPr>
          <w:rFonts w:asciiTheme="majorHAnsi" w:hAnsiTheme="majorHAnsi"/>
          <w:sz w:val="20"/>
          <w:szCs w:val="20"/>
        </w:rPr>
        <w:t>the legal institutions</w:t>
      </w:r>
      <w:r w:rsidR="007C237A" w:rsidRPr="001D3742">
        <w:rPr>
          <w:rFonts w:asciiTheme="majorHAnsi" w:hAnsiTheme="majorHAnsi"/>
          <w:sz w:val="20"/>
          <w:szCs w:val="20"/>
        </w:rPr>
        <w:t xml:space="preserve"> acted</w:t>
      </w:r>
      <w:r w:rsidRPr="001D3742">
        <w:rPr>
          <w:rFonts w:asciiTheme="majorHAnsi" w:hAnsiTheme="majorHAnsi"/>
          <w:sz w:val="20"/>
          <w:szCs w:val="20"/>
        </w:rPr>
        <w:t xml:space="preserve">, especially in the criminal and disciplinary proceedings brought against the accused. Finally, they argue that the State failed to provide free legal assistance to the alleged victims, highlighting the absence of the Office of Public Defender in the city of </w:t>
      </w:r>
      <w:r w:rsidR="00E52664" w:rsidRPr="001D3742">
        <w:rPr>
          <w:rFonts w:asciiTheme="majorHAnsi" w:hAnsiTheme="majorHAnsi"/>
          <w:sz w:val="20"/>
          <w:szCs w:val="20"/>
        </w:rPr>
        <w:t xml:space="preserve">Tatuí, </w:t>
      </w:r>
      <w:r w:rsidRPr="001D3742">
        <w:rPr>
          <w:rFonts w:asciiTheme="majorHAnsi" w:hAnsiTheme="majorHAnsi"/>
          <w:sz w:val="20"/>
          <w:szCs w:val="20"/>
        </w:rPr>
        <w:t xml:space="preserve">where the facts unfolded, situated </w:t>
      </w:r>
      <w:r w:rsidR="00E52664" w:rsidRPr="001D3742">
        <w:rPr>
          <w:rFonts w:asciiTheme="majorHAnsi" w:hAnsiTheme="majorHAnsi"/>
          <w:sz w:val="20"/>
          <w:szCs w:val="20"/>
        </w:rPr>
        <w:t xml:space="preserve">131 </w:t>
      </w:r>
      <w:r w:rsidRPr="001D3742">
        <w:rPr>
          <w:rFonts w:asciiTheme="majorHAnsi" w:hAnsiTheme="majorHAnsi"/>
          <w:sz w:val="20"/>
          <w:szCs w:val="20"/>
        </w:rPr>
        <w:t xml:space="preserve">kilometers from the state capital. </w:t>
      </w:r>
    </w:p>
    <w:p w:rsidR="00F621C3" w:rsidRPr="001D3742" w:rsidRDefault="00142120" w:rsidP="00E5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sz w:val="20"/>
          <w:szCs w:val="20"/>
        </w:rPr>
        <w:t xml:space="preserve">The State, by way of contrast, argues that the authorities acted diligently in conducting the proceedings and that all levels of appeal could be accessed by the alleged victims. As regards the action of the alleged victim </w:t>
      </w:r>
      <w:r w:rsidR="007C237A" w:rsidRPr="001D3742">
        <w:rPr>
          <w:rFonts w:asciiTheme="majorHAnsi" w:hAnsiTheme="majorHAnsi"/>
          <w:sz w:val="20"/>
          <w:szCs w:val="20"/>
        </w:rPr>
        <w:t xml:space="preserve">as a private accuser, </w:t>
      </w:r>
      <w:r w:rsidRPr="001D3742">
        <w:rPr>
          <w:rFonts w:asciiTheme="majorHAnsi" w:hAnsiTheme="majorHAnsi"/>
          <w:sz w:val="20"/>
          <w:szCs w:val="20"/>
        </w:rPr>
        <w:t xml:space="preserve">it </w:t>
      </w:r>
      <w:r w:rsidR="00BE135D" w:rsidRPr="001D3742">
        <w:rPr>
          <w:rFonts w:asciiTheme="majorHAnsi" w:hAnsiTheme="majorHAnsi"/>
          <w:sz w:val="20"/>
          <w:szCs w:val="20"/>
        </w:rPr>
        <w:t xml:space="preserve">says </w:t>
      </w:r>
      <w:r w:rsidRPr="001D3742">
        <w:rPr>
          <w:rFonts w:asciiTheme="majorHAnsi" w:hAnsiTheme="majorHAnsi"/>
          <w:sz w:val="20"/>
          <w:szCs w:val="20"/>
        </w:rPr>
        <w:t>that it never considered having him bear the responsibility for bringing the criminal action. The existence of this procedural device enables the Office of the Public Defender to act and, in its absence, the State should provide legal alternatives for th</w:t>
      </w:r>
      <w:r w:rsidR="007C237A" w:rsidRPr="001D3742">
        <w:rPr>
          <w:rFonts w:asciiTheme="majorHAnsi" w:hAnsiTheme="majorHAnsi"/>
          <w:sz w:val="20"/>
          <w:szCs w:val="20"/>
        </w:rPr>
        <w:t>os</w:t>
      </w:r>
      <w:r w:rsidRPr="001D3742">
        <w:rPr>
          <w:rFonts w:asciiTheme="majorHAnsi" w:hAnsiTheme="majorHAnsi"/>
          <w:sz w:val="20"/>
          <w:szCs w:val="20"/>
        </w:rPr>
        <w:t xml:space="preserve">e states </w:t>
      </w:r>
      <w:r w:rsidR="00BE135D" w:rsidRPr="001D3742">
        <w:rPr>
          <w:rFonts w:asciiTheme="majorHAnsi" w:hAnsiTheme="majorHAnsi"/>
          <w:sz w:val="20"/>
          <w:szCs w:val="20"/>
        </w:rPr>
        <w:t xml:space="preserve">(of Brazil) </w:t>
      </w:r>
      <w:r w:rsidRPr="001D3742">
        <w:rPr>
          <w:rFonts w:asciiTheme="majorHAnsi" w:hAnsiTheme="majorHAnsi"/>
          <w:sz w:val="20"/>
          <w:szCs w:val="20"/>
        </w:rPr>
        <w:t>that ha</w:t>
      </w:r>
      <w:r w:rsidR="00BE135D" w:rsidRPr="001D3742">
        <w:rPr>
          <w:rFonts w:asciiTheme="majorHAnsi" w:hAnsiTheme="majorHAnsi"/>
          <w:sz w:val="20"/>
          <w:szCs w:val="20"/>
        </w:rPr>
        <w:t>ve</w:t>
      </w:r>
      <w:r w:rsidRPr="001D3742">
        <w:rPr>
          <w:rFonts w:asciiTheme="majorHAnsi" w:hAnsiTheme="majorHAnsi"/>
          <w:sz w:val="20"/>
          <w:szCs w:val="20"/>
        </w:rPr>
        <w:t xml:space="preserve"> not established public defenders’ offices, such as designating </w:t>
      </w:r>
      <w:r w:rsidR="00E52664" w:rsidRPr="001D3742">
        <w:rPr>
          <w:rFonts w:asciiTheme="majorHAnsi" w:hAnsiTheme="majorHAnsi"/>
          <w:i/>
          <w:sz w:val="20"/>
          <w:szCs w:val="20"/>
        </w:rPr>
        <w:t>ad hoc</w:t>
      </w:r>
      <w:r w:rsidRPr="001D3742">
        <w:rPr>
          <w:rFonts w:asciiTheme="majorHAnsi" w:hAnsiTheme="majorHAnsi"/>
          <w:sz w:val="20"/>
          <w:szCs w:val="20"/>
        </w:rPr>
        <w:t xml:space="preserve"> attorneys.</w:t>
      </w:r>
      <w:r w:rsidR="00E52664" w:rsidRPr="001D3742">
        <w:rPr>
          <w:rFonts w:asciiTheme="majorHAnsi" w:hAnsiTheme="majorHAnsi"/>
          <w:sz w:val="20"/>
          <w:szCs w:val="20"/>
        </w:rPr>
        <w:t xml:space="preserve"> </w:t>
      </w:r>
      <w:r w:rsidRPr="001D3742">
        <w:rPr>
          <w:rFonts w:asciiTheme="majorHAnsi" w:hAnsiTheme="majorHAnsi"/>
          <w:sz w:val="20"/>
          <w:szCs w:val="20"/>
        </w:rPr>
        <w:t xml:space="preserve">It alleges, </w:t>
      </w:r>
      <w:r w:rsidR="00EA6348" w:rsidRPr="001D3742">
        <w:rPr>
          <w:rFonts w:asciiTheme="majorHAnsi" w:hAnsiTheme="majorHAnsi"/>
          <w:sz w:val="20"/>
          <w:szCs w:val="20"/>
        </w:rPr>
        <w:t xml:space="preserve">however, </w:t>
      </w:r>
      <w:r w:rsidRPr="001D3742">
        <w:rPr>
          <w:rFonts w:asciiTheme="majorHAnsi" w:hAnsiTheme="majorHAnsi"/>
          <w:sz w:val="20"/>
          <w:szCs w:val="20"/>
        </w:rPr>
        <w:t xml:space="preserve">that there was no prejudice in the course of the proceedings based on any discrimination, and that making that argument to the </w:t>
      </w:r>
      <w:r w:rsidR="00E52664" w:rsidRPr="001D3742">
        <w:rPr>
          <w:rFonts w:asciiTheme="majorHAnsi" w:hAnsiTheme="majorHAnsi"/>
          <w:sz w:val="20"/>
          <w:szCs w:val="20"/>
        </w:rPr>
        <w:t>Comiss</w:t>
      </w:r>
      <w:r w:rsidRPr="001D3742">
        <w:rPr>
          <w:rFonts w:asciiTheme="majorHAnsi" w:hAnsiTheme="majorHAnsi"/>
          <w:sz w:val="20"/>
          <w:szCs w:val="20"/>
        </w:rPr>
        <w:t>ion would violate the sovereign</w:t>
      </w:r>
      <w:r w:rsidR="007C237A" w:rsidRPr="001D3742">
        <w:rPr>
          <w:rFonts w:asciiTheme="majorHAnsi" w:hAnsiTheme="majorHAnsi"/>
          <w:sz w:val="20"/>
          <w:szCs w:val="20"/>
        </w:rPr>
        <w:t>t</w:t>
      </w:r>
      <w:r w:rsidRPr="001D3742">
        <w:rPr>
          <w:rFonts w:asciiTheme="majorHAnsi" w:hAnsiTheme="majorHAnsi"/>
          <w:sz w:val="20"/>
          <w:szCs w:val="20"/>
        </w:rPr>
        <w:t xml:space="preserve">y of </w:t>
      </w:r>
      <w:r w:rsidR="007C237A" w:rsidRPr="001D3742">
        <w:rPr>
          <w:rFonts w:asciiTheme="majorHAnsi" w:hAnsiTheme="majorHAnsi"/>
          <w:sz w:val="20"/>
          <w:szCs w:val="20"/>
        </w:rPr>
        <w:t xml:space="preserve">the State. </w:t>
      </w:r>
    </w:p>
    <w:p w:rsidR="00F621C3" w:rsidRPr="000B6B7A" w:rsidRDefault="00F621C3" w:rsidP="00746DEB">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746DEB">
        <w:rPr>
          <w:rFonts w:asciiTheme="majorHAnsi" w:hAnsiTheme="majorHAnsi"/>
          <w:b/>
          <w:sz w:val="20"/>
          <w:szCs w:val="20"/>
        </w:rPr>
        <w:t>EXHAUSTION OF DOMESTIC REMEDIES AND TIMELINESS OF THE PETITION</w:t>
      </w:r>
      <w:r w:rsidR="00746DEB">
        <w:rPr>
          <w:rFonts w:asciiTheme="majorHAnsi" w:eastAsia="Cambria" w:hAnsiTheme="majorHAnsi" w:cs="Cambria"/>
          <w:b/>
          <w:bCs/>
          <w:color w:val="000000"/>
          <w:sz w:val="20"/>
          <w:szCs w:val="20"/>
          <w:lang w:eastAsia="es-ES"/>
        </w:rPr>
        <w:t xml:space="preserve"> </w:t>
      </w:r>
    </w:p>
    <w:p w:rsidR="00E52664" w:rsidRPr="001D3742" w:rsidRDefault="00C41B8D" w:rsidP="00E5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sz w:val="20"/>
          <w:szCs w:val="20"/>
        </w:rPr>
        <w:t xml:space="preserve">The petitioners argue that domestic remedies were exhausted on March </w:t>
      </w:r>
      <w:r w:rsidR="00E52664" w:rsidRPr="001D3742">
        <w:rPr>
          <w:rFonts w:asciiTheme="majorHAnsi" w:hAnsiTheme="majorHAnsi"/>
          <w:sz w:val="20"/>
          <w:szCs w:val="20"/>
        </w:rPr>
        <w:t>18</w:t>
      </w:r>
      <w:r w:rsidRPr="001D3742">
        <w:rPr>
          <w:rFonts w:asciiTheme="majorHAnsi" w:hAnsiTheme="majorHAnsi"/>
          <w:sz w:val="20"/>
          <w:szCs w:val="20"/>
        </w:rPr>
        <w:t>,</w:t>
      </w:r>
      <w:r w:rsidR="00E52664" w:rsidRPr="001D3742">
        <w:rPr>
          <w:rFonts w:asciiTheme="majorHAnsi" w:hAnsiTheme="majorHAnsi"/>
          <w:sz w:val="20"/>
          <w:szCs w:val="20"/>
        </w:rPr>
        <w:t xml:space="preserve"> 2009, </w:t>
      </w:r>
      <w:r w:rsidRPr="001D3742">
        <w:rPr>
          <w:rFonts w:asciiTheme="majorHAnsi" w:hAnsiTheme="majorHAnsi"/>
          <w:sz w:val="20"/>
          <w:szCs w:val="20"/>
        </w:rPr>
        <w:t xml:space="preserve">with the decision of the </w:t>
      </w:r>
      <w:r w:rsidR="00CA0F9B" w:rsidRPr="001D3742">
        <w:rPr>
          <w:rFonts w:asciiTheme="majorHAnsi" w:hAnsiTheme="majorHAnsi"/>
          <w:sz w:val="20"/>
          <w:szCs w:val="20"/>
        </w:rPr>
        <w:t xml:space="preserve">Court of Appeals </w:t>
      </w:r>
      <w:r w:rsidRPr="001D3742">
        <w:rPr>
          <w:rFonts w:asciiTheme="majorHAnsi" w:hAnsiTheme="majorHAnsi"/>
          <w:sz w:val="20"/>
          <w:szCs w:val="20"/>
        </w:rPr>
        <w:t xml:space="preserve">that </w:t>
      </w:r>
      <w:r w:rsidR="00CA0F9B" w:rsidRPr="001D3742">
        <w:rPr>
          <w:rFonts w:asciiTheme="majorHAnsi" w:hAnsiTheme="majorHAnsi"/>
          <w:sz w:val="20"/>
          <w:szCs w:val="20"/>
        </w:rPr>
        <w:t xml:space="preserve">refused to grant the interlocutoary appeal, </w:t>
      </w:r>
      <w:r w:rsidRPr="001D3742">
        <w:rPr>
          <w:rFonts w:asciiTheme="majorHAnsi" w:hAnsiTheme="majorHAnsi"/>
          <w:sz w:val="20"/>
          <w:szCs w:val="20"/>
        </w:rPr>
        <w:t xml:space="preserve">i.e. </w:t>
      </w:r>
      <w:r w:rsidR="00E52664" w:rsidRPr="001D3742">
        <w:rPr>
          <w:rFonts w:asciiTheme="majorHAnsi" w:hAnsiTheme="majorHAnsi"/>
          <w:sz w:val="20"/>
          <w:szCs w:val="20"/>
        </w:rPr>
        <w:t xml:space="preserve">12 </w:t>
      </w:r>
      <w:r w:rsidRPr="001D3742">
        <w:rPr>
          <w:rFonts w:asciiTheme="majorHAnsi" w:hAnsiTheme="majorHAnsi"/>
          <w:sz w:val="20"/>
          <w:szCs w:val="20"/>
        </w:rPr>
        <w:t xml:space="preserve">years after the facts. </w:t>
      </w:r>
      <w:r w:rsidR="00AF2D6A" w:rsidRPr="001D3742">
        <w:rPr>
          <w:rFonts w:asciiTheme="majorHAnsi" w:hAnsiTheme="majorHAnsi"/>
          <w:sz w:val="20"/>
          <w:szCs w:val="20"/>
        </w:rPr>
        <w:t xml:space="preserve">They note, however, that the crime of torture is the subject of an unconditional criminal action, i.e. it must be filed and pursued by the </w:t>
      </w:r>
      <w:r w:rsidR="00BE135D" w:rsidRPr="001D3742">
        <w:rPr>
          <w:rFonts w:asciiTheme="majorHAnsi" w:hAnsiTheme="majorHAnsi"/>
          <w:sz w:val="20"/>
          <w:szCs w:val="20"/>
        </w:rPr>
        <w:t xml:space="preserve">Office of the Attorney General. </w:t>
      </w:r>
      <w:r w:rsidR="00AF2D6A" w:rsidRPr="001D3742">
        <w:rPr>
          <w:rFonts w:asciiTheme="majorHAnsi" w:hAnsiTheme="majorHAnsi"/>
          <w:sz w:val="20"/>
          <w:szCs w:val="20"/>
        </w:rPr>
        <w:t xml:space="preserve">Nonetheless, in the instant case the </w:t>
      </w:r>
      <w:r w:rsidR="00BE135D" w:rsidRPr="001D3742">
        <w:rPr>
          <w:rFonts w:asciiTheme="majorHAnsi" w:hAnsiTheme="majorHAnsi"/>
          <w:sz w:val="20"/>
          <w:szCs w:val="20"/>
        </w:rPr>
        <w:t xml:space="preserve">Office of the Attorney General </w:t>
      </w:r>
      <w:r w:rsidR="00AF2D6A" w:rsidRPr="001D3742">
        <w:rPr>
          <w:rFonts w:asciiTheme="majorHAnsi" w:hAnsiTheme="majorHAnsi"/>
          <w:sz w:val="20"/>
          <w:szCs w:val="20"/>
        </w:rPr>
        <w:t>failed to file appeals after the decision in the second instance</w:t>
      </w:r>
      <w:r w:rsidR="00E52664" w:rsidRPr="001D3742">
        <w:rPr>
          <w:rFonts w:asciiTheme="majorHAnsi" w:hAnsiTheme="majorHAnsi"/>
          <w:sz w:val="20"/>
          <w:szCs w:val="20"/>
        </w:rPr>
        <w:t xml:space="preserve">, </w:t>
      </w:r>
      <w:r w:rsidR="00AF2D6A" w:rsidRPr="001D3742">
        <w:rPr>
          <w:rFonts w:asciiTheme="majorHAnsi" w:hAnsiTheme="majorHAnsi"/>
          <w:sz w:val="20"/>
          <w:szCs w:val="20"/>
        </w:rPr>
        <w:t>shifting that respo</w:t>
      </w:r>
      <w:r w:rsidR="00190757" w:rsidRPr="001D3742">
        <w:rPr>
          <w:rFonts w:asciiTheme="majorHAnsi" w:hAnsiTheme="majorHAnsi"/>
          <w:sz w:val="20"/>
          <w:szCs w:val="20"/>
        </w:rPr>
        <w:t>n</w:t>
      </w:r>
      <w:r w:rsidR="00AF2D6A" w:rsidRPr="001D3742">
        <w:rPr>
          <w:rFonts w:asciiTheme="majorHAnsi" w:hAnsiTheme="majorHAnsi"/>
          <w:sz w:val="20"/>
          <w:szCs w:val="20"/>
        </w:rPr>
        <w:t xml:space="preserve">sibility to the alleged victim. </w:t>
      </w:r>
      <w:r w:rsidR="00190757" w:rsidRPr="001D3742">
        <w:rPr>
          <w:rFonts w:asciiTheme="majorHAnsi" w:hAnsiTheme="majorHAnsi"/>
          <w:sz w:val="20"/>
          <w:szCs w:val="20"/>
        </w:rPr>
        <w:t xml:space="preserve">They also allege that even if domestic remedies were not exhausted, the exception at Article </w:t>
      </w:r>
      <w:r w:rsidR="00E52664" w:rsidRPr="001D3742">
        <w:rPr>
          <w:rFonts w:asciiTheme="majorHAnsi" w:hAnsiTheme="majorHAnsi"/>
          <w:sz w:val="20"/>
          <w:szCs w:val="20"/>
        </w:rPr>
        <w:t>46</w:t>
      </w:r>
      <w:r w:rsidR="00190757" w:rsidRPr="001D3742">
        <w:rPr>
          <w:rFonts w:asciiTheme="majorHAnsi" w:hAnsiTheme="majorHAnsi"/>
          <w:sz w:val="20"/>
          <w:szCs w:val="20"/>
        </w:rPr>
        <w:t>(</w:t>
      </w:r>
      <w:r w:rsidR="00E52664" w:rsidRPr="001D3742">
        <w:rPr>
          <w:rFonts w:asciiTheme="majorHAnsi" w:hAnsiTheme="majorHAnsi"/>
          <w:sz w:val="20"/>
          <w:szCs w:val="20"/>
        </w:rPr>
        <w:t>2</w:t>
      </w:r>
      <w:r w:rsidR="00190757" w:rsidRPr="001D3742">
        <w:rPr>
          <w:rFonts w:asciiTheme="majorHAnsi" w:hAnsiTheme="majorHAnsi"/>
          <w:sz w:val="20"/>
          <w:szCs w:val="20"/>
        </w:rPr>
        <w:t>)(</w:t>
      </w:r>
      <w:r w:rsidR="00E52664" w:rsidRPr="001D3742">
        <w:rPr>
          <w:rFonts w:asciiTheme="majorHAnsi" w:hAnsiTheme="majorHAnsi"/>
          <w:sz w:val="20"/>
          <w:szCs w:val="20"/>
        </w:rPr>
        <w:t>c</w:t>
      </w:r>
      <w:r w:rsidR="00190757" w:rsidRPr="001D3742">
        <w:rPr>
          <w:rFonts w:asciiTheme="majorHAnsi" w:hAnsiTheme="majorHAnsi"/>
          <w:sz w:val="20"/>
          <w:szCs w:val="20"/>
        </w:rPr>
        <w:t>)</w:t>
      </w:r>
      <w:r w:rsidR="00E52664" w:rsidRPr="001D3742">
        <w:rPr>
          <w:rFonts w:asciiTheme="majorHAnsi" w:hAnsiTheme="majorHAnsi"/>
          <w:sz w:val="20"/>
          <w:szCs w:val="20"/>
        </w:rPr>
        <w:t xml:space="preserve"> </w:t>
      </w:r>
      <w:r w:rsidR="00190757" w:rsidRPr="001D3742">
        <w:rPr>
          <w:rFonts w:asciiTheme="majorHAnsi" w:hAnsiTheme="majorHAnsi"/>
          <w:sz w:val="20"/>
          <w:szCs w:val="20"/>
        </w:rPr>
        <w:t xml:space="preserve">of the </w:t>
      </w:r>
      <w:r w:rsidR="00E52664" w:rsidRPr="001D3742">
        <w:rPr>
          <w:rFonts w:asciiTheme="majorHAnsi" w:hAnsiTheme="majorHAnsi"/>
          <w:sz w:val="20"/>
          <w:szCs w:val="20"/>
        </w:rPr>
        <w:t>Conven</w:t>
      </w:r>
      <w:r w:rsidR="00190757" w:rsidRPr="001D3742">
        <w:rPr>
          <w:rFonts w:asciiTheme="majorHAnsi" w:hAnsiTheme="majorHAnsi"/>
          <w:sz w:val="20"/>
          <w:szCs w:val="20"/>
        </w:rPr>
        <w:t>tion</w:t>
      </w:r>
      <w:r w:rsidR="00E52664" w:rsidRPr="001D3742">
        <w:rPr>
          <w:rFonts w:asciiTheme="majorHAnsi" w:hAnsiTheme="majorHAnsi"/>
          <w:sz w:val="20"/>
          <w:szCs w:val="20"/>
        </w:rPr>
        <w:t xml:space="preserve"> </w:t>
      </w:r>
      <w:r w:rsidR="00190757" w:rsidRPr="001D3742">
        <w:rPr>
          <w:rFonts w:asciiTheme="majorHAnsi" w:hAnsiTheme="majorHAnsi"/>
          <w:sz w:val="20"/>
          <w:szCs w:val="20"/>
        </w:rPr>
        <w:t xml:space="preserve">could be applied in view of the unwarranted delay. Finally, they argue that one </w:t>
      </w:r>
      <w:r w:rsidR="00BE135D" w:rsidRPr="001D3742">
        <w:rPr>
          <w:rFonts w:asciiTheme="majorHAnsi" w:hAnsiTheme="majorHAnsi"/>
          <w:sz w:val="20"/>
          <w:szCs w:val="20"/>
        </w:rPr>
        <w:t>c</w:t>
      </w:r>
      <w:r w:rsidR="00190757" w:rsidRPr="001D3742">
        <w:rPr>
          <w:rFonts w:asciiTheme="majorHAnsi" w:hAnsiTheme="majorHAnsi"/>
          <w:sz w:val="20"/>
          <w:szCs w:val="20"/>
        </w:rPr>
        <w:t xml:space="preserve">ould also apply the exception at Article </w:t>
      </w:r>
      <w:r w:rsidR="00E52664" w:rsidRPr="001D3742">
        <w:rPr>
          <w:rFonts w:asciiTheme="majorHAnsi" w:hAnsiTheme="majorHAnsi"/>
          <w:sz w:val="20"/>
          <w:szCs w:val="20"/>
        </w:rPr>
        <w:t>46</w:t>
      </w:r>
      <w:r w:rsidR="00CA0F9B" w:rsidRPr="001D3742">
        <w:rPr>
          <w:rFonts w:asciiTheme="majorHAnsi" w:hAnsiTheme="majorHAnsi"/>
          <w:sz w:val="20"/>
          <w:szCs w:val="20"/>
        </w:rPr>
        <w:t>(</w:t>
      </w:r>
      <w:r w:rsidR="00E52664" w:rsidRPr="001D3742">
        <w:rPr>
          <w:rFonts w:asciiTheme="majorHAnsi" w:hAnsiTheme="majorHAnsi"/>
          <w:sz w:val="20"/>
          <w:szCs w:val="20"/>
        </w:rPr>
        <w:t>2</w:t>
      </w:r>
      <w:r w:rsidR="00CA0F9B" w:rsidRPr="001D3742">
        <w:rPr>
          <w:rFonts w:asciiTheme="majorHAnsi" w:hAnsiTheme="majorHAnsi"/>
          <w:sz w:val="20"/>
          <w:szCs w:val="20"/>
        </w:rPr>
        <w:t>)(</w:t>
      </w:r>
      <w:r w:rsidR="00E52664" w:rsidRPr="001D3742">
        <w:rPr>
          <w:rFonts w:asciiTheme="majorHAnsi" w:hAnsiTheme="majorHAnsi"/>
          <w:sz w:val="20"/>
          <w:szCs w:val="20"/>
        </w:rPr>
        <w:t>b</w:t>
      </w:r>
      <w:r w:rsidR="00CA0F9B" w:rsidRPr="001D3742">
        <w:rPr>
          <w:rFonts w:asciiTheme="majorHAnsi" w:hAnsiTheme="majorHAnsi"/>
          <w:sz w:val="20"/>
          <w:szCs w:val="20"/>
        </w:rPr>
        <w:t>)</w:t>
      </w:r>
      <w:r w:rsidR="00E52664" w:rsidRPr="001D3742">
        <w:rPr>
          <w:rFonts w:asciiTheme="majorHAnsi" w:hAnsiTheme="majorHAnsi"/>
          <w:sz w:val="20"/>
          <w:szCs w:val="20"/>
        </w:rPr>
        <w:t xml:space="preserve"> </w:t>
      </w:r>
      <w:r w:rsidR="00190757" w:rsidRPr="001D3742">
        <w:rPr>
          <w:rFonts w:asciiTheme="majorHAnsi" w:hAnsiTheme="majorHAnsi"/>
          <w:sz w:val="20"/>
          <w:szCs w:val="20"/>
        </w:rPr>
        <w:t xml:space="preserve">of the Convention, mindful that free judicial assistance was not guaranteed for the alleged victims. </w:t>
      </w:r>
    </w:p>
    <w:p w:rsidR="00E52664" w:rsidRPr="001D3742" w:rsidRDefault="00190757" w:rsidP="001907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sz w:val="20"/>
          <w:szCs w:val="20"/>
        </w:rPr>
        <w:t xml:space="preserve">The State, in turn, argues that domestic remedies were not exhausted, considering that the decision handed down on February 18, </w:t>
      </w:r>
      <w:r w:rsidR="00E52664" w:rsidRPr="001D3742">
        <w:rPr>
          <w:rFonts w:asciiTheme="majorHAnsi" w:hAnsiTheme="majorHAnsi"/>
          <w:sz w:val="20"/>
          <w:szCs w:val="20"/>
        </w:rPr>
        <w:t xml:space="preserve">2009 </w:t>
      </w:r>
      <w:r w:rsidRPr="001D3742">
        <w:rPr>
          <w:rFonts w:asciiTheme="majorHAnsi" w:hAnsiTheme="majorHAnsi"/>
          <w:sz w:val="20"/>
          <w:szCs w:val="20"/>
        </w:rPr>
        <w:t xml:space="preserve">is a monocratic decision, and that one could have brought </w:t>
      </w:r>
      <w:r w:rsidR="00022CBD" w:rsidRPr="001D3742">
        <w:rPr>
          <w:rFonts w:asciiTheme="majorHAnsi" w:hAnsiTheme="majorHAnsi"/>
          <w:sz w:val="20"/>
          <w:szCs w:val="20"/>
        </w:rPr>
        <w:t xml:space="preserve">a regulatory appeal </w:t>
      </w:r>
      <w:r w:rsidRPr="001D3742">
        <w:rPr>
          <w:rFonts w:asciiTheme="majorHAnsi" w:hAnsiTheme="majorHAnsi"/>
          <w:sz w:val="20"/>
          <w:szCs w:val="20"/>
        </w:rPr>
        <w:t>(</w:t>
      </w:r>
      <w:r w:rsidR="00E52664" w:rsidRPr="001D3742">
        <w:rPr>
          <w:rFonts w:asciiTheme="majorHAnsi" w:hAnsiTheme="majorHAnsi"/>
          <w:sz w:val="20"/>
          <w:szCs w:val="20"/>
        </w:rPr>
        <w:t>Agravo Regimental</w:t>
      </w:r>
      <w:r w:rsidRPr="001D3742">
        <w:rPr>
          <w:rFonts w:asciiTheme="majorHAnsi" w:hAnsiTheme="majorHAnsi"/>
          <w:sz w:val="20"/>
          <w:szCs w:val="20"/>
        </w:rPr>
        <w:t xml:space="preserve">) before the plenary of the court within five days, and that this was not done by the defense counsel for </w:t>
      </w:r>
      <w:r w:rsidR="00E52664" w:rsidRPr="001D3742">
        <w:rPr>
          <w:rFonts w:asciiTheme="majorHAnsi" w:hAnsiTheme="majorHAnsi"/>
          <w:bCs/>
          <w:sz w:val="20"/>
          <w:szCs w:val="20"/>
        </w:rPr>
        <w:t>José Rafael Brazer</w:t>
      </w:r>
      <w:r w:rsidR="00E52664" w:rsidRPr="001D3742">
        <w:rPr>
          <w:rFonts w:asciiTheme="majorHAnsi" w:hAnsiTheme="majorHAnsi"/>
          <w:sz w:val="20"/>
          <w:szCs w:val="20"/>
        </w:rPr>
        <w:t xml:space="preserve">. </w:t>
      </w:r>
      <w:r w:rsidRPr="001D3742">
        <w:rPr>
          <w:rFonts w:asciiTheme="majorHAnsi" w:hAnsiTheme="majorHAnsi"/>
          <w:sz w:val="20"/>
          <w:szCs w:val="20"/>
        </w:rPr>
        <w:t xml:space="preserve">In addition, it notes that domestic remedies were not exhausted in relation to the criminal action for coercion of witness </w:t>
      </w:r>
      <w:r w:rsidR="00E52664" w:rsidRPr="001D3742">
        <w:rPr>
          <w:rFonts w:asciiTheme="majorHAnsi" w:hAnsiTheme="majorHAnsi"/>
          <w:sz w:val="20"/>
          <w:szCs w:val="20"/>
        </w:rPr>
        <w:t xml:space="preserve">Deusa Aparecida Leme, </w:t>
      </w:r>
      <w:r w:rsidR="00BE135D" w:rsidRPr="001D3742">
        <w:rPr>
          <w:rFonts w:asciiTheme="majorHAnsi" w:hAnsiTheme="majorHAnsi"/>
          <w:sz w:val="20"/>
          <w:szCs w:val="20"/>
        </w:rPr>
        <w:t xml:space="preserve">since </w:t>
      </w:r>
      <w:r w:rsidRPr="001D3742">
        <w:rPr>
          <w:rFonts w:asciiTheme="majorHAnsi" w:hAnsiTheme="majorHAnsi"/>
          <w:sz w:val="20"/>
          <w:szCs w:val="20"/>
        </w:rPr>
        <w:t xml:space="preserve">appeals could have been brought before the higher courts. Finally, the State argues that the alleged victims did not bring a civil action for compensation, and that in this regard they also failed to exhaust domestic remedies. </w:t>
      </w:r>
      <w:r w:rsidR="00022CBD" w:rsidRPr="001D3742">
        <w:rPr>
          <w:rFonts w:asciiTheme="majorHAnsi" w:hAnsiTheme="majorHAnsi"/>
          <w:sz w:val="20"/>
          <w:szCs w:val="20"/>
        </w:rPr>
        <w:t xml:space="preserve"> </w:t>
      </w:r>
    </w:p>
    <w:p w:rsidR="00E52664" w:rsidRPr="001D3742" w:rsidRDefault="00190757" w:rsidP="008D27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sz w:val="20"/>
          <w:szCs w:val="20"/>
        </w:rPr>
        <w:lastRenderedPageBreak/>
        <w:t xml:space="preserve">The Commission understands that </w:t>
      </w:r>
      <w:r w:rsidR="008D2777" w:rsidRPr="001D3742">
        <w:rPr>
          <w:rFonts w:asciiTheme="majorHAnsi" w:hAnsiTheme="majorHAnsi"/>
          <w:sz w:val="20"/>
          <w:szCs w:val="20"/>
        </w:rPr>
        <w:t xml:space="preserve">in </w:t>
      </w:r>
      <w:r w:rsidRPr="001D3742">
        <w:rPr>
          <w:rFonts w:asciiTheme="majorHAnsi" w:hAnsiTheme="majorHAnsi"/>
          <w:sz w:val="20"/>
          <w:szCs w:val="20"/>
        </w:rPr>
        <w:t xml:space="preserve">cases that involve possible violations of human rights prosecutable </w:t>
      </w:r>
      <w:r w:rsidR="00D466DC" w:rsidRPr="001D3742">
        <w:rPr>
          <w:rFonts w:asciiTheme="majorHAnsi" w:hAnsiTheme="majorHAnsi"/>
          <w:i/>
          <w:iCs/>
          <w:sz w:val="20"/>
          <w:szCs w:val="20"/>
        </w:rPr>
        <w:t>sua sponte</w:t>
      </w:r>
      <w:r w:rsidR="00D466DC" w:rsidRPr="001D3742">
        <w:rPr>
          <w:rFonts w:asciiTheme="majorHAnsi" w:hAnsiTheme="majorHAnsi"/>
          <w:sz w:val="20"/>
          <w:szCs w:val="20"/>
        </w:rPr>
        <w:t xml:space="preserve"> by the Office of the Attorney General</w:t>
      </w:r>
      <w:r w:rsidR="008D2777" w:rsidRPr="001D3742">
        <w:rPr>
          <w:rFonts w:asciiTheme="majorHAnsi" w:hAnsiTheme="majorHAnsi"/>
          <w:sz w:val="20"/>
          <w:szCs w:val="20"/>
        </w:rPr>
        <w:t xml:space="preserve"> – </w:t>
      </w:r>
      <w:r w:rsidR="00D466DC" w:rsidRPr="001D3742">
        <w:rPr>
          <w:rFonts w:asciiTheme="majorHAnsi" w:hAnsiTheme="majorHAnsi"/>
          <w:sz w:val="20"/>
          <w:szCs w:val="20"/>
        </w:rPr>
        <w:t>especially when state agents are involved in the facts</w:t>
      </w:r>
      <w:r w:rsidR="008D2777" w:rsidRPr="001D3742">
        <w:rPr>
          <w:rFonts w:asciiTheme="majorHAnsi" w:hAnsiTheme="majorHAnsi"/>
          <w:sz w:val="20"/>
          <w:szCs w:val="20"/>
        </w:rPr>
        <w:t xml:space="preserve"> – the </w:t>
      </w:r>
      <w:r w:rsidR="00D466DC" w:rsidRPr="001D3742">
        <w:rPr>
          <w:rFonts w:asciiTheme="majorHAnsi" w:hAnsiTheme="majorHAnsi"/>
          <w:sz w:val="20"/>
          <w:szCs w:val="20"/>
        </w:rPr>
        <w:t xml:space="preserve">State has an obligation to investigate diligently. That burden </w:t>
      </w:r>
      <w:r w:rsidR="008D2777" w:rsidRPr="001D3742">
        <w:rPr>
          <w:rFonts w:asciiTheme="majorHAnsi" w:hAnsiTheme="majorHAnsi"/>
          <w:sz w:val="20"/>
          <w:szCs w:val="20"/>
        </w:rPr>
        <w:t xml:space="preserve">must </w:t>
      </w:r>
      <w:r w:rsidR="00D466DC" w:rsidRPr="001D3742">
        <w:rPr>
          <w:rFonts w:asciiTheme="majorHAnsi" w:hAnsiTheme="majorHAnsi"/>
          <w:sz w:val="20"/>
          <w:szCs w:val="20"/>
        </w:rPr>
        <w:t>be assumed by the State as its own legal duty, and not as a</w:t>
      </w:r>
      <w:r w:rsidR="00EA6348" w:rsidRPr="001D3742">
        <w:rPr>
          <w:rFonts w:asciiTheme="majorHAnsi" w:hAnsiTheme="majorHAnsi"/>
          <w:sz w:val="20"/>
          <w:szCs w:val="20"/>
        </w:rPr>
        <w:t xml:space="preserve"> mere </w:t>
      </w:r>
      <w:r w:rsidR="00DA6C5B" w:rsidRPr="001D3742">
        <w:rPr>
          <w:rFonts w:asciiTheme="majorHAnsi" w:hAnsiTheme="majorHAnsi"/>
          <w:sz w:val="20"/>
          <w:szCs w:val="20"/>
        </w:rPr>
        <w:t>arbiter</w:t>
      </w:r>
      <w:r w:rsidR="00D466DC" w:rsidRPr="001D3742">
        <w:rPr>
          <w:rFonts w:asciiTheme="majorHAnsi" w:hAnsiTheme="majorHAnsi"/>
          <w:sz w:val="20"/>
          <w:szCs w:val="20"/>
        </w:rPr>
        <w:t xml:space="preserve"> of private interests</w:t>
      </w:r>
      <w:r w:rsidR="008D2777" w:rsidRPr="001D3742">
        <w:rPr>
          <w:rFonts w:asciiTheme="majorHAnsi" w:hAnsiTheme="majorHAnsi"/>
          <w:sz w:val="20"/>
          <w:szCs w:val="20"/>
        </w:rPr>
        <w:t>,</w:t>
      </w:r>
      <w:r w:rsidR="00D466DC" w:rsidRPr="001D3742">
        <w:rPr>
          <w:rFonts w:asciiTheme="majorHAnsi" w:hAnsiTheme="majorHAnsi"/>
          <w:sz w:val="20"/>
          <w:szCs w:val="20"/>
        </w:rPr>
        <w:t xml:space="preserve"> </w:t>
      </w:r>
      <w:r w:rsidR="008D2777" w:rsidRPr="001D3742">
        <w:rPr>
          <w:rFonts w:asciiTheme="majorHAnsi" w:hAnsiTheme="majorHAnsi"/>
          <w:sz w:val="20"/>
          <w:szCs w:val="20"/>
        </w:rPr>
        <w:t>n</w:t>
      </w:r>
      <w:r w:rsidR="00D466DC" w:rsidRPr="001D3742">
        <w:rPr>
          <w:rFonts w:asciiTheme="majorHAnsi" w:hAnsiTheme="majorHAnsi"/>
          <w:sz w:val="20"/>
          <w:szCs w:val="20"/>
        </w:rPr>
        <w:t>or</w:t>
      </w:r>
      <w:r w:rsidR="008D2777" w:rsidRPr="001D3742">
        <w:rPr>
          <w:rFonts w:asciiTheme="majorHAnsi" w:hAnsiTheme="majorHAnsi"/>
          <w:sz w:val="20"/>
          <w:szCs w:val="20"/>
        </w:rPr>
        <w:t xml:space="preserve"> should it </w:t>
      </w:r>
      <w:r w:rsidR="00D466DC" w:rsidRPr="001D3742">
        <w:rPr>
          <w:rFonts w:asciiTheme="majorHAnsi" w:hAnsiTheme="majorHAnsi"/>
          <w:sz w:val="20"/>
          <w:szCs w:val="20"/>
        </w:rPr>
        <w:t xml:space="preserve">depend on the initiative </w:t>
      </w:r>
      <w:r w:rsidR="00EA6348" w:rsidRPr="001D3742">
        <w:rPr>
          <w:rFonts w:asciiTheme="majorHAnsi" w:hAnsiTheme="majorHAnsi"/>
          <w:sz w:val="20"/>
          <w:szCs w:val="20"/>
        </w:rPr>
        <w:t xml:space="preserve">of </w:t>
      </w:r>
      <w:r w:rsidR="00D466DC" w:rsidRPr="001D3742">
        <w:rPr>
          <w:rFonts w:asciiTheme="majorHAnsi" w:hAnsiTheme="majorHAnsi"/>
          <w:sz w:val="20"/>
          <w:szCs w:val="20"/>
        </w:rPr>
        <w:t>or production of evidence by the alleged victims.</w:t>
      </w:r>
      <w:r w:rsidR="00E52664" w:rsidRPr="00726341">
        <w:rPr>
          <w:rStyle w:val="FootnoteReference"/>
          <w:rFonts w:asciiTheme="majorHAnsi" w:hAnsiTheme="majorHAnsi"/>
          <w:sz w:val="20"/>
          <w:szCs w:val="20"/>
          <w:lang w:val="pt-BR"/>
        </w:rPr>
        <w:footnoteReference w:id="6"/>
      </w:r>
      <w:r w:rsidR="00E52664" w:rsidRPr="001D3742">
        <w:rPr>
          <w:rFonts w:asciiTheme="majorHAnsi" w:hAnsiTheme="majorHAnsi"/>
          <w:sz w:val="20"/>
          <w:szCs w:val="20"/>
        </w:rPr>
        <w:t xml:space="preserve"> </w:t>
      </w:r>
      <w:r w:rsidR="00D466DC" w:rsidRPr="001D3742">
        <w:rPr>
          <w:rFonts w:asciiTheme="majorHAnsi" w:hAnsiTheme="majorHAnsi"/>
          <w:sz w:val="20"/>
          <w:szCs w:val="20"/>
        </w:rPr>
        <w:t xml:space="preserve"> In the instant case, the Commission considers that the alleged victim pursued and exhausted all remedies available to hold the accused liable. Moreover, on the need to exhaust domestic remedies in relation to civil reparations for serious human rights violations such as unlawful arrest and torture</w:t>
      </w:r>
      <w:r w:rsidR="00E52664" w:rsidRPr="001D3742">
        <w:rPr>
          <w:rFonts w:asciiTheme="majorHAnsi" w:hAnsiTheme="majorHAnsi"/>
          <w:sz w:val="20"/>
          <w:szCs w:val="20"/>
        </w:rPr>
        <w:t xml:space="preserve">, </w:t>
      </w:r>
      <w:r w:rsidR="00D466DC" w:rsidRPr="001D3742">
        <w:rPr>
          <w:rFonts w:asciiTheme="majorHAnsi" w:hAnsiTheme="majorHAnsi"/>
          <w:sz w:val="20"/>
          <w:szCs w:val="20"/>
        </w:rPr>
        <w:t xml:space="preserve">the alleged victims do not need to turn to the civil sphere in search of reparation before accessing the inter-American system, bearing in mind that such a remedy would not </w:t>
      </w:r>
      <w:r w:rsidR="008D2777" w:rsidRPr="001D3742">
        <w:rPr>
          <w:rFonts w:asciiTheme="majorHAnsi" w:hAnsiTheme="majorHAnsi"/>
          <w:sz w:val="20"/>
          <w:szCs w:val="20"/>
        </w:rPr>
        <w:t xml:space="preserve">respond </w:t>
      </w:r>
      <w:r w:rsidR="00D466DC" w:rsidRPr="001D3742">
        <w:rPr>
          <w:rFonts w:asciiTheme="majorHAnsi" w:hAnsiTheme="majorHAnsi"/>
          <w:sz w:val="20"/>
          <w:szCs w:val="20"/>
        </w:rPr>
        <w:t>to the principal relief sought in the petition.</w:t>
      </w:r>
      <w:r w:rsidR="00E52664" w:rsidRPr="00726341">
        <w:rPr>
          <w:rStyle w:val="FootnoteReference"/>
          <w:rFonts w:asciiTheme="majorHAnsi" w:hAnsiTheme="majorHAnsi"/>
          <w:sz w:val="20"/>
          <w:szCs w:val="20"/>
          <w:lang w:val="pt-BR"/>
        </w:rPr>
        <w:footnoteReference w:id="7"/>
      </w:r>
    </w:p>
    <w:p w:rsidR="00F621C3" w:rsidRPr="001D3742" w:rsidRDefault="00C836A9" w:rsidP="008D27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D3742">
        <w:rPr>
          <w:rFonts w:asciiTheme="majorHAnsi" w:hAnsiTheme="majorHAnsi"/>
          <w:sz w:val="20"/>
          <w:szCs w:val="20"/>
        </w:rPr>
        <w:t xml:space="preserve">In view of the foregoing, the Commission considers that domestic remedies were duly exhausted by the alleged victim with the decision of the </w:t>
      </w:r>
      <w:r w:rsidR="00CA0F9B" w:rsidRPr="001D3742">
        <w:rPr>
          <w:rFonts w:asciiTheme="majorHAnsi" w:hAnsiTheme="majorHAnsi"/>
          <w:sz w:val="20"/>
          <w:szCs w:val="20"/>
        </w:rPr>
        <w:t xml:space="preserve">Court of Appeals, </w:t>
      </w:r>
      <w:r w:rsidRPr="001D3742">
        <w:rPr>
          <w:rFonts w:asciiTheme="majorHAnsi" w:hAnsiTheme="majorHAnsi"/>
          <w:sz w:val="20"/>
          <w:szCs w:val="20"/>
        </w:rPr>
        <w:t xml:space="preserve">which became </w:t>
      </w:r>
      <w:r w:rsidRPr="001D3742">
        <w:rPr>
          <w:rFonts w:asciiTheme="majorHAnsi" w:hAnsiTheme="majorHAnsi"/>
          <w:i/>
          <w:iCs/>
          <w:sz w:val="20"/>
          <w:szCs w:val="20"/>
        </w:rPr>
        <w:t>res judicata</w:t>
      </w:r>
      <w:r w:rsidRPr="001D3742">
        <w:rPr>
          <w:rFonts w:asciiTheme="majorHAnsi" w:hAnsiTheme="majorHAnsi"/>
          <w:sz w:val="20"/>
          <w:szCs w:val="20"/>
        </w:rPr>
        <w:t xml:space="preserve"> on March 18, </w:t>
      </w:r>
      <w:r w:rsidR="00E52664" w:rsidRPr="001D3742">
        <w:rPr>
          <w:rFonts w:asciiTheme="majorHAnsi" w:hAnsiTheme="majorHAnsi"/>
          <w:sz w:val="20"/>
          <w:szCs w:val="20"/>
        </w:rPr>
        <w:t xml:space="preserve">2009, </w:t>
      </w:r>
      <w:r w:rsidRPr="001D3742">
        <w:rPr>
          <w:rFonts w:asciiTheme="majorHAnsi" w:hAnsiTheme="majorHAnsi"/>
          <w:sz w:val="20"/>
          <w:szCs w:val="20"/>
        </w:rPr>
        <w:t xml:space="preserve">and that all the other requirements of Article 46(1) of the American Convention were also satisfied. As regards the criminal proceeding for coercion in relation to alleged victim </w:t>
      </w:r>
      <w:r w:rsidR="00E52664" w:rsidRPr="001D3742">
        <w:rPr>
          <w:rFonts w:asciiTheme="majorHAnsi" w:hAnsiTheme="majorHAnsi"/>
          <w:sz w:val="20"/>
          <w:szCs w:val="20"/>
        </w:rPr>
        <w:t xml:space="preserve">Deusa Aparecida Leme, </w:t>
      </w:r>
      <w:r w:rsidRPr="001D3742">
        <w:rPr>
          <w:rFonts w:asciiTheme="majorHAnsi" w:hAnsiTheme="majorHAnsi"/>
          <w:sz w:val="20"/>
          <w:szCs w:val="20"/>
        </w:rPr>
        <w:t xml:space="preserve">however, the Commission observes that the six-month period was not observed by the petitioners, since the last decision in that proceeding was in </w:t>
      </w:r>
      <w:r w:rsidR="00E52664" w:rsidRPr="001D3742">
        <w:rPr>
          <w:rFonts w:asciiTheme="majorHAnsi" w:hAnsiTheme="majorHAnsi"/>
          <w:sz w:val="20"/>
          <w:szCs w:val="20"/>
        </w:rPr>
        <w:t>2005.</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rsidR="00F621C3" w:rsidRPr="001D3742" w:rsidRDefault="001A12EA" w:rsidP="00E52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rPr>
      </w:pPr>
      <w:r>
        <w:rPr>
          <w:rFonts w:asciiTheme="majorHAnsi" w:hAnsiTheme="majorHAnsi"/>
          <w:sz w:val="20"/>
          <w:szCs w:val="20"/>
        </w:rPr>
        <w:t>In view of the factual and legal elements presented by the parties and the nature of the matter brought to its attention</w:t>
      </w:r>
      <w:r w:rsidR="00C836A9" w:rsidRPr="001D3742">
        <w:rPr>
          <w:rFonts w:asciiTheme="majorHAnsi" w:hAnsiTheme="majorHAnsi"/>
          <w:sz w:val="20"/>
          <w:szCs w:val="20"/>
        </w:rPr>
        <w:t xml:space="preserve">, the Commission considers that if proven, the facts narrated tend to establish possible violations of Articles </w:t>
      </w:r>
      <w:r w:rsidR="00E52664" w:rsidRPr="001D3742">
        <w:rPr>
          <w:rFonts w:asciiTheme="majorHAnsi" w:hAnsiTheme="majorHAnsi"/>
          <w:bCs/>
          <w:sz w:val="20"/>
          <w:szCs w:val="20"/>
        </w:rPr>
        <w:t>5 (</w:t>
      </w:r>
      <w:r w:rsidR="00C836A9" w:rsidRPr="001D3742">
        <w:rPr>
          <w:rFonts w:asciiTheme="majorHAnsi" w:hAnsiTheme="majorHAnsi"/>
          <w:bCs/>
          <w:sz w:val="20"/>
          <w:szCs w:val="20"/>
        </w:rPr>
        <w:t>humane treatment</w:t>
      </w:r>
      <w:r w:rsidR="00E52664" w:rsidRPr="001D3742">
        <w:rPr>
          <w:rFonts w:asciiTheme="majorHAnsi" w:hAnsiTheme="majorHAnsi"/>
          <w:bCs/>
          <w:sz w:val="20"/>
          <w:szCs w:val="20"/>
        </w:rPr>
        <w:t>), 7 (pe</w:t>
      </w:r>
      <w:r w:rsidR="00C836A9" w:rsidRPr="001D3742">
        <w:rPr>
          <w:rFonts w:asciiTheme="majorHAnsi" w:hAnsiTheme="majorHAnsi"/>
          <w:bCs/>
          <w:sz w:val="20"/>
          <w:szCs w:val="20"/>
        </w:rPr>
        <w:t>rsonal liberty</w:t>
      </w:r>
      <w:r w:rsidR="00E52664" w:rsidRPr="001D3742">
        <w:rPr>
          <w:rFonts w:asciiTheme="majorHAnsi" w:hAnsiTheme="majorHAnsi"/>
          <w:bCs/>
          <w:sz w:val="20"/>
          <w:szCs w:val="20"/>
        </w:rPr>
        <w:t>), 8 (judicia</w:t>
      </w:r>
      <w:r w:rsidR="00C836A9" w:rsidRPr="001D3742">
        <w:rPr>
          <w:rFonts w:asciiTheme="majorHAnsi" w:hAnsiTheme="majorHAnsi"/>
          <w:bCs/>
          <w:sz w:val="20"/>
          <w:szCs w:val="20"/>
        </w:rPr>
        <w:t>l guarantees</w:t>
      </w:r>
      <w:r w:rsidR="00E52664" w:rsidRPr="001D3742">
        <w:rPr>
          <w:rFonts w:asciiTheme="majorHAnsi" w:hAnsiTheme="majorHAnsi"/>
          <w:bCs/>
          <w:sz w:val="20"/>
          <w:szCs w:val="20"/>
        </w:rPr>
        <w:t>), 19 (</w:t>
      </w:r>
      <w:r w:rsidR="00C836A9" w:rsidRPr="001D3742">
        <w:rPr>
          <w:rFonts w:asciiTheme="majorHAnsi" w:hAnsiTheme="majorHAnsi"/>
          <w:bCs/>
          <w:sz w:val="20"/>
          <w:szCs w:val="20"/>
        </w:rPr>
        <w:t>rights of the child</w:t>
      </w:r>
      <w:r w:rsidR="00E52664" w:rsidRPr="001D3742">
        <w:rPr>
          <w:rFonts w:asciiTheme="majorHAnsi" w:hAnsiTheme="majorHAnsi"/>
          <w:bCs/>
          <w:sz w:val="20"/>
          <w:szCs w:val="20"/>
        </w:rPr>
        <w:t>), 22 (</w:t>
      </w:r>
      <w:r w:rsidR="00C836A9" w:rsidRPr="001D3742">
        <w:rPr>
          <w:rFonts w:asciiTheme="majorHAnsi" w:hAnsiTheme="majorHAnsi"/>
          <w:bCs/>
          <w:sz w:val="20"/>
          <w:szCs w:val="20"/>
        </w:rPr>
        <w:t>movement and residence</w:t>
      </w:r>
      <w:r w:rsidR="00E52664" w:rsidRPr="001D3742">
        <w:rPr>
          <w:rFonts w:asciiTheme="majorHAnsi" w:hAnsiTheme="majorHAnsi"/>
          <w:bCs/>
          <w:sz w:val="20"/>
          <w:szCs w:val="20"/>
        </w:rPr>
        <w:t>), 24 (</w:t>
      </w:r>
      <w:r w:rsidR="00C836A9" w:rsidRPr="001D3742">
        <w:rPr>
          <w:rFonts w:asciiTheme="majorHAnsi" w:hAnsiTheme="majorHAnsi"/>
          <w:bCs/>
          <w:sz w:val="20"/>
          <w:szCs w:val="20"/>
        </w:rPr>
        <w:t>equality before the law</w:t>
      </w:r>
      <w:r w:rsidR="00E52664" w:rsidRPr="001D3742">
        <w:rPr>
          <w:rFonts w:asciiTheme="majorHAnsi" w:hAnsiTheme="majorHAnsi"/>
          <w:bCs/>
          <w:sz w:val="20"/>
          <w:szCs w:val="20"/>
        </w:rPr>
        <w:t>)</w:t>
      </w:r>
      <w:r w:rsidR="00C836A9" w:rsidRPr="001D3742">
        <w:rPr>
          <w:rFonts w:asciiTheme="majorHAnsi" w:hAnsiTheme="majorHAnsi"/>
          <w:bCs/>
          <w:sz w:val="20"/>
          <w:szCs w:val="20"/>
        </w:rPr>
        <w:t>,</w:t>
      </w:r>
      <w:r w:rsidR="00E52664" w:rsidRPr="001D3742">
        <w:rPr>
          <w:rFonts w:asciiTheme="majorHAnsi" w:hAnsiTheme="majorHAnsi"/>
          <w:bCs/>
          <w:sz w:val="20"/>
          <w:szCs w:val="20"/>
        </w:rPr>
        <w:t xml:space="preserve"> </w:t>
      </w:r>
      <w:r w:rsidR="00C836A9" w:rsidRPr="001D3742">
        <w:rPr>
          <w:rFonts w:asciiTheme="majorHAnsi" w:hAnsiTheme="majorHAnsi"/>
          <w:bCs/>
          <w:sz w:val="20"/>
          <w:szCs w:val="20"/>
        </w:rPr>
        <w:t xml:space="preserve">and </w:t>
      </w:r>
      <w:r w:rsidR="00E52664" w:rsidRPr="001D3742">
        <w:rPr>
          <w:rFonts w:asciiTheme="majorHAnsi" w:hAnsiTheme="majorHAnsi"/>
          <w:bCs/>
          <w:sz w:val="20"/>
          <w:szCs w:val="20"/>
        </w:rPr>
        <w:t>25 (judicial</w:t>
      </w:r>
      <w:r w:rsidR="00C836A9" w:rsidRPr="001D3742">
        <w:rPr>
          <w:rFonts w:asciiTheme="majorHAnsi" w:hAnsiTheme="majorHAnsi"/>
          <w:bCs/>
          <w:sz w:val="20"/>
          <w:szCs w:val="20"/>
        </w:rPr>
        <w:t xml:space="preserve"> protection</w:t>
      </w:r>
      <w:r w:rsidR="00E52664" w:rsidRPr="001D3742">
        <w:rPr>
          <w:rFonts w:asciiTheme="majorHAnsi" w:hAnsiTheme="majorHAnsi"/>
          <w:bCs/>
          <w:sz w:val="20"/>
          <w:szCs w:val="20"/>
        </w:rPr>
        <w:t>),</w:t>
      </w:r>
      <w:r w:rsidR="00E52664" w:rsidRPr="001D3742">
        <w:rPr>
          <w:rFonts w:asciiTheme="majorHAnsi" w:hAnsiTheme="majorHAnsi"/>
          <w:sz w:val="20"/>
          <w:szCs w:val="20"/>
        </w:rPr>
        <w:t xml:space="preserve"> </w:t>
      </w:r>
      <w:r w:rsidR="00C836A9" w:rsidRPr="001D3742">
        <w:rPr>
          <w:rFonts w:asciiTheme="majorHAnsi" w:hAnsiTheme="majorHAnsi"/>
          <w:sz w:val="20"/>
          <w:szCs w:val="20"/>
        </w:rPr>
        <w:t>all in relation to  Article</w:t>
      </w:r>
      <w:r w:rsidR="008D2777" w:rsidRPr="001D3742">
        <w:rPr>
          <w:rFonts w:asciiTheme="majorHAnsi" w:hAnsiTheme="majorHAnsi"/>
          <w:sz w:val="20"/>
          <w:szCs w:val="20"/>
        </w:rPr>
        <w:t>s</w:t>
      </w:r>
      <w:r w:rsidR="00C836A9" w:rsidRPr="001D3742">
        <w:rPr>
          <w:rFonts w:asciiTheme="majorHAnsi" w:hAnsiTheme="majorHAnsi"/>
          <w:sz w:val="20"/>
          <w:szCs w:val="20"/>
        </w:rPr>
        <w:t xml:space="preserve"> </w:t>
      </w:r>
      <w:r w:rsidR="00E52664" w:rsidRPr="001D3742">
        <w:rPr>
          <w:rFonts w:asciiTheme="majorHAnsi" w:hAnsiTheme="majorHAnsi"/>
          <w:sz w:val="20"/>
          <w:szCs w:val="20"/>
        </w:rPr>
        <w:t>1</w:t>
      </w:r>
      <w:r w:rsidR="00C836A9" w:rsidRPr="001D3742">
        <w:rPr>
          <w:rFonts w:asciiTheme="majorHAnsi" w:hAnsiTheme="majorHAnsi"/>
          <w:sz w:val="20"/>
          <w:szCs w:val="20"/>
        </w:rPr>
        <w:t>(</w:t>
      </w:r>
      <w:r w:rsidR="00E52664" w:rsidRPr="001D3742">
        <w:rPr>
          <w:rFonts w:asciiTheme="majorHAnsi" w:hAnsiTheme="majorHAnsi"/>
          <w:sz w:val="20"/>
          <w:szCs w:val="20"/>
        </w:rPr>
        <w:t>1</w:t>
      </w:r>
      <w:r w:rsidR="00C836A9" w:rsidRPr="001D3742">
        <w:rPr>
          <w:rFonts w:asciiTheme="majorHAnsi" w:hAnsiTheme="majorHAnsi"/>
          <w:sz w:val="20"/>
          <w:szCs w:val="20"/>
        </w:rPr>
        <w:t>)</w:t>
      </w:r>
      <w:r w:rsidR="00E52664" w:rsidRPr="001D3742">
        <w:rPr>
          <w:rFonts w:asciiTheme="majorHAnsi" w:hAnsiTheme="majorHAnsi"/>
          <w:sz w:val="20"/>
          <w:szCs w:val="20"/>
        </w:rPr>
        <w:t xml:space="preserve"> (ob</w:t>
      </w:r>
      <w:r w:rsidR="00C836A9" w:rsidRPr="001D3742">
        <w:rPr>
          <w:rFonts w:asciiTheme="majorHAnsi" w:hAnsiTheme="majorHAnsi"/>
          <w:sz w:val="20"/>
          <w:szCs w:val="20"/>
        </w:rPr>
        <w:t>l</w:t>
      </w:r>
      <w:r w:rsidR="00E52664" w:rsidRPr="001D3742">
        <w:rPr>
          <w:rFonts w:asciiTheme="majorHAnsi" w:hAnsiTheme="majorHAnsi"/>
          <w:sz w:val="20"/>
          <w:szCs w:val="20"/>
        </w:rPr>
        <w:t>iga</w:t>
      </w:r>
      <w:r w:rsidR="00C836A9" w:rsidRPr="001D3742">
        <w:rPr>
          <w:rFonts w:asciiTheme="majorHAnsi" w:hAnsiTheme="majorHAnsi"/>
          <w:sz w:val="20"/>
          <w:szCs w:val="20"/>
        </w:rPr>
        <w:t>tion to respect rights</w:t>
      </w:r>
      <w:r w:rsidR="00E52664" w:rsidRPr="001D3742">
        <w:rPr>
          <w:rFonts w:asciiTheme="majorHAnsi" w:hAnsiTheme="majorHAnsi"/>
          <w:sz w:val="20"/>
          <w:szCs w:val="20"/>
        </w:rPr>
        <w:t xml:space="preserve">) </w:t>
      </w:r>
      <w:r w:rsidR="00C836A9" w:rsidRPr="001D3742">
        <w:rPr>
          <w:rFonts w:asciiTheme="majorHAnsi" w:hAnsiTheme="majorHAnsi"/>
          <w:sz w:val="20"/>
          <w:szCs w:val="20"/>
        </w:rPr>
        <w:t xml:space="preserve">and </w:t>
      </w:r>
      <w:r w:rsidR="00E52664" w:rsidRPr="001D3742">
        <w:rPr>
          <w:rFonts w:asciiTheme="majorHAnsi" w:hAnsiTheme="majorHAnsi"/>
          <w:sz w:val="20"/>
          <w:szCs w:val="20"/>
        </w:rPr>
        <w:t>2 (</w:t>
      </w:r>
      <w:r w:rsidR="00C836A9" w:rsidRPr="001D3742">
        <w:rPr>
          <w:rFonts w:asciiTheme="majorHAnsi" w:hAnsiTheme="majorHAnsi"/>
          <w:sz w:val="20"/>
          <w:szCs w:val="20"/>
        </w:rPr>
        <w:t>obligation to adopt provisions of domestic law</w:t>
      </w:r>
      <w:r w:rsidR="00E52664" w:rsidRPr="001D3742">
        <w:rPr>
          <w:rFonts w:asciiTheme="majorHAnsi" w:hAnsiTheme="majorHAnsi"/>
          <w:sz w:val="20"/>
          <w:szCs w:val="20"/>
        </w:rPr>
        <w:t xml:space="preserve">) </w:t>
      </w:r>
      <w:r w:rsidR="00C836A9" w:rsidRPr="001D3742">
        <w:rPr>
          <w:rFonts w:asciiTheme="majorHAnsi" w:hAnsiTheme="majorHAnsi"/>
          <w:sz w:val="20"/>
          <w:szCs w:val="20"/>
        </w:rPr>
        <w:t xml:space="preserve">of the </w:t>
      </w:r>
      <w:r w:rsidR="00E52664" w:rsidRPr="001D3742">
        <w:rPr>
          <w:rFonts w:asciiTheme="majorHAnsi" w:hAnsiTheme="majorHAnsi"/>
          <w:sz w:val="20"/>
          <w:szCs w:val="20"/>
        </w:rPr>
        <w:t>American</w:t>
      </w:r>
      <w:r w:rsidR="00C836A9" w:rsidRPr="001D3742">
        <w:rPr>
          <w:rFonts w:asciiTheme="majorHAnsi" w:hAnsiTheme="majorHAnsi"/>
          <w:sz w:val="20"/>
          <w:szCs w:val="20"/>
        </w:rPr>
        <w:t xml:space="preserve"> Convention</w:t>
      </w:r>
      <w:r w:rsidR="00E52664" w:rsidRPr="001D3742">
        <w:rPr>
          <w:rFonts w:asciiTheme="majorHAnsi" w:hAnsiTheme="majorHAnsi"/>
          <w:sz w:val="20"/>
          <w:szCs w:val="20"/>
        </w:rPr>
        <w:t xml:space="preserve">; </w:t>
      </w:r>
      <w:r w:rsidR="00C836A9" w:rsidRPr="001D3742">
        <w:rPr>
          <w:rFonts w:asciiTheme="majorHAnsi" w:hAnsiTheme="majorHAnsi"/>
          <w:sz w:val="20"/>
          <w:szCs w:val="20"/>
        </w:rPr>
        <w:t xml:space="preserve">and Articles </w:t>
      </w:r>
      <w:r w:rsidR="00E52664" w:rsidRPr="001D3742">
        <w:rPr>
          <w:rFonts w:asciiTheme="majorHAnsi" w:hAnsiTheme="majorHAnsi"/>
          <w:sz w:val="20"/>
          <w:szCs w:val="20"/>
        </w:rPr>
        <w:t>1, 6</w:t>
      </w:r>
      <w:r w:rsidR="00C836A9" w:rsidRPr="001D3742">
        <w:rPr>
          <w:rFonts w:asciiTheme="majorHAnsi" w:hAnsiTheme="majorHAnsi"/>
          <w:sz w:val="20"/>
          <w:szCs w:val="20"/>
        </w:rPr>
        <w:t>,</w:t>
      </w:r>
      <w:r w:rsidR="00E52664" w:rsidRPr="001D3742">
        <w:rPr>
          <w:rFonts w:asciiTheme="majorHAnsi" w:hAnsiTheme="majorHAnsi"/>
          <w:sz w:val="20"/>
          <w:szCs w:val="20"/>
        </w:rPr>
        <w:t xml:space="preserve"> </w:t>
      </w:r>
      <w:r w:rsidR="00C836A9" w:rsidRPr="001D3742">
        <w:rPr>
          <w:rFonts w:asciiTheme="majorHAnsi" w:hAnsiTheme="majorHAnsi"/>
          <w:sz w:val="20"/>
          <w:szCs w:val="20"/>
        </w:rPr>
        <w:t xml:space="preserve">and </w:t>
      </w:r>
      <w:r w:rsidR="00E52664" w:rsidRPr="001D3742">
        <w:rPr>
          <w:rFonts w:asciiTheme="majorHAnsi" w:hAnsiTheme="majorHAnsi"/>
          <w:sz w:val="20"/>
          <w:szCs w:val="20"/>
        </w:rPr>
        <w:t xml:space="preserve">8 </w:t>
      </w:r>
      <w:r w:rsidR="00C836A9" w:rsidRPr="001D3742">
        <w:rPr>
          <w:rFonts w:asciiTheme="majorHAnsi" w:hAnsiTheme="majorHAnsi"/>
          <w:sz w:val="20"/>
          <w:szCs w:val="20"/>
        </w:rPr>
        <w:t>of the Inter-American Conventio</w:t>
      </w:r>
      <w:r>
        <w:rPr>
          <w:rFonts w:asciiTheme="majorHAnsi" w:hAnsiTheme="majorHAnsi"/>
          <w:sz w:val="20"/>
          <w:szCs w:val="20"/>
        </w:rPr>
        <w:t>n to Prevent and Punish Torture, due to the alleged lack of investigation.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E52664" w:rsidRDefault="00F621C3" w:rsidP="00E5266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E52664" w:rsidRPr="001D3742">
        <w:rPr>
          <w:rFonts w:asciiTheme="majorHAnsi" w:hAnsiTheme="majorHAnsi"/>
          <w:sz w:val="20"/>
          <w:szCs w:val="20"/>
        </w:rPr>
        <w:t>5, 7, 8, 19, 22, 24</w:t>
      </w:r>
      <w:r w:rsidR="00C836A9" w:rsidRPr="001D3742">
        <w:rPr>
          <w:rFonts w:asciiTheme="majorHAnsi" w:hAnsiTheme="majorHAnsi"/>
          <w:sz w:val="20"/>
          <w:szCs w:val="20"/>
        </w:rPr>
        <w:t xml:space="preserve">, and </w:t>
      </w:r>
      <w:r w:rsidR="00E52664" w:rsidRPr="001D3742">
        <w:rPr>
          <w:rFonts w:asciiTheme="majorHAnsi" w:hAnsiTheme="majorHAnsi"/>
          <w:sz w:val="20"/>
          <w:szCs w:val="20"/>
        </w:rPr>
        <w:t xml:space="preserve">25 </w:t>
      </w:r>
      <w:r w:rsidR="00C836A9" w:rsidRPr="001D3742">
        <w:rPr>
          <w:rFonts w:asciiTheme="majorHAnsi" w:hAnsiTheme="majorHAnsi"/>
          <w:sz w:val="20"/>
          <w:szCs w:val="20"/>
        </w:rPr>
        <w:t xml:space="preserve">of the </w:t>
      </w:r>
      <w:r w:rsidR="00E52664" w:rsidRPr="001D3742">
        <w:rPr>
          <w:rFonts w:asciiTheme="majorHAnsi" w:hAnsiTheme="majorHAnsi"/>
          <w:sz w:val="20"/>
          <w:szCs w:val="20"/>
        </w:rPr>
        <w:t>American</w:t>
      </w:r>
      <w:r w:rsidR="00C836A9" w:rsidRPr="001D3742">
        <w:rPr>
          <w:rFonts w:asciiTheme="majorHAnsi" w:hAnsiTheme="majorHAnsi"/>
          <w:sz w:val="20"/>
          <w:szCs w:val="20"/>
        </w:rPr>
        <w:t xml:space="preserve"> Convention in relation to its Articles 1(</w:t>
      </w:r>
      <w:r w:rsidR="00E52664" w:rsidRPr="001D3742">
        <w:rPr>
          <w:rFonts w:asciiTheme="majorHAnsi" w:hAnsiTheme="majorHAnsi"/>
          <w:sz w:val="20"/>
          <w:szCs w:val="20"/>
        </w:rPr>
        <w:t>1</w:t>
      </w:r>
      <w:r w:rsidR="00C836A9" w:rsidRPr="001D3742">
        <w:rPr>
          <w:rFonts w:asciiTheme="majorHAnsi" w:hAnsiTheme="majorHAnsi"/>
          <w:sz w:val="20"/>
          <w:szCs w:val="20"/>
        </w:rPr>
        <w:t>)</w:t>
      </w:r>
      <w:r w:rsidR="00E52664" w:rsidRPr="001D3742">
        <w:rPr>
          <w:rFonts w:asciiTheme="majorHAnsi" w:hAnsiTheme="majorHAnsi"/>
          <w:sz w:val="20"/>
          <w:szCs w:val="20"/>
        </w:rPr>
        <w:t xml:space="preserve"> </w:t>
      </w:r>
      <w:r w:rsidR="00C836A9" w:rsidRPr="001D3742">
        <w:rPr>
          <w:rFonts w:asciiTheme="majorHAnsi" w:hAnsiTheme="majorHAnsi"/>
          <w:sz w:val="20"/>
          <w:szCs w:val="20"/>
        </w:rPr>
        <w:t xml:space="preserve">and </w:t>
      </w:r>
      <w:r w:rsidR="00E52664" w:rsidRPr="001D3742">
        <w:rPr>
          <w:rFonts w:asciiTheme="majorHAnsi" w:hAnsiTheme="majorHAnsi"/>
          <w:sz w:val="20"/>
          <w:szCs w:val="20"/>
        </w:rPr>
        <w:t>2;</w:t>
      </w:r>
      <w:r w:rsidR="00C836A9" w:rsidRPr="001D3742">
        <w:rPr>
          <w:rFonts w:asciiTheme="majorHAnsi" w:hAnsiTheme="majorHAnsi"/>
          <w:sz w:val="20"/>
          <w:szCs w:val="20"/>
        </w:rPr>
        <w:t xml:space="preserve"> and Articles </w:t>
      </w:r>
      <w:r w:rsidR="00E52664" w:rsidRPr="001D3742">
        <w:rPr>
          <w:rFonts w:asciiTheme="majorHAnsi" w:hAnsiTheme="majorHAnsi"/>
          <w:sz w:val="20"/>
          <w:szCs w:val="20"/>
        </w:rPr>
        <w:t>1, 6</w:t>
      </w:r>
      <w:r w:rsidR="00C836A9" w:rsidRPr="001D3742">
        <w:rPr>
          <w:rFonts w:asciiTheme="majorHAnsi" w:hAnsiTheme="majorHAnsi"/>
          <w:sz w:val="20"/>
          <w:szCs w:val="20"/>
        </w:rPr>
        <w:t xml:space="preserve">, and </w:t>
      </w:r>
      <w:r w:rsidR="00E52664" w:rsidRPr="001D3742">
        <w:rPr>
          <w:rFonts w:asciiTheme="majorHAnsi" w:hAnsiTheme="majorHAnsi"/>
          <w:sz w:val="20"/>
          <w:szCs w:val="20"/>
        </w:rPr>
        <w:t xml:space="preserve">8 </w:t>
      </w:r>
      <w:r w:rsidR="00C836A9" w:rsidRPr="001D3742">
        <w:rPr>
          <w:rFonts w:asciiTheme="majorHAnsi" w:hAnsiTheme="majorHAnsi"/>
          <w:sz w:val="20"/>
          <w:szCs w:val="20"/>
        </w:rPr>
        <w:t xml:space="preserve">of the Inter-American Convention to Prevent and Punish </w:t>
      </w:r>
      <w:r w:rsidR="00E52664" w:rsidRPr="001D3742">
        <w:rPr>
          <w:rFonts w:asciiTheme="majorHAnsi" w:hAnsiTheme="majorHAnsi"/>
          <w:bCs/>
          <w:sz w:val="20"/>
          <w:szCs w:val="20"/>
        </w:rPr>
        <w:t>Tortur</w:t>
      </w:r>
      <w:r w:rsidR="00C836A9" w:rsidRPr="001D3742">
        <w:rPr>
          <w:rFonts w:asciiTheme="majorHAnsi" w:hAnsiTheme="majorHAnsi"/>
          <w:bCs/>
          <w:sz w:val="20"/>
          <w:szCs w:val="20"/>
        </w:rPr>
        <w:t>e</w:t>
      </w:r>
      <w:r w:rsidR="00E52664">
        <w:rPr>
          <w:rFonts w:asciiTheme="majorHAnsi" w:hAnsiTheme="majorHAnsi"/>
          <w:sz w:val="20"/>
          <w:szCs w:val="20"/>
        </w:rPr>
        <w:t>.</w:t>
      </w:r>
    </w:p>
    <w:p w:rsidR="00C55560" w:rsidRDefault="00F621C3" w:rsidP="008D277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6F3474" w:rsidRPr="006F3474" w:rsidRDefault="006F3474" w:rsidP="006F3474">
      <w:pPr>
        <w:suppressAutoHyphens/>
        <w:ind w:firstLine="720"/>
        <w:jc w:val="both"/>
        <w:rPr>
          <w:rFonts w:asciiTheme="majorHAnsi" w:hAnsiTheme="majorHAnsi"/>
          <w:spacing w:val="-2"/>
          <w:sz w:val="20"/>
          <w:szCs w:val="20"/>
        </w:rPr>
      </w:pPr>
      <w:r w:rsidRPr="006F3474">
        <w:rPr>
          <w:rFonts w:asciiTheme="majorHAnsi" w:hAnsiTheme="majorHAnsi"/>
          <w:spacing w:val="-2"/>
          <w:sz w:val="20"/>
          <w:szCs w:val="20"/>
        </w:rPr>
        <w:t xml:space="preserve">Approved by the Inter-American Commission on Human Rights on the </w:t>
      </w:r>
      <w:r>
        <w:rPr>
          <w:rFonts w:asciiTheme="majorHAnsi" w:hAnsiTheme="majorHAnsi"/>
          <w:spacing w:val="-2"/>
          <w:sz w:val="20"/>
          <w:szCs w:val="20"/>
        </w:rPr>
        <w:t>16</w:t>
      </w:r>
      <w:r w:rsidRPr="006F3474">
        <w:rPr>
          <w:rFonts w:asciiTheme="majorHAnsi" w:hAnsiTheme="majorHAnsi"/>
          <w:spacing w:val="-2"/>
          <w:sz w:val="20"/>
          <w:szCs w:val="20"/>
          <w:vertAlign w:val="superscript"/>
        </w:rPr>
        <w:t>th</w:t>
      </w:r>
      <w:r w:rsidRPr="006F3474">
        <w:rPr>
          <w:rFonts w:asciiTheme="majorHAnsi" w:hAnsiTheme="majorHAnsi"/>
          <w:spacing w:val="-2"/>
          <w:sz w:val="20"/>
          <w:szCs w:val="20"/>
        </w:rPr>
        <w:t xml:space="preserve"> day of the </w:t>
      </w:r>
      <w:r w:rsidR="009728D0">
        <w:rPr>
          <w:rFonts w:asciiTheme="majorHAnsi" w:hAnsiTheme="majorHAnsi"/>
          <w:spacing w:val="-2"/>
          <w:sz w:val="20"/>
          <w:szCs w:val="20"/>
        </w:rPr>
        <w:t xml:space="preserve">month of </w:t>
      </w:r>
      <w:bookmarkStart w:id="0" w:name="_GoBack"/>
      <w:bookmarkEnd w:id="0"/>
      <w:r>
        <w:rPr>
          <w:rFonts w:asciiTheme="majorHAnsi" w:hAnsiTheme="majorHAnsi"/>
          <w:spacing w:val="-2"/>
          <w:sz w:val="20"/>
          <w:szCs w:val="20"/>
        </w:rPr>
        <w:t>August</w:t>
      </w:r>
      <w:r w:rsidRPr="006F3474">
        <w:rPr>
          <w:rFonts w:asciiTheme="majorHAnsi" w:hAnsiTheme="majorHAnsi"/>
          <w:spacing w:val="-2"/>
          <w:sz w:val="20"/>
          <w:szCs w:val="20"/>
        </w:rPr>
        <w:t xml:space="preserve">, 2019. (Signed):  </w:t>
      </w:r>
      <w:r w:rsidRPr="006F3474">
        <w:rPr>
          <w:rFonts w:asciiTheme="majorHAnsi" w:hAnsiTheme="majorHAnsi" w:cs="Arial"/>
          <w:noProof/>
          <w:spacing w:val="-2"/>
          <w:sz w:val="20"/>
          <w:szCs w:val="20"/>
        </w:rPr>
        <w:t xml:space="preserve">Esmeralda E. Arosemena Bernal de Troitiño, </w:t>
      </w:r>
      <w:r w:rsidRPr="006F3474">
        <w:rPr>
          <w:rFonts w:asciiTheme="majorHAnsi" w:hAnsiTheme="majorHAnsi"/>
          <w:sz w:val="20"/>
          <w:szCs w:val="20"/>
        </w:rPr>
        <w:t xml:space="preserve">President; </w:t>
      </w:r>
      <w:r w:rsidRPr="006F3474">
        <w:rPr>
          <w:rFonts w:asciiTheme="majorHAnsi" w:hAnsiTheme="majorHAnsi" w:cs="Arial"/>
          <w:noProof/>
          <w:spacing w:val="-2"/>
          <w:sz w:val="20"/>
          <w:szCs w:val="20"/>
        </w:rPr>
        <w:t xml:space="preserve">Joel Hernández, </w:t>
      </w:r>
      <w:r w:rsidRPr="006F3474">
        <w:rPr>
          <w:rFonts w:asciiTheme="majorHAnsi" w:hAnsiTheme="majorHAnsi"/>
          <w:spacing w:val="-2"/>
          <w:sz w:val="20"/>
          <w:szCs w:val="20"/>
        </w:rPr>
        <w:t>First Vice President;</w:t>
      </w:r>
      <w:r w:rsidRPr="006F3474">
        <w:rPr>
          <w:rFonts w:asciiTheme="majorHAnsi" w:hAnsiTheme="majorHAnsi" w:cs="Arial"/>
          <w:noProof/>
          <w:spacing w:val="-2"/>
          <w:sz w:val="20"/>
          <w:szCs w:val="20"/>
        </w:rPr>
        <w:t xml:space="preserve"> Antonia Urrejola, Second Vice President; Margarette May Macaulay, Francisco José Eguiguren, and Luis Ernesto Vargas Silva</w:t>
      </w:r>
      <w:r w:rsidRPr="006F3474">
        <w:rPr>
          <w:rFonts w:asciiTheme="majorHAnsi" w:hAnsiTheme="majorHAnsi"/>
          <w:spacing w:val="-2"/>
          <w:sz w:val="20"/>
          <w:szCs w:val="20"/>
        </w:rPr>
        <w:t>.</w:t>
      </w:r>
    </w:p>
    <w:p w:rsidR="008D2777" w:rsidRPr="008D2777" w:rsidRDefault="008D2777" w:rsidP="008D27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8D2777" w:rsidRPr="008D277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C0" w:rsidRDefault="00873AC0" w:rsidP="00036A8A">
      <w:r>
        <w:separator/>
      </w:r>
    </w:p>
  </w:endnote>
  <w:endnote w:type="continuationSeparator" w:id="0">
    <w:p w:rsidR="00873AC0" w:rsidRDefault="00873AC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E5" w:rsidRDefault="00C7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C41B8D" w:rsidRPr="006311DA" w:rsidRDefault="00C41B8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728D0">
          <w:rPr>
            <w:noProof/>
            <w:sz w:val="16"/>
          </w:rPr>
          <w:t>4</w:t>
        </w:r>
        <w:r w:rsidRPr="006311DA">
          <w:rPr>
            <w:noProof/>
            <w:sz w:val="16"/>
          </w:rPr>
          <w:fldChar w:fldCharType="end"/>
        </w:r>
      </w:p>
    </w:sdtContent>
  </w:sdt>
  <w:p w:rsidR="00C41B8D" w:rsidRDefault="00C41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8D" w:rsidRDefault="00C41B8D">
    <w:pPr>
      <w:pStyle w:val="Footer"/>
      <w:jc w:val="center"/>
    </w:pPr>
  </w:p>
  <w:p w:rsidR="00C41B8D" w:rsidRDefault="00C41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C0" w:rsidRPr="00036A8A" w:rsidRDefault="00873AC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73AC0" w:rsidRPr="00036A8A" w:rsidRDefault="00873AC0" w:rsidP="00036A8A">
      <w:pPr>
        <w:rPr>
          <w:rFonts w:asciiTheme="majorHAnsi" w:hAnsiTheme="majorHAnsi"/>
          <w:sz w:val="16"/>
          <w:szCs w:val="16"/>
        </w:rPr>
      </w:pPr>
      <w:r w:rsidRPr="00036A8A">
        <w:rPr>
          <w:rFonts w:asciiTheme="majorHAnsi" w:hAnsiTheme="majorHAnsi"/>
          <w:sz w:val="16"/>
          <w:szCs w:val="16"/>
        </w:rPr>
        <w:separator/>
      </w:r>
    </w:p>
    <w:p w:rsidR="00873AC0" w:rsidRPr="00036A8A" w:rsidRDefault="00873AC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873AC0" w:rsidRPr="0093441A" w:rsidRDefault="00873AC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46DEB" w:rsidRPr="00F43293" w:rsidRDefault="00746DEB" w:rsidP="00E52664">
      <w:pPr>
        <w:pStyle w:val="FootnoteText"/>
        <w:jc w:val="both"/>
        <w:rPr>
          <w:rFonts w:asciiTheme="majorHAnsi" w:hAnsiTheme="majorHAnsi"/>
          <w:sz w:val="16"/>
          <w:szCs w:val="16"/>
        </w:rPr>
      </w:pPr>
      <w:r w:rsidRPr="00F43293">
        <w:rPr>
          <w:rStyle w:val="FootnoteReference"/>
          <w:rFonts w:asciiTheme="majorHAnsi" w:hAnsiTheme="majorHAnsi"/>
          <w:sz w:val="16"/>
          <w:szCs w:val="16"/>
        </w:rPr>
        <w:footnoteRef/>
      </w:r>
      <w:r w:rsidRPr="00F43293">
        <w:rPr>
          <w:rFonts w:asciiTheme="majorHAnsi" w:hAnsiTheme="majorHAnsi"/>
          <w:sz w:val="16"/>
          <w:szCs w:val="16"/>
        </w:rPr>
        <w:t xml:space="preserve"> </w:t>
      </w:r>
      <w:r>
        <w:rPr>
          <w:rFonts w:asciiTheme="majorHAnsi" w:hAnsiTheme="majorHAnsi"/>
          <w:sz w:val="16"/>
          <w:szCs w:val="16"/>
        </w:rPr>
        <w:t>The other alleged victims are</w:t>
      </w:r>
      <w:r w:rsidRPr="00F43293">
        <w:rPr>
          <w:rFonts w:asciiTheme="majorHAnsi" w:hAnsiTheme="majorHAnsi"/>
          <w:sz w:val="16"/>
          <w:szCs w:val="16"/>
        </w:rPr>
        <w:t xml:space="preserve"> Maria Aparecida Uterkircher Brezer (</w:t>
      </w:r>
      <w:r>
        <w:rPr>
          <w:rFonts w:asciiTheme="majorHAnsi" w:hAnsiTheme="majorHAnsi"/>
          <w:sz w:val="16"/>
          <w:szCs w:val="16"/>
        </w:rPr>
        <w:t>mother</w:t>
      </w:r>
      <w:r w:rsidRPr="00F43293">
        <w:rPr>
          <w:rFonts w:asciiTheme="majorHAnsi" w:hAnsiTheme="majorHAnsi"/>
          <w:sz w:val="16"/>
          <w:szCs w:val="16"/>
        </w:rPr>
        <w:t>), Benedito Ferreira Brezer (</w:t>
      </w:r>
      <w:r>
        <w:rPr>
          <w:rFonts w:asciiTheme="majorHAnsi" w:hAnsiTheme="majorHAnsi"/>
          <w:sz w:val="16"/>
          <w:szCs w:val="16"/>
        </w:rPr>
        <w:t>father</w:t>
      </w:r>
      <w:r w:rsidRPr="00F43293">
        <w:rPr>
          <w:rFonts w:asciiTheme="majorHAnsi" w:hAnsiTheme="majorHAnsi"/>
          <w:sz w:val="16"/>
          <w:szCs w:val="16"/>
        </w:rPr>
        <w:t>)</w:t>
      </w:r>
      <w:r>
        <w:rPr>
          <w:rFonts w:asciiTheme="majorHAnsi" w:hAnsiTheme="majorHAnsi"/>
          <w:sz w:val="16"/>
          <w:szCs w:val="16"/>
        </w:rPr>
        <w:t xml:space="preserve">, and </w:t>
      </w:r>
      <w:r w:rsidRPr="00F43293">
        <w:rPr>
          <w:rFonts w:asciiTheme="majorHAnsi" w:hAnsiTheme="majorHAnsi"/>
          <w:sz w:val="16"/>
          <w:szCs w:val="16"/>
        </w:rPr>
        <w:t>Deusa Aparecida Leme (</w:t>
      </w:r>
      <w:r>
        <w:rPr>
          <w:rFonts w:asciiTheme="majorHAnsi" w:hAnsiTheme="majorHAnsi"/>
          <w:sz w:val="16"/>
          <w:szCs w:val="16"/>
        </w:rPr>
        <w:t>witness</w:t>
      </w:r>
      <w:r w:rsidRPr="00F43293">
        <w:rPr>
          <w:rFonts w:asciiTheme="majorHAnsi" w:hAnsiTheme="majorHAnsi"/>
          <w:sz w:val="16"/>
          <w:szCs w:val="16"/>
        </w:rPr>
        <w:t>).</w:t>
      </w:r>
    </w:p>
  </w:footnote>
  <w:footnote w:id="3">
    <w:p w:rsidR="00746DEB" w:rsidRPr="00F43293" w:rsidRDefault="00746DEB" w:rsidP="00E52664">
      <w:pPr>
        <w:pStyle w:val="FootnoteText"/>
        <w:jc w:val="both"/>
        <w:rPr>
          <w:rFonts w:asciiTheme="majorHAnsi" w:hAnsiTheme="majorHAnsi"/>
          <w:sz w:val="16"/>
          <w:szCs w:val="16"/>
        </w:rPr>
      </w:pPr>
      <w:r w:rsidRPr="00F43293">
        <w:rPr>
          <w:rStyle w:val="FootnoteReference"/>
          <w:rFonts w:asciiTheme="majorHAnsi" w:hAnsiTheme="majorHAnsi"/>
          <w:sz w:val="16"/>
          <w:szCs w:val="16"/>
        </w:rPr>
        <w:footnoteRef/>
      </w:r>
      <w:r w:rsidRPr="00F43293">
        <w:rPr>
          <w:rFonts w:asciiTheme="majorHAnsi" w:hAnsiTheme="majorHAnsi"/>
          <w:sz w:val="16"/>
          <w:szCs w:val="16"/>
        </w:rPr>
        <w:t xml:space="preserve"> </w:t>
      </w:r>
      <w:r>
        <w:rPr>
          <w:rFonts w:asciiTheme="majorHAnsi" w:hAnsiTheme="majorHAnsi"/>
          <w:sz w:val="16"/>
          <w:szCs w:val="16"/>
        </w:rPr>
        <w:t xml:space="preserve">In keeping with Article </w:t>
      </w:r>
      <w:r w:rsidRPr="00F43293">
        <w:rPr>
          <w:rFonts w:asciiTheme="majorHAnsi" w:hAnsiTheme="majorHAnsi"/>
          <w:sz w:val="16"/>
          <w:szCs w:val="16"/>
        </w:rPr>
        <w:t>17</w:t>
      </w:r>
      <w:r>
        <w:rPr>
          <w:rFonts w:asciiTheme="majorHAnsi" w:hAnsiTheme="majorHAnsi"/>
          <w:sz w:val="16"/>
          <w:szCs w:val="16"/>
        </w:rPr>
        <w:t>(</w:t>
      </w:r>
      <w:r w:rsidRPr="00F43293">
        <w:rPr>
          <w:rFonts w:asciiTheme="majorHAnsi" w:hAnsiTheme="majorHAnsi"/>
          <w:sz w:val="16"/>
          <w:szCs w:val="16"/>
        </w:rPr>
        <w:t>2</w:t>
      </w:r>
      <w:r>
        <w:rPr>
          <w:rFonts w:asciiTheme="majorHAnsi" w:hAnsiTheme="majorHAnsi"/>
          <w:sz w:val="16"/>
          <w:szCs w:val="16"/>
        </w:rPr>
        <w:t>)(</w:t>
      </w:r>
      <w:r w:rsidRPr="00F43293">
        <w:rPr>
          <w:rFonts w:asciiTheme="majorHAnsi" w:hAnsiTheme="majorHAnsi"/>
          <w:sz w:val="16"/>
          <w:szCs w:val="16"/>
        </w:rPr>
        <w:t>a</w:t>
      </w:r>
      <w:r>
        <w:rPr>
          <w:rFonts w:asciiTheme="majorHAnsi" w:hAnsiTheme="majorHAnsi"/>
          <w:sz w:val="16"/>
          <w:szCs w:val="16"/>
        </w:rPr>
        <w:t>)</w:t>
      </w:r>
      <w:r w:rsidRPr="00F43293">
        <w:rPr>
          <w:rFonts w:asciiTheme="majorHAnsi" w:hAnsiTheme="majorHAnsi"/>
          <w:sz w:val="16"/>
          <w:szCs w:val="16"/>
        </w:rPr>
        <w:t xml:space="preserve"> </w:t>
      </w:r>
      <w:r>
        <w:rPr>
          <w:rFonts w:asciiTheme="majorHAnsi" w:hAnsiTheme="majorHAnsi"/>
          <w:sz w:val="16"/>
          <w:szCs w:val="16"/>
        </w:rPr>
        <w:t xml:space="preserve">of the Commission’s Rules of Procedure, Commissioner </w:t>
      </w:r>
      <w:r w:rsidRPr="00F43293">
        <w:rPr>
          <w:rFonts w:asciiTheme="majorHAnsi" w:hAnsiTheme="majorHAnsi"/>
          <w:sz w:val="16"/>
          <w:szCs w:val="16"/>
        </w:rPr>
        <w:t xml:space="preserve">Flávia Piovesan, </w:t>
      </w:r>
      <w:r>
        <w:rPr>
          <w:rFonts w:asciiTheme="majorHAnsi" w:hAnsiTheme="majorHAnsi"/>
          <w:sz w:val="16"/>
          <w:szCs w:val="16"/>
        </w:rPr>
        <w:t>of Brazilian nationality, did not participate in the deliberations or decision in the instant matter</w:t>
      </w:r>
      <w:r w:rsidRPr="00F43293">
        <w:rPr>
          <w:rFonts w:asciiTheme="majorHAnsi" w:hAnsiTheme="majorHAnsi"/>
          <w:sz w:val="16"/>
          <w:szCs w:val="16"/>
        </w:rPr>
        <w:t>.</w:t>
      </w:r>
    </w:p>
  </w:footnote>
  <w:footnote w:id="4">
    <w:p w:rsidR="00746DEB" w:rsidRPr="00F43293" w:rsidRDefault="00746DEB" w:rsidP="00513ECE">
      <w:pPr>
        <w:pStyle w:val="FootnoteText"/>
        <w:jc w:val="both"/>
        <w:rPr>
          <w:rFonts w:asciiTheme="majorHAnsi" w:hAnsiTheme="majorHAnsi"/>
          <w:sz w:val="16"/>
          <w:szCs w:val="16"/>
        </w:rPr>
      </w:pPr>
      <w:r w:rsidRPr="00F43293">
        <w:rPr>
          <w:rStyle w:val="FootnoteReference"/>
          <w:rFonts w:asciiTheme="majorHAnsi" w:hAnsiTheme="majorHAnsi"/>
          <w:sz w:val="16"/>
          <w:szCs w:val="16"/>
        </w:rPr>
        <w:footnoteRef/>
      </w:r>
      <w:r w:rsidRPr="00F43293">
        <w:rPr>
          <w:rFonts w:asciiTheme="majorHAnsi" w:hAnsiTheme="majorHAnsi"/>
          <w:sz w:val="16"/>
          <w:szCs w:val="16"/>
        </w:rPr>
        <w:t xml:space="preserve"> </w:t>
      </w:r>
      <w:r>
        <w:rPr>
          <w:rFonts w:asciiTheme="majorHAnsi" w:hAnsiTheme="majorHAnsi"/>
          <w:sz w:val="16"/>
          <w:szCs w:val="16"/>
        </w:rPr>
        <w:t xml:space="preserve">Hereinafter </w:t>
      </w:r>
      <w:r w:rsidRPr="00F43293">
        <w:rPr>
          <w:rFonts w:asciiTheme="majorHAnsi" w:hAnsiTheme="majorHAnsi"/>
          <w:sz w:val="16"/>
          <w:szCs w:val="16"/>
        </w:rPr>
        <w:t>“American</w:t>
      </w:r>
      <w:r>
        <w:rPr>
          <w:rFonts w:asciiTheme="majorHAnsi" w:hAnsiTheme="majorHAnsi"/>
          <w:sz w:val="16"/>
          <w:szCs w:val="16"/>
        </w:rPr>
        <w:t xml:space="preserve"> Convention.</w:t>
      </w:r>
      <w:r w:rsidRPr="00F43293">
        <w:rPr>
          <w:rFonts w:asciiTheme="majorHAnsi" w:hAnsiTheme="majorHAnsi"/>
          <w:sz w:val="16"/>
          <w:szCs w:val="16"/>
        </w:rPr>
        <w:t>”</w:t>
      </w:r>
    </w:p>
  </w:footnote>
  <w:footnote w:id="5">
    <w:p w:rsidR="00C41B8D" w:rsidRPr="00F43293" w:rsidRDefault="00C41B8D" w:rsidP="00F43293">
      <w:pPr>
        <w:pStyle w:val="FootnoteText"/>
        <w:jc w:val="both"/>
        <w:rPr>
          <w:rFonts w:ascii="Cambria" w:hAnsi="Cambria"/>
          <w:sz w:val="16"/>
          <w:szCs w:val="16"/>
        </w:rPr>
      </w:pPr>
      <w:r w:rsidRPr="00F43293">
        <w:rPr>
          <w:rStyle w:val="FootnoteReference"/>
          <w:rFonts w:ascii="Cambria" w:hAnsi="Cambria"/>
          <w:sz w:val="16"/>
          <w:szCs w:val="16"/>
        </w:rPr>
        <w:footnoteRef/>
      </w:r>
      <w:r w:rsidRPr="00F43293">
        <w:rPr>
          <w:rFonts w:ascii="Cambria" w:hAnsi="Cambria"/>
          <w:sz w:val="16"/>
          <w:szCs w:val="16"/>
        </w:rPr>
        <w:t xml:space="preserve"> The observations submitted by each party were duly transmitted to the opposing party.</w:t>
      </w:r>
    </w:p>
  </w:footnote>
  <w:footnote w:id="6">
    <w:p w:rsidR="00C41B8D" w:rsidRPr="00F43293" w:rsidRDefault="00C41B8D" w:rsidP="00513ECE">
      <w:pPr>
        <w:pStyle w:val="FootnoteText"/>
        <w:jc w:val="both"/>
        <w:rPr>
          <w:rFonts w:asciiTheme="majorHAnsi" w:hAnsiTheme="majorHAnsi"/>
          <w:sz w:val="16"/>
          <w:szCs w:val="16"/>
        </w:rPr>
      </w:pPr>
      <w:r w:rsidRPr="00F43293">
        <w:rPr>
          <w:rStyle w:val="FootnoteReference"/>
          <w:rFonts w:asciiTheme="majorHAnsi" w:hAnsiTheme="majorHAnsi"/>
          <w:sz w:val="16"/>
          <w:szCs w:val="16"/>
        </w:rPr>
        <w:footnoteRef/>
      </w:r>
      <w:r w:rsidRPr="00F43293">
        <w:rPr>
          <w:rFonts w:asciiTheme="majorHAnsi" w:hAnsiTheme="majorHAnsi"/>
          <w:sz w:val="16"/>
          <w:szCs w:val="16"/>
        </w:rPr>
        <w:t xml:space="preserve"> </w:t>
      </w:r>
      <w:r w:rsidR="00AA79E6">
        <w:rPr>
          <w:rFonts w:asciiTheme="majorHAnsi" w:hAnsiTheme="majorHAnsi"/>
          <w:sz w:val="16"/>
          <w:szCs w:val="16"/>
        </w:rPr>
        <w:t>IACHR</w:t>
      </w:r>
      <w:r w:rsidRPr="00F43293">
        <w:rPr>
          <w:rFonts w:asciiTheme="majorHAnsi" w:hAnsiTheme="majorHAnsi"/>
          <w:sz w:val="16"/>
          <w:szCs w:val="16"/>
        </w:rPr>
        <w:t xml:space="preserve">. </w:t>
      </w:r>
      <w:r w:rsidR="00AA79E6">
        <w:rPr>
          <w:rFonts w:asciiTheme="majorHAnsi" w:hAnsiTheme="majorHAnsi"/>
          <w:sz w:val="16"/>
          <w:szCs w:val="16"/>
        </w:rPr>
        <w:t xml:space="preserve">Report No. </w:t>
      </w:r>
      <w:r w:rsidRPr="00F43293">
        <w:rPr>
          <w:rFonts w:asciiTheme="majorHAnsi" w:hAnsiTheme="majorHAnsi"/>
          <w:sz w:val="16"/>
          <w:szCs w:val="16"/>
        </w:rPr>
        <w:t>159/17. Admis</w:t>
      </w:r>
      <w:r w:rsidR="00AA79E6">
        <w:rPr>
          <w:rFonts w:asciiTheme="majorHAnsi" w:hAnsiTheme="majorHAnsi"/>
          <w:sz w:val="16"/>
          <w:szCs w:val="16"/>
        </w:rPr>
        <w:t>s</w:t>
      </w:r>
      <w:r w:rsidRPr="00F43293">
        <w:rPr>
          <w:rFonts w:asciiTheme="majorHAnsi" w:hAnsiTheme="majorHAnsi"/>
          <w:sz w:val="16"/>
          <w:szCs w:val="16"/>
        </w:rPr>
        <w:t>ibili</w:t>
      </w:r>
      <w:r w:rsidR="00AA79E6">
        <w:rPr>
          <w:rFonts w:asciiTheme="majorHAnsi" w:hAnsiTheme="majorHAnsi"/>
          <w:sz w:val="16"/>
          <w:szCs w:val="16"/>
        </w:rPr>
        <w:t>ty</w:t>
      </w:r>
      <w:r w:rsidRPr="00F43293">
        <w:rPr>
          <w:rFonts w:asciiTheme="majorHAnsi" w:hAnsiTheme="majorHAnsi"/>
          <w:sz w:val="16"/>
          <w:szCs w:val="16"/>
        </w:rPr>
        <w:t xml:space="preserve">. Sebastián Larroza Velásquez </w:t>
      </w:r>
      <w:r w:rsidR="00AA79E6">
        <w:rPr>
          <w:rFonts w:asciiTheme="majorHAnsi" w:hAnsiTheme="majorHAnsi"/>
          <w:sz w:val="16"/>
          <w:szCs w:val="16"/>
        </w:rPr>
        <w:t>and family</w:t>
      </w:r>
      <w:r w:rsidRPr="00F43293">
        <w:rPr>
          <w:rFonts w:asciiTheme="majorHAnsi" w:hAnsiTheme="majorHAnsi"/>
          <w:sz w:val="16"/>
          <w:szCs w:val="16"/>
        </w:rPr>
        <w:t>. Paragua</w:t>
      </w:r>
      <w:r w:rsidR="00AA79E6">
        <w:rPr>
          <w:rFonts w:asciiTheme="majorHAnsi" w:hAnsiTheme="majorHAnsi"/>
          <w:sz w:val="16"/>
          <w:szCs w:val="16"/>
        </w:rPr>
        <w:t>y</w:t>
      </w:r>
      <w:r w:rsidRPr="00F43293">
        <w:rPr>
          <w:rFonts w:asciiTheme="majorHAnsi" w:hAnsiTheme="majorHAnsi"/>
          <w:sz w:val="16"/>
          <w:szCs w:val="16"/>
        </w:rPr>
        <w:t xml:space="preserve">. </w:t>
      </w:r>
      <w:r w:rsidR="00AA79E6">
        <w:rPr>
          <w:rFonts w:asciiTheme="majorHAnsi" w:hAnsiTheme="majorHAnsi"/>
          <w:sz w:val="16"/>
          <w:szCs w:val="16"/>
        </w:rPr>
        <w:t xml:space="preserve">November </w:t>
      </w:r>
      <w:r w:rsidRPr="00F43293">
        <w:rPr>
          <w:rFonts w:asciiTheme="majorHAnsi" w:hAnsiTheme="majorHAnsi"/>
          <w:sz w:val="16"/>
          <w:szCs w:val="16"/>
        </w:rPr>
        <w:t>30</w:t>
      </w:r>
      <w:r w:rsidR="00AA79E6">
        <w:rPr>
          <w:rFonts w:asciiTheme="majorHAnsi" w:hAnsiTheme="majorHAnsi"/>
          <w:sz w:val="16"/>
          <w:szCs w:val="16"/>
        </w:rPr>
        <w:t>,</w:t>
      </w:r>
      <w:r w:rsidRPr="00F43293">
        <w:rPr>
          <w:rFonts w:asciiTheme="majorHAnsi" w:hAnsiTheme="majorHAnsi"/>
          <w:sz w:val="16"/>
          <w:szCs w:val="16"/>
        </w:rPr>
        <w:t xml:space="preserve"> 2017, par</w:t>
      </w:r>
      <w:r w:rsidR="00AA79E6">
        <w:rPr>
          <w:rFonts w:asciiTheme="majorHAnsi" w:hAnsiTheme="majorHAnsi"/>
          <w:sz w:val="16"/>
          <w:szCs w:val="16"/>
        </w:rPr>
        <w:t>a</w:t>
      </w:r>
      <w:r w:rsidRPr="00F43293">
        <w:rPr>
          <w:rFonts w:asciiTheme="majorHAnsi" w:hAnsiTheme="majorHAnsi"/>
          <w:sz w:val="16"/>
          <w:szCs w:val="16"/>
        </w:rPr>
        <w:t>. 14.</w:t>
      </w:r>
    </w:p>
  </w:footnote>
  <w:footnote w:id="7">
    <w:p w:rsidR="00C41B8D" w:rsidRPr="00F43293" w:rsidRDefault="00C41B8D" w:rsidP="00513ECE">
      <w:pPr>
        <w:pStyle w:val="FootnoteText"/>
        <w:jc w:val="both"/>
        <w:rPr>
          <w:rFonts w:asciiTheme="majorHAnsi" w:hAnsiTheme="majorHAnsi"/>
          <w:sz w:val="16"/>
          <w:szCs w:val="16"/>
        </w:rPr>
      </w:pPr>
      <w:r w:rsidRPr="00F43293">
        <w:rPr>
          <w:rStyle w:val="FootnoteReference"/>
          <w:rFonts w:asciiTheme="majorHAnsi" w:hAnsiTheme="majorHAnsi"/>
          <w:sz w:val="16"/>
          <w:szCs w:val="16"/>
        </w:rPr>
        <w:footnoteRef/>
      </w:r>
      <w:r w:rsidRPr="00F43293">
        <w:rPr>
          <w:rFonts w:asciiTheme="majorHAnsi" w:hAnsiTheme="majorHAnsi"/>
          <w:sz w:val="16"/>
          <w:szCs w:val="16"/>
        </w:rPr>
        <w:t xml:space="preserve"> </w:t>
      </w:r>
      <w:r w:rsidR="00776143">
        <w:rPr>
          <w:rFonts w:asciiTheme="majorHAnsi" w:hAnsiTheme="majorHAnsi"/>
          <w:sz w:val="16"/>
          <w:szCs w:val="16"/>
        </w:rPr>
        <w:t>IACHR</w:t>
      </w:r>
      <w:r w:rsidRPr="00F43293">
        <w:rPr>
          <w:rFonts w:asciiTheme="majorHAnsi" w:hAnsiTheme="majorHAnsi"/>
          <w:sz w:val="16"/>
          <w:szCs w:val="16"/>
        </w:rPr>
        <w:t xml:space="preserve">. </w:t>
      </w:r>
      <w:r w:rsidR="00AA79E6">
        <w:rPr>
          <w:rFonts w:asciiTheme="majorHAnsi" w:hAnsiTheme="majorHAnsi"/>
          <w:sz w:val="16"/>
          <w:szCs w:val="16"/>
        </w:rPr>
        <w:t>Report No.</w:t>
      </w:r>
      <w:r w:rsidRPr="00F43293">
        <w:rPr>
          <w:rFonts w:asciiTheme="majorHAnsi" w:hAnsiTheme="majorHAnsi"/>
          <w:sz w:val="16"/>
          <w:szCs w:val="16"/>
        </w:rPr>
        <w:t xml:space="preserve"> 105/17. Peti</w:t>
      </w:r>
      <w:r w:rsidR="00AA79E6">
        <w:rPr>
          <w:rFonts w:asciiTheme="majorHAnsi" w:hAnsiTheme="majorHAnsi"/>
          <w:sz w:val="16"/>
          <w:szCs w:val="16"/>
        </w:rPr>
        <w:t xml:space="preserve">tion </w:t>
      </w:r>
      <w:r w:rsidRPr="00F43293">
        <w:rPr>
          <w:rFonts w:asciiTheme="majorHAnsi" w:hAnsiTheme="majorHAnsi"/>
          <w:sz w:val="16"/>
          <w:szCs w:val="16"/>
        </w:rPr>
        <w:t>798-07. Admissibili</w:t>
      </w:r>
      <w:r w:rsidR="00AA79E6">
        <w:rPr>
          <w:rFonts w:asciiTheme="majorHAnsi" w:hAnsiTheme="majorHAnsi"/>
          <w:sz w:val="16"/>
          <w:szCs w:val="16"/>
        </w:rPr>
        <w:t>ty</w:t>
      </w:r>
      <w:r w:rsidRPr="00F43293">
        <w:rPr>
          <w:rFonts w:asciiTheme="majorHAnsi" w:hAnsiTheme="majorHAnsi"/>
          <w:sz w:val="16"/>
          <w:szCs w:val="16"/>
        </w:rPr>
        <w:t>. David Valderrama Opazo e</w:t>
      </w:r>
      <w:r w:rsidR="00AA79E6">
        <w:rPr>
          <w:rFonts w:asciiTheme="majorHAnsi" w:hAnsiTheme="majorHAnsi"/>
          <w:sz w:val="16"/>
          <w:szCs w:val="16"/>
        </w:rPr>
        <w:t>t</w:t>
      </w:r>
      <w:r w:rsidRPr="00F43293">
        <w:rPr>
          <w:rFonts w:asciiTheme="majorHAnsi" w:hAnsiTheme="majorHAnsi"/>
          <w:sz w:val="16"/>
          <w:szCs w:val="16"/>
        </w:rPr>
        <w:t xml:space="preserve"> </w:t>
      </w:r>
      <w:r w:rsidR="00AA79E6">
        <w:rPr>
          <w:rFonts w:asciiTheme="majorHAnsi" w:hAnsiTheme="majorHAnsi"/>
          <w:sz w:val="16"/>
          <w:szCs w:val="16"/>
        </w:rPr>
        <w:t>al</w:t>
      </w:r>
      <w:r w:rsidRPr="00F43293">
        <w:rPr>
          <w:rFonts w:asciiTheme="majorHAnsi" w:hAnsiTheme="majorHAnsi"/>
          <w:sz w:val="16"/>
          <w:szCs w:val="16"/>
        </w:rPr>
        <w:t xml:space="preserve">. Chile. </w:t>
      </w:r>
      <w:r w:rsidR="00AA79E6">
        <w:rPr>
          <w:rFonts w:asciiTheme="majorHAnsi" w:hAnsiTheme="majorHAnsi"/>
          <w:sz w:val="16"/>
          <w:szCs w:val="16"/>
        </w:rPr>
        <w:t xml:space="preserve">September </w:t>
      </w:r>
      <w:r w:rsidRPr="00F43293">
        <w:rPr>
          <w:rFonts w:asciiTheme="majorHAnsi" w:hAnsiTheme="majorHAnsi"/>
          <w:sz w:val="16"/>
          <w:szCs w:val="16"/>
        </w:rPr>
        <w:t>7</w:t>
      </w:r>
      <w:r w:rsidR="00AA79E6">
        <w:rPr>
          <w:rFonts w:asciiTheme="majorHAnsi" w:hAnsiTheme="majorHAnsi"/>
          <w:sz w:val="16"/>
          <w:szCs w:val="16"/>
        </w:rPr>
        <w:t>,</w:t>
      </w:r>
      <w:r w:rsidRPr="00F43293">
        <w:rPr>
          <w:rFonts w:asciiTheme="majorHAnsi" w:hAnsiTheme="majorHAnsi"/>
          <w:sz w:val="16"/>
          <w:szCs w:val="16"/>
        </w:rPr>
        <w:t xml:space="preserve"> 2017, par</w:t>
      </w:r>
      <w:r w:rsidR="00AA79E6">
        <w:rPr>
          <w:rFonts w:asciiTheme="majorHAnsi" w:hAnsiTheme="majorHAnsi"/>
          <w:sz w:val="16"/>
          <w:szCs w:val="16"/>
        </w:rPr>
        <w:t>a</w:t>
      </w:r>
      <w:r w:rsidRPr="00F43293">
        <w:rPr>
          <w:rFonts w:asciiTheme="majorHAnsi" w:hAnsiTheme="majorHAnsi"/>
          <w:sz w:val="16"/>
          <w:szCs w:val="16"/>
        </w:rPr>
        <w:t xml:space="preserve">. 11; </w:t>
      </w:r>
      <w:r w:rsidR="00776143">
        <w:rPr>
          <w:rFonts w:asciiTheme="majorHAnsi" w:hAnsiTheme="majorHAnsi"/>
          <w:sz w:val="16"/>
          <w:szCs w:val="16"/>
        </w:rPr>
        <w:t>IACHR</w:t>
      </w:r>
      <w:r w:rsidRPr="00F43293">
        <w:rPr>
          <w:rFonts w:asciiTheme="majorHAnsi" w:hAnsiTheme="majorHAnsi"/>
          <w:sz w:val="16"/>
          <w:szCs w:val="16"/>
        </w:rPr>
        <w:t xml:space="preserve">, </w:t>
      </w:r>
      <w:r w:rsidR="00AA79E6">
        <w:rPr>
          <w:rFonts w:asciiTheme="majorHAnsi" w:hAnsiTheme="majorHAnsi"/>
          <w:sz w:val="16"/>
          <w:szCs w:val="16"/>
        </w:rPr>
        <w:t>Report No.</w:t>
      </w:r>
      <w:r w:rsidRPr="00F43293">
        <w:rPr>
          <w:rFonts w:asciiTheme="majorHAnsi" w:hAnsiTheme="majorHAnsi"/>
          <w:sz w:val="16"/>
          <w:szCs w:val="16"/>
        </w:rPr>
        <w:t xml:space="preserve"> 78/16. Pet</w:t>
      </w:r>
      <w:r w:rsidR="00AA79E6">
        <w:rPr>
          <w:rFonts w:asciiTheme="majorHAnsi" w:hAnsiTheme="majorHAnsi"/>
          <w:sz w:val="16"/>
          <w:szCs w:val="16"/>
        </w:rPr>
        <w:t>ition</w:t>
      </w:r>
      <w:r w:rsidRPr="00F43293">
        <w:rPr>
          <w:rFonts w:asciiTheme="majorHAnsi" w:hAnsiTheme="majorHAnsi"/>
          <w:sz w:val="16"/>
          <w:szCs w:val="16"/>
        </w:rPr>
        <w:t xml:space="preserve"> 1170-09. Admissibili</w:t>
      </w:r>
      <w:r w:rsidR="00AA79E6">
        <w:rPr>
          <w:rFonts w:asciiTheme="majorHAnsi" w:hAnsiTheme="majorHAnsi"/>
          <w:sz w:val="16"/>
          <w:szCs w:val="16"/>
        </w:rPr>
        <w:t>ty</w:t>
      </w:r>
      <w:r w:rsidRPr="00F43293">
        <w:rPr>
          <w:rFonts w:asciiTheme="majorHAnsi" w:hAnsiTheme="majorHAnsi"/>
          <w:sz w:val="16"/>
          <w:szCs w:val="16"/>
        </w:rPr>
        <w:t>. Amir Muniz da Silva. Br</w:t>
      </w:r>
      <w:r w:rsidR="00AA79E6">
        <w:rPr>
          <w:rFonts w:asciiTheme="majorHAnsi" w:hAnsiTheme="majorHAnsi"/>
          <w:sz w:val="16"/>
          <w:szCs w:val="16"/>
        </w:rPr>
        <w:t>az</w:t>
      </w:r>
      <w:r w:rsidRPr="00F43293">
        <w:rPr>
          <w:rFonts w:asciiTheme="majorHAnsi" w:hAnsiTheme="majorHAnsi"/>
          <w:sz w:val="16"/>
          <w:szCs w:val="16"/>
        </w:rPr>
        <w:t xml:space="preserve">il. </w:t>
      </w:r>
      <w:r w:rsidR="00AA79E6">
        <w:rPr>
          <w:rFonts w:asciiTheme="majorHAnsi" w:hAnsiTheme="majorHAnsi"/>
          <w:sz w:val="16"/>
          <w:szCs w:val="16"/>
        </w:rPr>
        <w:t xml:space="preserve">December </w:t>
      </w:r>
      <w:r w:rsidRPr="00F43293">
        <w:rPr>
          <w:rFonts w:asciiTheme="majorHAnsi" w:hAnsiTheme="majorHAnsi"/>
          <w:sz w:val="16"/>
          <w:szCs w:val="16"/>
        </w:rPr>
        <w:t>30</w:t>
      </w:r>
      <w:r w:rsidR="00AA79E6">
        <w:rPr>
          <w:rFonts w:asciiTheme="majorHAnsi" w:hAnsiTheme="majorHAnsi"/>
          <w:sz w:val="16"/>
          <w:szCs w:val="16"/>
        </w:rPr>
        <w:t>,</w:t>
      </w:r>
      <w:r w:rsidRPr="00F43293">
        <w:rPr>
          <w:rFonts w:asciiTheme="majorHAnsi" w:hAnsiTheme="majorHAnsi"/>
          <w:sz w:val="16"/>
          <w:szCs w:val="16"/>
        </w:rPr>
        <w:t xml:space="preserve"> 2016, par</w:t>
      </w:r>
      <w:r w:rsidR="00AA79E6">
        <w:rPr>
          <w:rFonts w:asciiTheme="majorHAnsi" w:hAnsiTheme="majorHAnsi"/>
          <w:sz w:val="16"/>
          <w:szCs w:val="16"/>
        </w:rPr>
        <w:t>a</w:t>
      </w:r>
      <w:r w:rsidRPr="00F43293">
        <w:rPr>
          <w:rFonts w:asciiTheme="majorHAnsi" w:hAnsiTheme="majorHAnsi"/>
          <w:sz w:val="16"/>
          <w:szCs w:val="16"/>
        </w:rP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8D" w:rsidRDefault="00C41B8D" w:rsidP="00C41B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41B8D" w:rsidRDefault="00C41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8D" w:rsidRDefault="00C41B8D"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41B8D" w:rsidRPr="00EC7D62" w:rsidRDefault="00873AC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E5" w:rsidRDefault="00C7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BD"/>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2120"/>
    <w:rsid w:val="00145EDC"/>
    <w:rsid w:val="00153084"/>
    <w:rsid w:val="00167A34"/>
    <w:rsid w:val="001714B4"/>
    <w:rsid w:val="0018037F"/>
    <w:rsid w:val="00190757"/>
    <w:rsid w:val="001A12EA"/>
    <w:rsid w:val="001A5F27"/>
    <w:rsid w:val="001A65E4"/>
    <w:rsid w:val="001A7870"/>
    <w:rsid w:val="001C1B41"/>
    <w:rsid w:val="001D3742"/>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F10CB"/>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B24F2"/>
    <w:rsid w:val="003C0CC8"/>
    <w:rsid w:val="003C32BC"/>
    <w:rsid w:val="003D7D2A"/>
    <w:rsid w:val="003E3E03"/>
    <w:rsid w:val="003F1BBF"/>
    <w:rsid w:val="004162B1"/>
    <w:rsid w:val="004165C2"/>
    <w:rsid w:val="00425006"/>
    <w:rsid w:val="00450A4A"/>
    <w:rsid w:val="004666FB"/>
    <w:rsid w:val="00466D0B"/>
    <w:rsid w:val="00467B7E"/>
    <w:rsid w:val="0049419D"/>
    <w:rsid w:val="004A272A"/>
    <w:rsid w:val="004B2762"/>
    <w:rsid w:val="004B7EB6"/>
    <w:rsid w:val="004C2291"/>
    <w:rsid w:val="004C41DE"/>
    <w:rsid w:val="004C4B62"/>
    <w:rsid w:val="004D6025"/>
    <w:rsid w:val="004D72BC"/>
    <w:rsid w:val="004F6B67"/>
    <w:rsid w:val="00501399"/>
    <w:rsid w:val="00507BC4"/>
    <w:rsid w:val="005128E4"/>
    <w:rsid w:val="00513ECE"/>
    <w:rsid w:val="00525560"/>
    <w:rsid w:val="005357A6"/>
    <w:rsid w:val="00544C49"/>
    <w:rsid w:val="00571F30"/>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1B10"/>
    <w:rsid w:val="00613027"/>
    <w:rsid w:val="00627C9F"/>
    <w:rsid w:val="006311DA"/>
    <w:rsid w:val="006311E9"/>
    <w:rsid w:val="006318B2"/>
    <w:rsid w:val="00632354"/>
    <w:rsid w:val="00642810"/>
    <w:rsid w:val="00652333"/>
    <w:rsid w:val="00653EA6"/>
    <w:rsid w:val="0068009E"/>
    <w:rsid w:val="006A17D2"/>
    <w:rsid w:val="006A707A"/>
    <w:rsid w:val="006A73E6"/>
    <w:rsid w:val="006B2D5C"/>
    <w:rsid w:val="006C4EB1"/>
    <w:rsid w:val="006D4707"/>
    <w:rsid w:val="006E0166"/>
    <w:rsid w:val="006E7B34"/>
    <w:rsid w:val="006F3474"/>
    <w:rsid w:val="00701B24"/>
    <w:rsid w:val="0071495F"/>
    <w:rsid w:val="0073798E"/>
    <w:rsid w:val="00745899"/>
    <w:rsid w:val="00746DEB"/>
    <w:rsid w:val="0075218C"/>
    <w:rsid w:val="007607C4"/>
    <w:rsid w:val="0076643F"/>
    <w:rsid w:val="00776143"/>
    <w:rsid w:val="00781653"/>
    <w:rsid w:val="007A2F70"/>
    <w:rsid w:val="007C237A"/>
    <w:rsid w:val="007C3334"/>
    <w:rsid w:val="007C52BB"/>
    <w:rsid w:val="007D2B98"/>
    <w:rsid w:val="00803F1C"/>
    <w:rsid w:val="0080600E"/>
    <w:rsid w:val="00817612"/>
    <w:rsid w:val="00837C45"/>
    <w:rsid w:val="00853419"/>
    <w:rsid w:val="00873AC0"/>
    <w:rsid w:val="00897E12"/>
    <w:rsid w:val="008D2777"/>
    <w:rsid w:val="008D43BA"/>
    <w:rsid w:val="008E0C48"/>
    <w:rsid w:val="008E3759"/>
    <w:rsid w:val="009041DC"/>
    <w:rsid w:val="009104B4"/>
    <w:rsid w:val="009228DA"/>
    <w:rsid w:val="00925FCD"/>
    <w:rsid w:val="0093441A"/>
    <w:rsid w:val="00954BF7"/>
    <w:rsid w:val="0096706E"/>
    <w:rsid w:val="009728D0"/>
    <w:rsid w:val="009746D4"/>
    <w:rsid w:val="00981FBA"/>
    <w:rsid w:val="00984A1E"/>
    <w:rsid w:val="009B14DF"/>
    <w:rsid w:val="009B381B"/>
    <w:rsid w:val="009D7611"/>
    <w:rsid w:val="009E284B"/>
    <w:rsid w:val="009E53DE"/>
    <w:rsid w:val="009E566A"/>
    <w:rsid w:val="00A12DBC"/>
    <w:rsid w:val="00A43458"/>
    <w:rsid w:val="00A528D1"/>
    <w:rsid w:val="00A66BE5"/>
    <w:rsid w:val="00AA79E6"/>
    <w:rsid w:val="00AD37C1"/>
    <w:rsid w:val="00AE66EC"/>
    <w:rsid w:val="00AE6F91"/>
    <w:rsid w:val="00AE73A7"/>
    <w:rsid w:val="00AF2D6A"/>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E135D"/>
    <w:rsid w:val="00C21762"/>
    <w:rsid w:val="00C24543"/>
    <w:rsid w:val="00C256A2"/>
    <w:rsid w:val="00C3492D"/>
    <w:rsid w:val="00C41B8D"/>
    <w:rsid w:val="00C55560"/>
    <w:rsid w:val="00C6360C"/>
    <w:rsid w:val="00C66B72"/>
    <w:rsid w:val="00C75DE5"/>
    <w:rsid w:val="00C836A9"/>
    <w:rsid w:val="00C9567A"/>
    <w:rsid w:val="00CA0F9B"/>
    <w:rsid w:val="00CA6577"/>
    <w:rsid w:val="00CB2660"/>
    <w:rsid w:val="00CC5E90"/>
    <w:rsid w:val="00CD046C"/>
    <w:rsid w:val="00CE5199"/>
    <w:rsid w:val="00CE66D5"/>
    <w:rsid w:val="00D34786"/>
    <w:rsid w:val="00D40A1E"/>
    <w:rsid w:val="00D466DC"/>
    <w:rsid w:val="00D533C0"/>
    <w:rsid w:val="00D712D3"/>
    <w:rsid w:val="00D71422"/>
    <w:rsid w:val="00D7145E"/>
    <w:rsid w:val="00D75084"/>
    <w:rsid w:val="00D7558D"/>
    <w:rsid w:val="00D81D92"/>
    <w:rsid w:val="00D93446"/>
    <w:rsid w:val="00DA6C5B"/>
    <w:rsid w:val="00DA7B5F"/>
    <w:rsid w:val="00DE237B"/>
    <w:rsid w:val="00DF078B"/>
    <w:rsid w:val="00DF350D"/>
    <w:rsid w:val="00E227C1"/>
    <w:rsid w:val="00E43157"/>
    <w:rsid w:val="00E47F3D"/>
    <w:rsid w:val="00E512A9"/>
    <w:rsid w:val="00E52664"/>
    <w:rsid w:val="00E533FF"/>
    <w:rsid w:val="00E65CE1"/>
    <w:rsid w:val="00E709B3"/>
    <w:rsid w:val="00E7588C"/>
    <w:rsid w:val="00E850B6"/>
    <w:rsid w:val="00E8789F"/>
    <w:rsid w:val="00E97B71"/>
    <w:rsid w:val="00EA6348"/>
    <w:rsid w:val="00EB454D"/>
    <w:rsid w:val="00ED0D1B"/>
    <w:rsid w:val="00EE3522"/>
    <w:rsid w:val="00EF619B"/>
    <w:rsid w:val="00F00B55"/>
    <w:rsid w:val="00F1380F"/>
    <w:rsid w:val="00F14F0E"/>
    <w:rsid w:val="00F15A3B"/>
    <w:rsid w:val="00F24C29"/>
    <w:rsid w:val="00F253CC"/>
    <w:rsid w:val="00F42B71"/>
    <w:rsid w:val="00F43293"/>
    <w:rsid w:val="00F56BA5"/>
    <w:rsid w:val="00F621C3"/>
    <w:rsid w:val="00F644E6"/>
    <w:rsid w:val="00F9653B"/>
    <w:rsid w:val="00FB62CF"/>
    <w:rsid w:val="00FB64E2"/>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043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05EC-4B62-4735-B57F-C7A909DB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128/19</dc:title>
  <dc:creator/>
  <cp:lastModifiedBy/>
  <cp:revision>1</cp:revision>
  <dcterms:created xsi:type="dcterms:W3CDTF">2020-05-12T15:29:00Z</dcterms:created>
  <dcterms:modified xsi:type="dcterms:W3CDTF">2020-05-13T18:08:00Z</dcterms:modified>
</cp:coreProperties>
</file>