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0C0219" w:rsidRDefault="006311DA" w:rsidP="00627C9F">
      <w:pPr>
        <w:jc w:val="both"/>
        <w:rPr>
          <w:rFonts w:asciiTheme="majorHAnsi" w:hAnsiTheme="majorHAnsi" w:cs="Univers"/>
          <w:b/>
          <w:bCs/>
          <w:sz w:val="22"/>
          <w:szCs w:val="22"/>
          <w:lang w:val="es-ES_tradnl"/>
        </w:rPr>
      </w:pPr>
      <w:bookmarkStart w:id="0" w:name="_GoBack"/>
      <w:bookmarkEnd w:id="0"/>
      <w:r w:rsidRPr="000C0219">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E01B5"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0C0219">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0C0219"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0C0219"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0C0219"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0C0219"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0C0219"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0C0219"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0C0219"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0C0219"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0C0219"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0C0219"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0C0219"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0C0219"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0C0219"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0C0219" w:rsidRDefault="00E533FF" w:rsidP="00040C3A">
      <w:pPr>
        <w:tabs>
          <w:tab w:val="center" w:pos="5400"/>
        </w:tabs>
        <w:suppressAutoHyphens/>
        <w:jc w:val="center"/>
        <w:rPr>
          <w:rFonts w:asciiTheme="majorHAnsi" w:hAnsiTheme="majorHAnsi"/>
          <w:sz w:val="22"/>
          <w:szCs w:val="22"/>
          <w:lang w:val="es-ES_tradnl"/>
        </w:rPr>
      </w:pPr>
      <w:r w:rsidRPr="000C0219">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4C1FF3A0"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9A159E">
                              <w:rPr>
                                <w:rFonts w:asciiTheme="majorHAnsi" w:hAnsiTheme="majorHAnsi" w:cs="Arial"/>
                                <w:b/>
                                <w:bCs/>
                                <w:color w:val="0D0D0D" w:themeColor="text1" w:themeTint="F2"/>
                                <w:sz w:val="36"/>
                                <w:szCs w:val="40"/>
                              </w:rPr>
                              <w:t>52</w:t>
                            </w:r>
                            <w:r w:rsidR="00322450" w:rsidRPr="004B7EB6">
                              <w:rPr>
                                <w:rFonts w:asciiTheme="majorHAnsi" w:hAnsiTheme="majorHAnsi" w:cs="Arial"/>
                                <w:b/>
                                <w:bCs/>
                                <w:color w:val="0D0D0D" w:themeColor="text1" w:themeTint="F2"/>
                                <w:sz w:val="36"/>
                                <w:szCs w:val="40"/>
                              </w:rPr>
                              <w:t>/1</w:t>
                            </w:r>
                            <w:r w:rsidR="004E0D29">
                              <w:rPr>
                                <w:rFonts w:asciiTheme="majorHAnsi" w:hAnsiTheme="majorHAnsi" w:cs="Arial"/>
                                <w:b/>
                                <w:bCs/>
                                <w:color w:val="0D0D0D" w:themeColor="text1" w:themeTint="F2"/>
                                <w:sz w:val="36"/>
                                <w:szCs w:val="40"/>
                              </w:rPr>
                              <w:t>8</w:t>
                            </w:r>
                          </w:p>
                          <w:p w14:paraId="081F51F3" w14:textId="7C0B25DF"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9A159E">
                              <w:rPr>
                                <w:rFonts w:asciiTheme="majorHAnsi" w:hAnsiTheme="majorHAnsi" w:cs="Arial"/>
                                <w:b/>
                                <w:bCs/>
                                <w:color w:val="0D0D0D" w:themeColor="text1" w:themeTint="F2"/>
                                <w:sz w:val="36"/>
                                <w:szCs w:val="40"/>
                              </w:rPr>
                              <w:t>253</w:t>
                            </w:r>
                            <w:r w:rsidR="00F621C3">
                              <w:rPr>
                                <w:rFonts w:asciiTheme="majorHAnsi" w:hAnsiTheme="majorHAnsi" w:cs="Arial"/>
                                <w:b/>
                                <w:bCs/>
                                <w:color w:val="0D0D0D" w:themeColor="text1" w:themeTint="F2"/>
                                <w:sz w:val="36"/>
                                <w:szCs w:val="40"/>
                              </w:rPr>
                              <w:t>-</w:t>
                            </w:r>
                            <w:r w:rsidR="009A159E">
                              <w:rPr>
                                <w:rFonts w:asciiTheme="majorHAnsi" w:hAnsiTheme="majorHAnsi" w:cs="Arial"/>
                                <w:b/>
                                <w:bCs/>
                                <w:color w:val="0D0D0D" w:themeColor="text1" w:themeTint="F2"/>
                                <w:sz w:val="36"/>
                                <w:szCs w:val="40"/>
                              </w:rPr>
                              <w:t>10</w:t>
                            </w:r>
                          </w:p>
                          <w:p w14:paraId="34978E5A" w14:textId="3887AB0B"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47DA66EB" w14:textId="77777777" w:rsidR="004E0D29" w:rsidRPr="004B625D" w:rsidRDefault="004E0D29" w:rsidP="004E0D29">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 xml:space="preserve">ALEJANDRO FERNANDO AGUILERA MENDIETA, </w:t>
                            </w:r>
                            <w:r w:rsidRPr="0081671B">
                              <w:rPr>
                                <w:rFonts w:ascii="Cambria" w:hAnsi="Cambria" w:cs="Arial"/>
                                <w:i/>
                                <w:color w:val="0D0D0D"/>
                                <w:szCs w:val="22"/>
                              </w:rPr>
                              <w:t>ET AL</w:t>
                            </w:r>
                            <w:r>
                              <w:rPr>
                                <w:rFonts w:ascii="Cambria" w:hAnsi="Cambria" w:cs="Arial"/>
                                <w:color w:val="0D0D0D"/>
                                <w:szCs w:val="22"/>
                              </w:rPr>
                              <w:t>.</w:t>
                            </w:r>
                          </w:p>
                          <w:p w14:paraId="20AB1A6B" w14:textId="77777777" w:rsidR="004E0D29" w:rsidRPr="004B625D" w:rsidRDefault="004E0D29" w:rsidP="004E0D29">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MEXICO</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4C1FF3A0"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9A159E">
                        <w:rPr>
                          <w:rFonts w:asciiTheme="majorHAnsi" w:hAnsiTheme="majorHAnsi" w:cs="Arial"/>
                          <w:b/>
                          <w:bCs/>
                          <w:color w:val="0D0D0D" w:themeColor="text1" w:themeTint="F2"/>
                          <w:sz w:val="36"/>
                          <w:szCs w:val="40"/>
                        </w:rPr>
                        <w:t>52</w:t>
                      </w:r>
                      <w:r w:rsidR="00322450" w:rsidRPr="004B7EB6">
                        <w:rPr>
                          <w:rFonts w:asciiTheme="majorHAnsi" w:hAnsiTheme="majorHAnsi" w:cs="Arial"/>
                          <w:b/>
                          <w:bCs/>
                          <w:color w:val="0D0D0D" w:themeColor="text1" w:themeTint="F2"/>
                          <w:sz w:val="36"/>
                          <w:szCs w:val="40"/>
                        </w:rPr>
                        <w:t>/1</w:t>
                      </w:r>
                      <w:r w:rsidR="004E0D29">
                        <w:rPr>
                          <w:rFonts w:asciiTheme="majorHAnsi" w:hAnsiTheme="majorHAnsi" w:cs="Arial"/>
                          <w:b/>
                          <w:bCs/>
                          <w:color w:val="0D0D0D" w:themeColor="text1" w:themeTint="F2"/>
                          <w:sz w:val="36"/>
                          <w:szCs w:val="40"/>
                        </w:rPr>
                        <w:t>8</w:t>
                      </w:r>
                    </w:p>
                    <w:p w14:paraId="081F51F3" w14:textId="7C0B25DF"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9A159E">
                        <w:rPr>
                          <w:rFonts w:asciiTheme="majorHAnsi" w:hAnsiTheme="majorHAnsi" w:cs="Arial"/>
                          <w:b/>
                          <w:bCs/>
                          <w:color w:val="0D0D0D" w:themeColor="text1" w:themeTint="F2"/>
                          <w:sz w:val="36"/>
                          <w:szCs w:val="40"/>
                        </w:rPr>
                        <w:t>253</w:t>
                      </w:r>
                      <w:r w:rsidR="00F621C3">
                        <w:rPr>
                          <w:rFonts w:asciiTheme="majorHAnsi" w:hAnsiTheme="majorHAnsi" w:cs="Arial"/>
                          <w:b/>
                          <w:bCs/>
                          <w:color w:val="0D0D0D" w:themeColor="text1" w:themeTint="F2"/>
                          <w:sz w:val="36"/>
                          <w:szCs w:val="40"/>
                        </w:rPr>
                        <w:t>-</w:t>
                      </w:r>
                      <w:r w:rsidR="009A159E">
                        <w:rPr>
                          <w:rFonts w:asciiTheme="majorHAnsi" w:hAnsiTheme="majorHAnsi" w:cs="Arial"/>
                          <w:b/>
                          <w:bCs/>
                          <w:color w:val="0D0D0D" w:themeColor="text1" w:themeTint="F2"/>
                          <w:sz w:val="36"/>
                          <w:szCs w:val="40"/>
                        </w:rPr>
                        <w:t>10</w:t>
                      </w:r>
                    </w:p>
                    <w:p w14:paraId="34978E5A" w14:textId="3887AB0B"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47DA66EB" w14:textId="77777777" w:rsidR="004E0D29" w:rsidRPr="004B625D" w:rsidRDefault="004E0D29" w:rsidP="004E0D29">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 xml:space="preserve">ALEJANDRO FERNANDO AGUILERA MENDIETA, </w:t>
                      </w:r>
                      <w:r w:rsidRPr="0081671B">
                        <w:rPr>
                          <w:rFonts w:ascii="Cambria" w:hAnsi="Cambria" w:cs="Arial"/>
                          <w:i/>
                          <w:color w:val="0D0D0D"/>
                          <w:szCs w:val="22"/>
                        </w:rPr>
                        <w:t>ET AL</w:t>
                      </w:r>
                      <w:r>
                        <w:rPr>
                          <w:rFonts w:ascii="Cambria" w:hAnsi="Cambria" w:cs="Arial"/>
                          <w:color w:val="0D0D0D"/>
                          <w:szCs w:val="22"/>
                        </w:rPr>
                        <w:t>.</w:t>
                      </w:r>
                    </w:p>
                    <w:p w14:paraId="20AB1A6B" w14:textId="77777777" w:rsidR="004E0D29" w:rsidRPr="004B625D" w:rsidRDefault="004E0D29" w:rsidP="004E0D29">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MEXICO</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0C0219">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4F7E8BB0" w:rsidR="00627C9F" w:rsidRPr="009A159E" w:rsidRDefault="009E566A" w:rsidP="009E566A">
                            <w:pPr>
                              <w:jc w:val="right"/>
                              <w:rPr>
                                <w:rFonts w:asciiTheme="minorHAnsi" w:hAnsiTheme="minorHAnsi"/>
                                <w:color w:val="FFFFFF" w:themeColor="background1"/>
                                <w:sz w:val="22"/>
                              </w:rPr>
                            </w:pPr>
                            <w:r w:rsidRPr="009A159E">
                              <w:rPr>
                                <w:rFonts w:asciiTheme="minorHAnsi" w:hAnsiTheme="minorHAnsi"/>
                                <w:color w:val="FFFFFF" w:themeColor="background1"/>
                                <w:sz w:val="22"/>
                              </w:rPr>
                              <w:t>OEA/</w:t>
                            </w:r>
                            <w:proofErr w:type="spellStart"/>
                            <w:r w:rsidRPr="009A159E">
                              <w:rPr>
                                <w:rFonts w:asciiTheme="minorHAnsi" w:hAnsiTheme="minorHAnsi"/>
                                <w:color w:val="FFFFFF" w:themeColor="background1"/>
                                <w:sz w:val="22"/>
                              </w:rPr>
                              <w:t>Ser.L</w:t>
                            </w:r>
                            <w:proofErr w:type="spellEnd"/>
                            <w:r w:rsidRPr="009A159E">
                              <w:rPr>
                                <w:rFonts w:asciiTheme="minorHAnsi" w:hAnsiTheme="minorHAnsi"/>
                                <w:color w:val="FFFFFF" w:themeColor="background1"/>
                                <w:sz w:val="22"/>
                              </w:rPr>
                              <w:t>/V/II.1</w:t>
                            </w:r>
                            <w:r w:rsidR="004E0D29" w:rsidRPr="009A159E">
                              <w:rPr>
                                <w:rFonts w:asciiTheme="minorHAnsi" w:hAnsiTheme="minorHAnsi"/>
                                <w:color w:val="FFFFFF" w:themeColor="background1"/>
                                <w:sz w:val="22"/>
                              </w:rPr>
                              <w:t>68</w:t>
                            </w:r>
                          </w:p>
                          <w:p w14:paraId="4AA08A8C" w14:textId="70CC6409" w:rsidR="00627C9F" w:rsidRPr="009A159E" w:rsidRDefault="00CA6577" w:rsidP="009E566A">
                            <w:pPr>
                              <w:jc w:val="right"/>
                              <w:rPr>
                                <w:rFonts w:asciiTheme="minorHAnsi" w:hAnsiTheme="minorHAnsi"/>
                                <w:color w:val="FFFFFF" w:themeColor="background1"/>
                                <w:sz w:val="22"/>
                              </w:rPr>
                            </w:pPr>
                            <w:r w:rsidRPr="009A159E">
                              <w:rPr>
                                <w:rFonts w:asciiTheme="minorHAnsi" w:hAnsiTheme="minorHAnsi"/>
                                <w:color w:val="FFFFFF" w:themeColor="background1"/>
                                <w:sz w:val="22"/>
                              </w:rPr>
                              <w:t xml:space="preserve">Doc. </w:t>
                            </w:r>
                            <w:r w:rsidR="009A159E" w:rsidRPr="009A159E">
                              <w:rPr>
                                <w:rFonts w:asciiTheme="minorHAnsi" w:hAnsiTheme="minorHAnsi"/>
                                <w:color w:val="FFFFFF" w:themeColor="background1"/>
                                <w:sz w:val="22"/>
                              </w:rPr>
                              <w:t>6</w:t>
                            </w:r>
                            <w:r w:rsidR="009A159E">
                              <w:rPr>
                                <w:rFonts w:asciiTheme="minorHAnsi" w:hAnsiTheme="minorHAnsi"/>
                                <w:color w:val="FFFFFF" w:themeColor="background1"/>
                                <w:sz w:val="22"/>
                              </w:rPr>
                              <w:t>2</w:t>
                            </w:r>
                          </w:p>
                          <w:p w14:paraId="0BEFF61A" w14:textId="4A9E343D" w:rsidR="00627C9F" w:rsidRPr="004E0D29" w:rsidRDefault="00022CF5" w:rsidP="009E566A">
                            <w:pPr>
                              <w:jc w:val="right"/>
                              <w:rPr>
                                <w:rFonts w:asciiTheme="minorHAnsi" w:hAnsiTheme="minorHAnsi"/>
                                <w:color w:val="FFFFFF" w:themeColor="background1"/>
                                <w:sz w:val="22"/>
                              </w:rPr>
                            </w:pPr>
                            <w:r w:rsidRPr="009A159E">
                              <w:rPr>
                                <w:rFonts w:asciiTheme="minorHAnsi" w:hAnsiTheme="minorHAnsi"/>
                                <w:color w:val="FFFFFF" w:themeColor="background1"/>
                                <w:sz w:val="22"/>
                              </w:rPr>
                              <w:t xml:space="preserve"> </w:t>
                            </w:r>
                            <w:r w:rsidR="009A159E">
                              <w:rPr>
                                <w:rFonts w:asciiTheme="minorHAnsi" w:hAnsiTheme="minorHAnsi"/>
                                <w:color w:val="FFFFFF" w:themeColor="background1"/>
                                <w:sz w:val="22"/>
                              </w:rPr>
                              <w:t>5 May</w:t>
                            </w:r>
                            <w:r w:rsidR="000C4365" w:rsidRPr="004E0D29">
                              <w:rPr>
                                <w:rFonts w:asciiTheme="minorHAnsi" w:hAnsiTheme="minorHAnsi"/>
                                <w:color w:val="FFFFFF" w:themeColor="background1"/>
                                <w:sz w:val="22"/>
                              </w:rPr>
                              <w:t xml:space="preserve"> </w:t>
                            </w:r>
                            <w:r w:rsidR="00F42B71" w:rsidRPr="004E0D29">
                              <w:rPr>
                                <w:rFonts w:asciiTheme="minorHAnsi" w:hAnsiTheme="minorHAnsi"/>
                                <w:color w:val="FFFFFF" w:themeColor="background1"/>
                                <w:sz w:val="22"/>
                              </w:rPr>
                              <w:t>20</w:t>
                            </w:r>
                            <w:r w:rsidR="004E0D29" w:rsidRPr="004E0D29">
                              <w:rPr>
                                <w:rFonts w:asciiTheme="minorHAnsi" w:hAnsiTheme="minorHAnsi"/>
                                <w:color w:val="FFFFFF" w:themeColor="background1"/>
                                <w:sz w:val="22"/>
                              </w:rPr>
                              <w:t>18</w:t>
                            </w:r>
                          </w:p>
                          <w:p w14:paraId="0FC103BD" w14:textId="0A4C7396" w:rsidR="00627C9F" w:rsidRPr="004E0D29" w:rsidRDefault="00627C9F" w:rsidP="009E566A">
                            <w:pPr>
                              <w:jc w:val="right"/>
                              <w:rPr>
                                <w:rFonts w:asciiTheme="minorHAnsi" w:hAnsiTheme="minorHAnsi"/>
                                <w:color w:val="FFFFFF" w:themeColor="background1"/>
                                <w:sz w:val="22"/>
                              </w:rPr>
                            </w:pPr>
                            <w:r w:rsidRPr="004E0D29">
                              <w:rPr>
                                <w:rFonts w:asciiTheme="minorHAnsi" w:hAnsiTheme="minorHAnsi"/>
                                <w:color w:val="FFFFFF" w:themeColor="background1"/>
                                <w:sz w:val="22"/>
                              </w:rPr>
                              <w:t>Original:</w:t>
                            </w:r>
                            <w:r w:rsidR="002C1641" w:rsidRPr="004E0D29">
                              <w:rPr>
                                <w:rFonts w:asciiTheme="minorHAnsi" w:hAnsiTheme="minorHAnsi"/>
                                <w:color w:val="FFFFFF" w:themeColor="background1"/>
                                <w:sz w:val="22"/>
                              </w:rPr>
                              <w:t xml:space="preserve"> </w:t>
                            </w:r>
                            <w:r w:rsidR="00F42B71" w:rsidRPr="004E0D29">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4F7E8BB0" w:rsidR="00627C9F" w:rsidRPr="009A159E" w:rsidRDefault="009E566A" w:rsidP="009E566A">
                      <w:pPr>
                        <w:jc w:val="right"/>
                        <w:rPr>
                          <w:rFonts w:asciiTheme="minorHAnsi" w:hAnsiTheme="minorHAnsi"/>
                          <w:color w:val="FFFFFF" w:themeColor="background1"/>
                          <w:sz w:val="22"/>
                        </w:rPr>
                      </w:pPr>
                      <w:r w:rsidRPr="009A159E">
                        <w:rPr>
                          <w:rFonts w:asciiTheme="minorHAnsi" w:hAnsiTheme="minorHAnsi"/>
                          <w:color w:val="FFFFFF" w:themeColor="background1"/>
                          <w:sz w:val="22"/>
                        </w:rPr>
                        <w:t>OEA/</w:t>
                      </w:r>
                      <w:proofErr w:type="spellStart"/>
                      <w:r w:rsidRPr="009A159E">
                        <w:rPr>
                          <w:rFonts w:asciiTheme="minorHAnsi" w:hAnsiTheme="minorHAnsi"/>
                          <w:color w:val="FFFFFF" w:themeColor="background1"/>
                          <w:sz w:val="22"/>
                        </w:rPr>
                        <w:t>Ser.L</w:t>
                      </w:r>
                      <w:proofErr w:type="spellEnd"/>
                      <w:r w:rsidRPr="009A159E">
                        <w:rPr>
                          <w:rFonts w:asciiTheme="minorHAnsi" w:hAnsiTheme="minorHAnsi"/>
                          <w:color w:val="FFFFFF" w:themeColor="background1"/>
                          <w:sz w:val="22"/>
                        </w:rPr>
                        <w:t>/V/II.1</w:t>
                      </w:r>
                      <w:r w:rsidR="004E0D29" w:rsidRPr="009A159E">
                        <w:rPr>
                          <w:rFonts w:asciiTheme="minorHAnsi" w:hAnsiTheme="minorHAnsi"/>
                          <w:color w:val="FFFFFF" w:themeColor="background1"/>
                          <w:sz w:val="22"/>
                        </w:rPr>
                        <w:t>68</w:t>
                      </w:r>
                    </w:p>
                    <w:p w14:paraId="4AA08A8C" w14:textId="70CC6409" w:rsidR="00627C9F" w:rsidRPr="009A159E" w:rsidRDefault="00CA6577" w:rsidP="009E566A">
                      <w:pPr>
                        <w:jc w:val="right"/>
                        <w:rPr>
                          <w:rFonts w:asciiTheme="minorHAnsi" w:hAnsiTheme="minorHAnsi"/>
                          <w:color w:val="FFFFFF" w:themeColor="background1"/>
                          <w:sz w:val="22"/>
                        </w:rPr>
                      </w:pPr>
                      <w:r w:rsidRPr="009A159E">
                        <w:rPr>
                          <w:rFonts w:asciiTheme="minorHAnsi" w:hAnsiTheme="minorHAnsi"/>
                          <w:color w:val="FFFFFF" w:themeColor="background1"/>
                          <w:sz w:val="22"/>
                        </w:rPr>
                        <w:t xml:space="preserve">Doc. </w:t>
                      </w:r>
                      <w:r w:rsidR="009A159E" w:rsidRPr="009A159E">
                        <w:rPr>
                          <w:rFonts w:asciiTheme="minorHAnsi" w:hAnsiTheme="minorHAnsi"/>
                          <w:color w:val="FFFFFF" w:themeColor="background1"/>
                          <w:sz w:val="22"/>
                        </w:rPr>
                        <w:t>6</w:t>
                      </w:r>
                      <w:r w:rsidR="009A159E">
                        <w:rPr>
                          <w:rFonts w:asciiTheme="minorHAnsi" w:hAnsiTheme="minorHAnsi"/>
                          <w:color w:val="FFFFFF" w:themeColor="background1"/>
                          <w:sz w:val="22"/>
                        </w:rPr>
                        <w:t>2</w:t>
                      </w:r>
                    </w:p>
                    <w:p w14:paraId="0BEFF61A" w14:textId="4A9E343D" w:rsidR="00627C9F" w:rsidRPr="004E0D29" w:rsidRDefault="00022CF5" w:rsidP="009E566A">
                      <w:pPr>
                        <w:jc w:val="right"/>
                        <w:rPr>
                          <w:rFonts w:asciiTheme="minorHAnsi" w:hAnsiTheme="minorHAnsi"/>
                          <w:color w:val="FFFFFF" w:themeColor="background1"/>
                          <w:sz w:val="22"/>
                        </w:rPr>
                      </w:pPr>
                      <w:r w:rsidRPr="009A159E">
                        <w:rPr>
                          <w:rFonts w:asciiTheme="minorHAnsi" w:hAnsiTheme="minorHAnsi"/>
                          <w:color w:val="FFFFFF" w:themeColor="background1"/>
                          <w:sz w:val="22"/>
                        </w:rPr>
                        <w:t xml:space="preserve"> </w:t>
                      </w:r>
                      <w:r w:rsidR="009A159E">
                        <w:rPr>
                          <w:rFonts w:asciiTheme="minorHAnsi" w:hAnsiTheme="minorHAnsi"/>
                          <w:color w:val="FFFFFF" w:themeColor="background1"/>
                          <w:sz w:val="22"/>
                        </w:rPr>
                        <w:t>5 May</w:t>
                      </w:r>
                      <w:r w:rsidR="000C4365" w:rsidRPr="004E0D29">
                        <w:rPr>
                          <w:rFonts w:asciiTheme="minorHAnsi" w:hAnsiTheme="minorHAnsi"/>
                          <w:color w:val="FFFFFF" w:themeColor="background1"/>
                          <w:sz w:val="22"/>
                        </w:rPr>
                        <w:t xml:space="preserve"> </w:t>
                      </w:r>
                      <w:r w:rsidR="00F42B71" w:rsidRPr="004E0D29">
                        <w:rPr>
                          <w:rFonts w:asciiTheme="minorHAnsi" w:hAnsiTheme="minorHAnsi"/>
                          <w:color w:val="FFFFFF" w:themeColor="background1"/>
                          <w:sz w:val="22"/>
                        </w:rPr>
                        <w:t>20</w:t>
                      </w:r>
                      <w:r w:rsidR="004E0D29" w:rsidRPr="004E0D29">
                        <w:rPr>
                          <w:rFonts w:asciiTheme="minorHAnsi" w:hAnsiTheme="minorHAnsi"/>
                          <w:color w:val="FFFFFF" w:themeColor="background1"/>
                          <w:sz w:val="22"/>
                        </w:rPr>
                        <w:t>18</w:t>
                      </w:r>
                    </w:p>
                    <w:p w14:paraId="0FC103BD" w14:textId="0A4C7396" w:rsidR="00627C9F" w:rsidRPr="004E0D29" w:rsidRDefault="00627C9F" w:rsidP="009E566A">
                      <w:pPr>
                        <w:jc w:val="right"/>
                        <w:rPr>
                          <w:rFonts w:asciiTheme="minorHAnsi" w:hAnsiTheme="minorHAnsi"/>
                          <w:color w:val="FFFFFF" w:themeColor="background1"/>
                          <w:sz w:val="22"/>
                        </w:rPr>
                      </w:pPr>
                      <w:r w:rsidRPr="004E0D29">
                        <w:rPr>
                          <w:rFonts w:asciiTheme="minorHAnsi" w:hAnsiTheme="minorHAnsi"/>
                          <w:color w:val="FFFFFF" w:themeColor="background1"/>
                          <w:sz w:val="22"/>
                        </w:rPr>
                        <w:t>Original:</w:t>
                      </w:r>
                      <w:r w:rsidR="002C1641" w:rsidRPr="004E0D29">
                        <w:rPr>
                          <w:rFonts w:asciiTheme="minorHAnsi" w:hAnsiTheme="minorHAnsi"/>
                          <w:color w:val="FFFFFF" w:themeColor="background1"/>
                          <w:sz w:val="22"/>
                        </w:rPr>
                        <w:t xml:space="preserve"> </w:t>
                      </w:r>
                      <w:r w:rsidR="00F42B71" w:rsidRPr="004E0D29">
                        <w:rPr>
                          <w:rFonts w:asciiTheme="minorHAnsi" w:hAnsiTheme="minorHAnsi"/>
                          <w:color w:val="FFFFFF" w:themeColor="background1"/>
                          <w:sz w:val="22"/>
                        </w:rPr>
                        <w:t>Spanish</w:t>
                      </w:r>
                    </w:p>
                  </w:txbxContent>
                </v:textbox>
              </v:shape>
            </w:pict>
          </mc:Fallback>
        </mc:AlternateContent>
      </w:r>
    </w:p>
    <w:p w14:paraId="3765F9FA" w14:textId="77777777" w:rsidR="00040C3A" w:rsidRPr="000C0219"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0C0219"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0C0219"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0C0219"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0C0219"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0C0219"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0C0219"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0C0219"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0C0219"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0C0219"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0C0219"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0C0219"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0C0219"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0C0219"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0C0219"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0C0219"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0C0219"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0C0219"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0C0219"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0C0219"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0C0219"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0C0219"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0C0219"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0C0219"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0C0219"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0C0219" w:rsidRDefault="003C32BC" w:rsidP="00040C3A">
      <w:pPr>
        <w:tabs>
          <w:tab w:val="center" w:pos="5400"/>
        </w:tabs>
        <w:suppressAutoHyphens/>
        <w:jc w:val="center"/>
        <w:rPr>
          <w:rFonts w:asciiTheme="majorHAnsi" w:hAnsiTheme="majorHAnsi"/>
          <w:sz w:val="18"/>
          <w:szCs w:val="22"/>
          <w:lang w:val="es-ES_tradnl"/>
        </w:rPr>
      </w:pPr>
      <w:r w:rsidRPr="000C0219">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54FAAE" w14:textId="44EEE620" w:rsidR="004E0D29" w:rsidRPr="003C32BC" w:rsidRDefault="004E0D29" w:rsidP="004E0D29">
                            <w:pPr>
                              <w:tabs>
                                <w:tab w:val="center" w:pos="5400"/>
                              </w:tabs>
                              <w:suppressAutoHyphens/>
                              <w:spacing w:before="60"/>
                              <w:jc w:val="both"/>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No.</w:t>
                            </w:r>
                            <w:r>
                              <w:rPr>
                                <w:rFonts w:asciiTheme="majorHAnsi" w:hAnsiTheme="majorHAnsi"/>
                                <w:color w:val="0D0D0D" w:themeColor="text1" w:themeTint="F2"/>
                                <w:sz w:val="18"/>
                                <w:szCs w:val="20"/>
                              </w:rPr>
                              <w:t xml:space="preserve"> </w:t>
                            </w:r>
                            <w:r w:rsidR="009A159E">
                              <w:rPr>
                                <w:rFonts w:asciiTheme="majorHAnsi" w:hAnsiTheme="majorHAnsi"/>
                                <w:color w:val="0D0D0D" w:themeColor="text1" w:themeTint="F2"/>
                                <w:sz w:val="18"/>
                                <w:szCs w:val="20"/>
                              </w:rPr>
                              <w:t>2127</w:t>
                            </w:r>
                            <w:r>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 xml:space="preserve">held on </w:t>
                            </w:r>
                            <w:r>
                              <w:rPr>
                                <w:rFonts w:asciiTheme="majorHAnsi" w:hAnsiTheme="majorHAnsi"/>
                                <w:color w:val="0D0D0D" w:themeColor="text1" w:themeTint="F2"/>
                                <w:sz w:val="18"/>
                                <w:szCs w:val="20"/>
                              </w:rPr>
                              <w:t xml:space="preserve">May </w:t>
                            </w:r>
                            <w:r w:rsidR="009A159E">
                              <w:rPr>
                                <w:rFonts w:asciiTheme="majorHAnsi" w:hAnsiTheme="majorHAnsi"/>
                                <w:color w:val="0D0D0D" w:themeColor="text1" w:themeTint="F2"/>
                                <w:sz w:val="18"/>
                                <w:szCs w:val="20"/>
                              </w:rPr>
                              <w:t>5</w:t>
                            </w:r>
                            <w:r>
                              <w:rPr>
                                <w:rFonts w:asciiTheme="majorHAnsi" w:hAnsiTheme="majorHAnsi"/>
                                <w:color w:val="0D0D0D" w:themeColor="text1" w:themeTint="F2"/>
                                <w:sz w:val="18"/>
                                <w:szCs w:val="20"/>
                              </w:rPr>
                              <w:t>, 2018</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168</w:t>
                            </w:r>
                            <w:r w:rsidRPr="004F6B67">
                              <w:rPr>
                                <w:rFonts w:asciiTheme="majorHAnsi" w:hAnsiTheme="majorHAnsi" w:cs="Univers"/>
                                <w:sz w:val="18"/>
                                <w:szCs w:val="20"/>
                                <w:vertAlign w:val="superscript"/>
                              </w:rPr>
                              <w:t>th</w:t>
                            </w:r>
                            <w:r w:rsidRPr="003C32BC">
                              <w:rPr>
                                <w:rFonts w:asciiTheme="majorHAnsi" w:hAnsiTheme="majorHAnsi" w:cs="Univers"/>
                                <w:color w:val="0D0D0D" w:themeColor="text1" w:themeTint="F2"/>
                                <w:sz w:val="18"/>
                                <w:szCs w:val="20"/>
                              </w:rPr>
                              <w:t xml:space="preserve"> Regular Period of Sessions</w:t>
                            </w:r>
                          </w:p>
                          <w:p w14:paraId="29BF637A" w14:textId="5F213490" w:rsidR="00092F32" w:rsidRPr="003C32BC" w:rsidRDefault="00092F32"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1854FAAE" w14:textId="44EEE620" w:rsidR="004E0D29" w:rsidRPr="003C32BC" w:rsidRDefault="004E0D29" w:rsidP="004E0D29">
                      <w:pPr>
                        <w:tabs>
                          <w:tab w:val="center" w:pos="5400"/>
                        </w:tabs>
                        <w:suppressAutoHyphens/>
                        <w:spacing w:before="60"/>
                        <w:jc w:val="both"/>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No.</w:t>
                      </w:r>
                      <w:r>
                        <w:rPr>
                          <w:rFonts w:asciiTheme="majorHAnsi" w:hAnsiTheme="majorHAnsi"/>
                          <w:color w:val="0D0D0D" w:themeColor="text1" w:themeTint="F2"/>
                          <w:sz w:val="18"/>
                          <w:szCs w:val="20"/>
                        </w:rPr>
                        <w:t xml:space="preserve"> </w:t>
                      </w:r>
                      <w:r w:rsidR="009A159E">
                        <w:rPr>
                          <w:rFonts w:asciiTheme="majorHAnsi" w:hAnsiTheme="majorHAnsi"/>
                          <w:color w:val="0D0D0D" w:themeColor="text1" w:themeTint="F2"/>
                          <w:sz w:val="18"/>
                          <w:szCs w:val="20"/>
                        </w:rPr>
                        <w:t>2127</w:t>
                      </w:r>
                      <w:r>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 xml:space="preserve">held on </w:t>
                      </w:r>
                      <w:r>
                        <w:rPr>
                          <w:rFonts w:asciiTheme="majorHAnsi" w:hAnsiTheme="majorHAnsi"/>
                          <w:color w:val="0D0D0D" w:themeColor="text1" w:themeTint="F2"/>
                          <w:sz w:val="18"/>
                          <w:szCs w:val="20"/>
                        </w:rPr>
                        <w:t xml:space="preserve">May </w:t>
                      </w:r>
                      <w:r w:rsidR="009A159E">
                        <w:rPr>
                          <w:rFonts w:asciiTheme="majorHAnsi" w:hAnsiTheme="majorHAnsi"/>
                          <w:color w:val="0D0D0D" w:themeColor="text1" w:themeTint="F2"/>
                          <w:sz w:val="18"/>
                          <w:szCs w:val="20"/>
                        </w:rPr>
                        <w:t>5</w:t>
                      </w:r>
                      <w:r>
                        <w:rPr>
                          <w:rFonts w:asciiTheme="majorHAnsi" w:hAnsiTheme="majorHAnsi"/>
                          <w:color w:val="0D0D0D" w:themeColor="text1" w:themeTint="F2"/>
                          <w:sz w:val="18"/>
                          <w:szCs w:val="20"/>
                        </w:rPr>
                        <w:t>, 2018</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168</w:t>
                      </w:r>
                      <w:r w:rsidRPr="004F6B67">
                        <w:rPr>
                          <w:rFonts w:asciiTheme="majorHAnsi" w:hAnsiTheme="majorHAnsi" w:cs="Univers"/>
                          <w:sz w:val="18"/>
                          <w:szCs w:val="20"/>
                          <w:vertAlign w:val="superscript"/>
                        </w:rPr>
                        <w:t>th</w:t>
                      </w:r>
                      <w:r w:rsidRPr="003C32BC">
                        <w:rPr>
                          <w:rFonts w:asciiTheme="majorHAnsi" w:hAnsiTheme="majorHAnsi" w:cs="Univers"/>
                          <w:color w:val="0D0D0D" w:themeColor="text1" w:themeTint="F2"/>
                          <w:sz w:val="18"/>
                          <w:szCs w:val="20"/>
                        </w:rPr>
                        <w:t xml:space="preserve"> Regular Period of Sessions</w:t>
                      </w:r>
                    </w:p>
                    <w:p w14:paraId="29BF637A" w14:textId="5F213490" w:rsidR="00092F32" w:rsidRPr="003C32BC" w:rsidRDefault="00092F32"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76124E47" w14:textId="77777777" w:rsidR="002C1641" w:rsidRPr="000C0219"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0C0219"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0C0219"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0C0219"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0C0219" w:rsidRDefault="003C32BC" w:rsidP="00040C3A">
      <w:pPr>
        <w:tabs>
          <w:tab w:val="center" w:pos="5400"/>
        </w:tabs>
        <w:suppressAutoHyphens/>
        <w:jc w:val="center"/>
        <w:rPr>
          <w:rFonts w:asciiTheme="majorHAnsi" w:hAnsiTheme="majorHAnsi"/>
          <w:sz w:val="18"/>
          <w:szCs w:val="22"/>
          <w:lang w:val="es-ES_tradnl"/>
        </w:rPr>
      </w:pPr>
      <w:r w:rsidRPr="000C0219">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C2EAA2" w14:textId="49FF6193" w:rsidR="004E0D29" w:rsidRPr="003C32BC" w:rsidRDefault="004E0D29" w:rsidP="004E0D29">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9A159E">
                              <w:rPr>
                                <w:rFonts w:asciiTheme="majorHAnsi" w:hAnsiTheme="majorHAnsi"/>
                                <w:color w:val="595959" w:themeColor="text1" w:themeTint="A6"/>
                                <w:sz w:val="18"/>
                              </w:rPr>
                              <w:t>52</w:t>
                            </w:r>
                            <w:r>
                              <w:rPr>
                                <w:rFonts w:asciiTheme="majorHAnsi" w:hAnsiTheme="majorHAnsi"/>
                                <w:color w:val="595959" w:themeColor="text1" w:themeTint="A6"/>
                                <w:sz w:val="18"/>
                              </w:rPr>
                              <w:t>/18</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Petition 253-10</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Admissibility</w:t>
                            </w:r>
                            <w:r w:rsidRPr="003C32BC">
                              <w:rPr>
                                <w:rFonts w:asciiTheme="majorHAnsi" w:hAnsiTheme="majorHAnsi"/>
                                <w:color w:val="595959" w:themeColor="text1" w:themeTint="A6"/>
                                <w:sz w:val="18"/>
                              </w:rPr>
                              <w:t xml:space="preserve">. </w:t>
                            </w:r>
                            <w:r w:rsidRPr="004A5DA1">
                              <w:rPr>
                                <w:rFonts w:asciiTheme="majorHAnsi" w:hAnsiTheme="majorHAnsi"/>
                                <w:color w:val="595959" w:themeColor="text1" w:themeTint="A6"/>
                                <w:sz w:val="18"/>
                              </w:rPr>
                              <w:t xml:space="preserve">Alejandro Fernando Aguilera </w:t>
                            </w:r>
                            <w:proofErr w:type="spellStart"/>
                            <w:r w:rsidRPr="004A5DA1">
                              <w:rPr>
                                <w:rFonts w:asciiTheme="majorHAnsi" w:hAnsiTheme="majorHAnsi"/>
                                <w:color w:val="595959" w:themeColor="text1" w:themeTint="A6"/>
                                <w:sz w:val="18"/>
                              </w:rPr>
                              <w:t>Mendieta</w:t>
                            </w:r>
                            <w:proofErr w:type="spellEnd"/>
                            <w:r w:rsidRPr="004A5DA1">
                              <w:rPr>
                                <w:rFonts w:asciiTheme="majorHAnsi" w:hAnsiTheme="majorHAnsi"/>
                                <w:color w:val="595959" w:themeColor="text1" w:themeTint="A6"/>
                                <w:sz w:val="18"/>
                              </w:rPr>
                              <w:t xml:space="preserve">, </w:t>
                            </w:r>
                            <w:r w:rsidRPr="0081671B">
                              <w:rPr>
                                <w:rFonts w:asciiTheme="majorHAnsi" w:hAnsiTheme="majorHAnsi"/>
                                <w:i/>
                                <w:color w:val="595959" w:themeColor="text1" w:themeTint="A6"/>
                                <w:sz w:val="18"/>
                              </w:rPr>
                              <w:t>et al</w:t>
                            </w:r>
                            <w:r w:rsidRPr="004A5DA1">
                              <w:rPr>
                                <w:rFonts w:asciiTheme="majorHAnsi" w:hAnsiTheme="majorHAnsi"/>
                                <w:color w:val="595959" w:themeColor="text1" w:themeTint="A6"/>
                                <w:sz w:val="18"/>
                              </w:rPr>
                              <w:t>.</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Mexico. </w:t>
                            </w:r>
                            <w:r w:rsidR="009A159E">
                              <w:rPr>
                                <w:rFonts w:asciiTheme="majorHAnsi" w:hAnsiTheme="majorHAnsi"/>
                                <w:color w:val="595959" w:themeColor="text1" w:themeTint="A6"/>
                                <w:sz w:val="18"/>
                              </w:rPr>
                              <w:t>May 5</w:t>
                            </w:r>
                            <w:r>
                              <w:rPr>
                                <w:rFonts w:asciiTheme="majorHAnsi" w:hAnsiTheme="majorHAnsi"/>
                                <w:color w:val="595959" w:themeColor="text1" w:themeTint="A6"/>
                                <w:sz w:val="18"/>
                              </w:rPr>
                              <w:t>, 2018.</w:t>
                            </w:r>
                          </w:p>
                          <w:p w14:paraId="0126B579" w14:textId="19D6C7FD" w:rsidR="00F644E6" w:rsidRPr="003C32BC" w:rsidRDefault="00F644E6" w:rsidP="00F644E6">
                            <w:pPr>
                              <w:spacing w:line="276" w:lineRule="auto"/>
                              <w:rPr>
                                <w:rFonts w:asciiTheme="majorHAnsi" w:hAnsiTheme="majorHAnsi"/>
                                <w:color w:val="595959" w:themeColor="text1" w:themeTint="A6"/>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5FC2EAA2" w14:textId="49FF6193" w:rsidR="004E0D29" w:rsidRPr="003C32BC" w:rsidRDefault="004E0D29" w:rsidP="004E0D29">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9A159E">
                        <w:rPr>
                          <w:rFonts w:asciiTheme="majorHAnsi" w:hAnsiTheme="majorHAnsi"/>
                          <w:color w:val="595959" w:themeColor="text1" w:themeTint="A6"/>
                          <w:sz w:val="18"/>
                        </w:rPr>
                        <w:t>52</w:t>
                      </w:r>
                      <w:r>
                        <w:rPr>
                          <w:rFonts w:asciiTheme="majorHAnsi" w:hAnsiTheme="majorHAnsi"/>
                          <w:color w:val="595959" w:themeColor="text1" w:themeTint="A6"/>
                          <w:sz w:val="18"/>
                        </w:rPr>
                        <w:t>/18</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Petition 253-10</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Admissibility</w:t>
                      </w:r>
                      <w:r w:rsidRPr="003C32BC">
                        <w:rPr>
                          <w:rFonts w:asciiTheme="majorHAnsi" w:hAnsiTheme="majorHAnsi"/>
                          <w:color w:val="595959" w:themeColor="text1" w:themeTint="A6"/>
                          <w:sz w:val="18"/>
                        </w:rPr>
                        <w:t xml:space="preserve">. </w:t>
                      </w:r>
                      <w:r w:rsidRPr="004A5DA1">
                        <w:rPr>
                          <w:rFonts w:asciiTheme="majorHAnsi" w:hAnsiTheme="majorHAnsi"/>
                          <w:color w:val="595959" w:themeColor="text1" w:themeTint="A6"/>
                          <w:sz w:val="18"/>
                        </w:rPr>
                        <w:t xml:space="preserve">Alejandro Fernando Aguilera </w:t>
                      </w:r>
                      <w:proofErr w:type="spellStart"/>
                      <w:r w:rsidRPr="004A5DA1">
                        <w:rPr>
                          <w:rFonts w:asciiTheme="majorHAnsi" w:hAnsiTheme="majorHAnsi"/>
                          <w:color w:val="595959" w:themeColor="text1" w:themeTint="A6"/>
                          <w:sz w:val="18"/>
                        </w:rPr>
                        <w:t>Mendieta</w:t>
                      </w:r>
                      <w:proofErr w:type="spellEnd"/>
                      <w:r w:rsidRPr="004A5DA1">
                        <w:rPr>
                          <w:rFonts w:asciiTheme="majorHAnsi" w:hAnsiTheme="majorHAnsi"/>
                          <w:color w:val="595959" w:themeColor="text1" w:themeTint="A6"/>
                          <w:sz w:val="18"/>
                        </w:rPr>
                        <w:t xml:space="preserve">, </w:t>
                      </w:r>
                      <w:r w:rsidRPr="0081671B">
                        <w:rPr>
                          <w:rFonts w:asciiTheme="majorHAnsi" w:hAnsiTheme="majorHAnsi"/>
                          <w:i/>
                          <w:color w:val="595959" w:themeColor="text1" w:themeTint="A6"/>
                          <w:sz w:val="18"/>
                        </w:rPr>
                        <w:t>et al</w:t>
                      </w:r>
                      <w:r w:rsidRPr="004A5DA1">
                        <w:rPr>
                          <w:rFonts w:asciiTheme="majorHAnsi" w:hAnsiTheme="majorHAnsi"/>
                          <w:color w:val="595959" w:themeColor="text1" w:themeTint="A6"/>
                          <w:sz w:val="18"/>
                        </w:rPr>
                        <w:t>.</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Mexico. </w:t>
                      </w:r>
                      <w:r w:rsidR="009A159E">
                        <w:rPr>
                          <w:rFonts w:asciiTheme="majorHAnsi" w:hAnsiTheme="majorHAnsi"/>
                          <w:color w:val="595959" w:themeColor="text1" w:themeTint="A6"/>
                          <w:sz w:val="18"/>
                        </w:rPr>
                        <w:t>May 5</w:t>
                      </w:r>
                      <w:r>
                        <w:rPr>
                          <w:rFonts w:asciiTheme="majorHAnsi" w:hAnsiTheme="majorHAnsi"/>
                          <w:color w:val="595959" w:themeColor="text1" w:themeTint="A6"/>
                          <w:sz w:val="18"/>
                        </w:rPr>
                        <w:t>, 2018.</w:t>
                      </w:r>
                    </w:p>
                    <w:p w14:paraId="0126B579" w14:textId="19D6C7FD" w:rsidR="00F644E6" w:rsidRPr="003C32BC" w:rsidRDefault="00F644E6" w:rsidP="00F644E6">
                      <w:pPr>
                        <w:spacing w:line="276" w:lineRule="auto"/>
                        <w:rPr>
                          <w:rFonts w:asciiTheme="majorHAnsi" w:hAnsiTheme="majorHAnsi"/>
                          <w:color w:val="595959" w:themeColor="text1" w:themeTint="A6"/>
                          <w:sz w:val="18"/>
                        </w:rPr>
                      </w:pPr>
                    </w:p>
                  </w:txbxContent>
                </v:textbox>
              </v:shape>
            </w:pict>
          </mc:Fallback>
        </mc:AlternateContent>
      </w:r>
    </w:p>
    <w:p w14:paraId="1C0DAFDE" w14:textId="77777777" w:rsidR="002C1641" w:rsidRPr="000C0219"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0C0219"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0C0219" w:rsidRDefault="003C32BC" w:rsidP="003C32BC">
      <w:pPr>
        <w:tabs>
          <w:tab w:val="center" w:pos="5400"/>
        </w:tabs>
        <w:suppressAutoHyphens/>
        <w:jc w:val="center"/>
        <w:rPr>
          <w:rFonts w:asciiTheme="majorHAnsi" w:hAnsiTheme="majorHAnsi"/>
          <w:sz w:val="18"/>
          <w:szCs w:val="22"/>
        </w:rPr>
      </w:pPr>
    </w:p>
    <w:p w14:paraId="154A4854" w14:textId="77777777" w:rsidR="003C32BC" w:rsidRPr="000C0219" w:rsidRDefault="006311DA" w:rsidP="003C32BC">
      <w:pPr>
        <w:tabs>
          <w:tab w:val="center" w:pos="5400"/>
        </w:tabs>
        <w:suppressAutoHyphens/>
        <w:jc w:val="center"/>
        <w:rPr>
          <w:rFonts w:asciiTheme="majorHAnsi" w:hAnsiTheme="majorHAnsi"/>
          <w:sz w:val="18"/>
          <w:szCs w:val="22"/>
        </w:rPr>
      </w:pPr>
      <w:r w:rsidRPr="000C0219">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0C0219">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Pr="000C0219" w:rsidRDefault="007607C4" w:rsidP="003C32BC">
      <w:pPr>
        <w:tabs>
          <w:tab w:val="center" w:pos="5400"/>
        </w:tabs>
        <w:suppressAutoHyphens/>
        <w:jc w:val="center"/>
        <w:rPr>
          <w:rFonts w:asciiTheme="majorHAnsi" w:hAnsiTheme="majorHAnsi"/>
          <w:sz w:val="18"/>
          <w:szCs w:val="22"/>
        </w:rPr>
        <w:sectPr w:rsidR="007607C4" w:rsidRPr="000C0219"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237FA7B4" w:rsidR="00F621C3" w:rsidRPr="000C0219" w:rsidRDefault="00F621C3" w:rsidP="00F621C3">
      <w:pPr>
        <w:spacing w:after="240"/>
        <w:ind w:firstLine="720"/>
        <w:jc w:val="both"/>
        <w:rPr>
          <w:rFonts w:asciiTheme="majorHAnsi" w:hAnsiTheme="majorHAnsi"/>
          <w:b/>
          <w:bCs/>
          <w:sz w:val="20"/>
          <w:szCs w:val="20"/>
        </w:rPr>
      </w:pPr>
      <w:r w:rsidRPr="000C0219">
        <w:rPr>
          <w:rFonts w:asciiTheme="majorHAnsi" w:hAnsiTheme="majorHAnsi"/>
          <w:b/>
          <w:bCs/>
          <w:sz w:val="20"/>
          <w:szCs w:val="20"/>
        </w:rPr>
        <w:lastRenderedPageBreak/>
        <w:t>I.</w:t>
      </w:r>
      <w:r w:rsidRPr="000C0219">
        <w:rPr>
          <w:rFonts w:asciiTheme="majorHAnsi" w:hAnsiTheme="majorHAnsi"/>
          <w:b/>
          <w:bCs/>
          <w:sz w:val="20"/>
          <w:szCs w:val="20"/>
        </w:rPr>
        <w:tab/>
      </w:r>
      <w:r w:rsidR="00592718" w:rsidRPr="000C0219">
        <w:rPr>
          <w:rFonts w:asciiTheme="majorHAnsi" w:hAnsiTheme="majorHAnsi"/>
          <w:b/>
          <w:bCs/>
          <w:sz w:val="20"/>
          <w:szCs w:val="20"/>
        </w:rPr>
        <w:t>INFORMATION ABOUT THE PETITION</w:t>
      </w:r>
      <w:r w:rsidRPr="000C0219">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9A159E"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0C0219" w:rsidRDefault="003771A3" w:rsidP="009163FC">
            <w:pPr>
              <w:jc w:val="center"/>
              <w:rPr>
                <w:rFonts w:ascii="Cambria" w:hAnsi="Cambria"/>
                <w:b/>
                <w:bCs/>
                <w:color w:val="FFFFFF" w:themeColor="background1"/>
                <w:sz w:val="20"/>
                <w:szCs w:val="20"/>
              </w:rPr>
            </w:pPr>
            <w:r w:rsidRPr="000C0219">
              <w:rPr>
                <w:rFonts w:ascii="Cambria" w:hAnsi="Cambria"/>
                <w:b/>
                <w:bCs/>
                <w:color w:val="FFFFFF" w:themeColor="background1"/>
                <w:sz w:val="20"/>
                <w:szCs w:val="20"/>
              </w:rPr>
              <w:t>Petitioner</w:t>
            </w:r>
            <w:r w:rsidR="00F621C3" w:rsidRPr="000C0219">
              <w:rPr>
                <w:rFonts w:ascii="Cambria" w:hAnsi="Cambria"/>
                <w:b/>
                <w:bCs/>
                <w:color w:val="FFFFFF" w:themeColor="background1"/>
                <w:sz w:val="20"/>
                <w:szCs w:val="20"/>
              </w:rPr>
              <w:t>:</w:t>
            </w:r>
          </w:p>
        </w:tc>
        <w:tc>
          <w:tcPr>
            <w:tcW w:w="5670" w:type="dxa"/>
            <w:vAlign w:val="center"/>
          </w:tcPr>
          <w:p w14:paraId="0674C7B8" w14:textId="3E0060C5" w:rsidR="00F621C3" w:rsidRPr="000C0219" w:rsidRDefault="004E0D29" w:rsidP="009163FC">
            <w:pPr>
              <w:jc w:val="both"/>
              <w:rPr>
                <w:rFonts w:ascii="Cambria" w:hAnsi="Cambria"/>
                <w:bCs/>
                <w:sz w:val="20"/>
                <w:szCs w:val="20"/>
                <w:lang w:val="pt-BR"/>
              </w:rPr>
            </w:pPr>
            <w:r w:rsidRPr="000C0219">
              <w:rPr>
                <w:rFonts w:asciiTheme="majorHAnsi" w:hAnsiTheme="majorHAnsi"/>
                <w:sz w:val="20"/>
                <w:szCs w:val="20"/>
                <w:lang w:val="pt-BR"/>
              </w:rPr>
              <w:t>Fernando M. Toller, C. Ignacio de Casas, Ignacio A. Boulin Victoria</w:t>
            </w:r>
          </w:p>
        </w:tc>
      </w:tr>
      <w:tr w:rsidR="00F621C3" w:rsidRPr="000C0219"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0C0219" w:rsidRDefault="00A0786C"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0C0219">
                  <w:rPr>
                    <w:rFonts w:ascii="Cambria" w:hAnsi="Cambria"/>
                    <w:b/>
                    <w:bCs/>
                    <w:color w:val="FFFFFF" w:themeColor="background1"/>
                    <w:sz w:val="20"/>
                    <w:szCs w:val="20"/>
                  </w:rPr>
                  <w:t>Alleged victim</w:t>
                </w:r>
              </w:sdtContent>
            </w:sdt>
            <w:r w:rsidR="00F621C3" w:rsidRPr="000C0219">
              <w:rPr>
                <w:rFonts w:ascii="Cambria" w:hAnsi="Cambria"/>
                <w:b/>
                <w:bCs/>
                <w:color w:val="FFFFFF" w:themeColor="background1"/>
                <w:sz w:val="20"/>
                <w:szCs w:val="20"/>
              </w:rPr>
              <w:t>:</w:t>
            </w:r>
          </w:p>
        </w:tc>
        <w:tc>
          <w:tcPr>
            <w:tcW w:w="5670" w:type="dxa"/>
            <w:vAlign w:val="center"/>
          </w:tcPr>
          <w:p w14:paraId="60895337" w14:textId="49A13777" w:rsidR="00F621C3" w:rsidRPr="000C0219" w:rsidRDefault="004E0D29" w:rsidP="009163FC">
            <w:pPr>
              <w:jc w:val="both"/>
              <w:rPr>
                <w:rFonts w:ascii="Cambria" w:hAnsi="Cambria"/>
                <w:bCs/>
                <w:sz w:val="20"/>
                <w:szCs w:val="20"/>
              </w:rPr>
            </w:pPr>
            <w:r w:rsidRPr="000C0219">
              <w:rPr>
                <w:rFonts w:asciiTheme="majorHAnsi" w:hAnsiTheme="majorHAnsi"/>
                <w:bCs/>
                <w:sz w:val="20"/>
                <w:szCs w:val="20"/>
              </w:rPr>
              <w:t xml:space="preserve">Alejandro Fernando Aguilera </w:t>
            </w:r>
            <w:proofErr w:type="spellStart"/>
            <w:r w:rsidRPr="000C0219">
              <w:rPr>
                <w:rFonts w:asciiTheme="majorHAnsi" w:hAnsiTheme="majorHAnsi"/>
                <w:bCs/>
                <w:sz w:val="20"/>
                <w:szCs w:val="20"/>
              </w:rPr>
              <w:t>Mendieta</w:t>
            </w:r>
            <w:proofErr w:type="spellEnd"/>
            <w:r w:rsidRPr="000C0219">
              <w:rPr>
                <w:rFonts w:asciiTheme="majorHAnsi" w:hAnsiTheme="majorHAnsi"/>
                <w:bCs/>
                <w:sz w:val="20"/>
                <w:szCs w:val="20"/>
              </w:rPr>
              <w:t xml:space="preserve"> </w:t>
            </w:r>
            <w:r w:rsidRPr="000C0219">
              <w:rPr>
                <w:rFonts w:asciiTheme="majorHAnsi" w:hAnsiTheme="majorHAnsi"/>
                <w:bCs/>
                <w:i/>
                <w:sz w:val="20"/>
                <w:szCs w:val="20"/>
              </w:rPr>
              <w:t>et al</w:t>
            </w:r>
            <w:r w:rsidRPr="000C0219">
              <w:rPr>
                <w:rFonts w:asciiTheme="majorHAnsi" w:hAnsiTheme="majorHAnsi"/>
                <w:bCs/>
                <w:sz w:val="20"/>
                <w:szCs w:val="20"/>
              </w:rPr>
              <w:t>.</w:t>
            </w:r>
            <w:r w:rsidRPr="000C0219">
              <w:rPr>
                <w:rStyle w:val="FootnoteReference"/>
                <w:rFonts w:asciiTheme="majorHAnsi" w:hAnsiTheme="majorHAnsi"/>
                <w:bCs/>
                <w:sz w:val="20"/>
                <w:szCs w:val="20"/>
              </w:rPr>
              <w:footnoteReference w:id="2"/>
            </w:r>
          </w:p>
        </w:tc>
      </w:tr>
      <w:tr w:rsidR="00F621C3" w:rsidRPr="000C0219"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C0219" w:rsidRDefault="005816E5" w:rsidP="005816E5">
            <w:pPr>
              <w:jc w:val="center"/>
              <w:rPr>
                <w:rFonts w:ascii="Cambria" w:hAnsi="Cambria"/>
                <w:b/>
                <w:bCs/>
                <w:color w:val="FFFFFF" w:themeColor="background1"/>
                <w:sz w:val="20"/>
                <w:szCs w:val="20"/>
              </w:rPr>
            </w:pPr>
            <w:r w:rsidRPr="000C0219">
              <w:rPr>
                <w:rFonts w:ascii="Cambria" w:hAnsi="Cambria"/>
                <w:b/>
                <w:bCs/>
                <w:color w:val="FFFFFF" w:themeColor="background1"/>
                <w:sz w:val="20"/>
                <w:szCs w:val="20"/>
              </w:rPr>
              <w:t xml:space="preserve">Respondent </w:t>
            </w:r>
            <w:r w:rsidR="00F621C3" w:rsidRPr="000C0219">
              <w:rPr>
                <w:rFonts w:ascii="Cambria" w:hAnsi="Cambria"/>
                <w:b/>
                <w:bCs/>
                <w:color w:val="FFFFFF" w:themeColor="background1"/>
                <w:sz w:val="20"/>
                <w:szCs w:val="20"/>
              </w:rPr>
              <w:t>State:</w:t>
            </w:r>
          </w:p>
        </w:tc>
        <w:tc>
          <w:tcPr>
            <w:tcW w:w="5670" w:type="dxa"/>
            <w:vAlign w:val="center"/>
          </w:tcPr>
          <w:p w14:paraId="3539D391" w14:textId="2C3BB12A" w:rsidR="00F621C3" w:rsidRPr="000C0219" w:rsidRDefault="004E0D29" w:rsidP="009163FC">
            <w:pPr>
              <w:jc w:val="both"/>
              <w:rPr>
                <w:rFonts w:ascii="Cambria" w:hAnsi="Cambria"/>
                <w:bCs/>
                <w:sz w:val="20"/>
                <w:szCs w:val="20"/>
              </w:rPr>
            </w:pPr>
            <w:r w:rsidRPr="000C0219">
              <w:rPr>
                <w:rFonts w:asciiTheme="majorHAnsi" w:hAnsiTheme="majorHAnsi"/>
                <w:sz w:val="20"/>
                <w:szCs w:val="20"/>
              </w:rPr>
              <w:t>Mexico</w:t>
            </w:r>
            <w:r w:rsidRPr="000C0219">
              <w:rPr>
                <w:rStyle w:val="FootnoteReference"/>
                <w:rFonts w:asciiTheme="majorHAnsi" w:hAnsiTheme="majorHAnsi"/>
                <w:b/>
                <w:sz w:val="20"/>
                <w:szCs w:val="20"/>
              </w:rPr>
              <w:footnoteReference w:id="3"/>
            </w:r>
          </w:p>
        </w:tc>
      </w:tr>
      <w:tr w:rsidR="00E47F3D" w:rsidRPr="000C0219"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C0219" w:rsidRDefault="00E47F3D" w:rsidP="00E7588C">
            <w:pPr>
              <w:jc w:val="center"/>
              <w:rPr>
                <w:rFonts w:ascii="Cambria" w:hAnsi="Cambria"/>
                <w:b/>
                <w:bCs/>
                <w:color w:val="FFFFFF" w:themeColor="background1"/>
                <w:sz w:val="20"/>
                <w:szCs w:val="20"/>
              </w:rPr>
            </w:pPr>
            <w:r w:rsidRPr="000C0219">
              <w:rPr>
                <w:rFonts w:ascii="Cambria" w:hAnsi="Cambria"/>
                <w:b/>
                <w:bCs/>
                <w:color w:val="FFFFFF" w:themeColor="background1"/>
                <w:sz w:val="20"/>
                <w:szCs w:val="20"/>
              </w:rPr>
              <w:t xml:space="preserve">Rights </w:t>
            </w:r>
            <w:r w:rsidR="00E7588C" w:rsidRPr="000C0219">
              <w:rPr>
                <w:rFonts w:ascii="Cambria" w:hAnsi="Cambria"/>
                <w:b/>
                <w:bCs/>
                <w:color w:val="FFFFFF" w:themeColor="background1"/>
                <w:sz w:val="20"/>
                <w:szCs w:val="20"/>
              </w:rPr>
              <w:t>invoked:</w:t>
            </w:r>
          </w:p>
        </w:tc>
        <w:tc>
          <w:tcPr>
            <w:tcW w:w="5670" w:type="dxa"/>
            <w:vAlign w:val="center"/>
          </w:tcPr>
          <w:p w14:paraId="51EEF9D2" w14:textId="74B25E67" w:rsidR="00E47F3D" w:rsidRPr="000C0219" w:rsidRDefault="004E0D29" w:rsidP="009163FC">
            <w:pPr>
              <w:jc w:val="both"/>
              <w:rPr>
                <w:rFonts w:ascii="Cambria" w:hAnsi="Cambria"/>
                <w:bCs/>
                <w:sz w:val="20"/>
                <w:szCs w:val="20"/>
              </w:rPr>
            </w:pPr>
            <w:r w:rsidRPr="000C0219">
              <w:rPr>
                <w:rFonts w:asciiTheme="majorHAnsi" w:hAnsiTheme="majorHAnsi"/>
                <w:bCs/>
                <w:sz w:val="20"/>
                <w:szCs w:val="20"/>
              </w:rPr>
              <w:t xml:space="preserve">Articles 9 (freedom from ex post facto laws) and 13 (freedom of expression) in relation to Articles 1.1 </w:t>
            </w:r>
            <w:r w:rsidRPr="000C0219">
              <w:rPr>
                <w:rFonts w:asciiTheme="majorHAnsi" w:hAnsiTheme="majorHAnsi"/>
                <w:sz w:val="20"/>
                <w:szCs w:val="20"/>
              </w:rPr>
              <w:t>(obligation to respect rights)</w:t>
            </w:r>
            <w:r w:rsidRPr="000C0219">
              <w:rPr>
                <w:rFonts w:asciiTheme="majorHAnsi" w:hAnsiTheme="majorHAnsi"/>
                <w:bCs/>
                <w:sz w:val="20"/>
                <w:szCs w:val="20"/>
              </w:rPr>
              <w:t xml:space="preserve"> and 2 (</w:t>
            </w:r>
            <w:r w:rsidRPr="000C0219">
              <w:rPr>
                <w:rFonts w:asciiTheme="majorHAnsi" w:hAnsiTheme="majorHAnsi" w:cs="Tahoma"/>
                <w:bCs/>
                <w:color w:val="000000"/>
                <w:sz w:val="20"/>
                <w:szCs w:val="20"/>
              </w:rPr>
              <w:t>domestic legal effects)</w:t>
            </w:r>
            <w:r w:rsidR="00FB5731" w:rsidRPr="000C0219">
              <w:rPr>
                <w:rFonts w:asciiTheme="majorHAnsi" w:hAnsiTheme="majorHAnsi"/>
                <w:bCs/>
                <w:sz w:val="20"/>
                <w:szCs w:val="20"/>
              </w:rPr>
              <w:t xml:space="preserve"> </w:t>
            </w:r>
            <w:r w:rsidRPr="000C0219">
              <w:rPr>
                <w:rFonts w:asciiTheme="majorHAnsi" w:hAnsiTheme="majorHAnsi"/>
                <w:bCs/>
                <w:sz w:val="20"/>
                <w:szCs w:val="20"/>
              </w:rPr>
              <w:t>of the American Convention on Human Rights</w:t>
            </w:r>
            <w:r w:rsidRPr="000C0219">
              <w:rPr>
                <w:rStyle w:val="FootnoteReference"/>
                <w:rFonts w:asciiTheme="majorHAnsi" w:hAnsiTheme="majorHAnsi"/>
                <w:bCs/>
                <w:sz w:val="20"/>
                <w:szCs w:val="20"/>
              </w:rPr>
              <w:footnoteReference w:id="4"/>
            </w:r>
            <w:r w:rsidRPr="000C0219">
              <w:rPr>
                <w:rFonts w:asciiTheme="majorHAnsi" w:hAnsiTheme="majorHAnsi"/>
                <w:bCs/>
                <w:sz w:val="20"/>
                <w:szCs w:val="20"/>
              </w:rPr>
              <w:t xml:space="preserve"> and Articles IV (right to freedom of investigation, opinion, expression and dissemination) and XXVI (right to due process of law) of the American Declaration of the Rights and Duties of Man</w:t>
            </w:r>
            <w:r w:rsidRPr="000C0219">
              <w:rPr>
                <w:rStyle w:val="FootnoteReference"/>
                <w:rFonts w:asciiTheme="majorHAnsi" w:hAnsiTheme="majorHAnsi"/>
                <w:bCs/>
                <w:sz w:val="20"/>
                <w:szCs w:val="20"/>
              </w:rPr>
              <w:footnoteReference w:id="5"/>
            </w:r>
          </w:p>
        </w:tc>
      </w:tr>
    </w:tbl>
    <w:p w14:paraId="006E8D49" w14:textId="1C646C41" w:rsidR="00F621C3" w:rsidRPr="000C0219" w:rsidRDefault="00F621C3" w:rsidP="00F621C3">
      <w:pPr>
        <w:spacing w:before="240" w:after="240"/>
        <w:ind w:firstLine="720"/>
        <w:jc w:val="both"/>
        <w:rPr>
          <w:rFonts w:asciiTheme="majorHAnsi" w:hAnsiTheme="majorHAnsi"/>
          <w:b/>
          <w:bCs/>
          <w:sz w:val="20"/>
          <w:szCs w:val="20"/>
        </w:rPr>
      </w:pPr>
      <w:r w:rsidRPr="000C0219">
        <w:rPr>
          <w:rFonts w:asciiTheme="majorHAnsi" w:hAnsiTheme="majorHAnsi"/>
          <w:b/>
          <w:bCs/>
          <w:sz w:val="20"/>
          <w:szCs w:val="20"/>
        </w:rPr>
        <w:t>II.</w:t>
      </w:r>
      <w:r w:rsidRPr="000C0219">
        <w:rPr>
          <w:rFonts w:asciiTheme="majorHAnsi" w:hAnsiTheme="majorHAnsi"/>
          <w:b/>
          <w:bCs/>
          <w:sz w:val="20"/>
          <w:szCs w:val="20"/>
        </w:rPr>
        <w:tab/>
        <w:t>PROCE</w:t>
      </w:r>
      <w:r w:rsidR="00321AFD" w:rsidRPr="000C0219">
        <w:rPr>
          <w:rFonts w:asciiTheme="majorHAnsi" w:hAnsiTheme="majorHAnsi"/>
          <w:b/>
          <w:bCs/>
          <w:sz w:val="20"/>
          <w:szCs w:val="20"/>
        </w:rPr>
        <w:t>EDINGS</w:t>
      </w:r>
      <w:r w:rsidRPr="000C0219">
        <w:rPr>
          <w:rFonts w:asciiTheme="majorHAnsi" w:hAnsiTheme="majorHAnsi"/>
          <w:b/>
          <w:bCs/>
          <w:sz w:val="20"/>
          <w:szCs w:val="20"/>
        </w:rPr>
        <w:t xml:space="preserve"> BEFORE THE IACHR</w:t>
      </w:r>
      <w:r w:rsidR="00653EA6" w:rsidRPr="000C0219">
        <w:rPr>
          <w:rStyle w:val="FootnoteReference"/>
          <w:rFonts w:ascii="Cambria" w:hAnsi="Cambria"/>
          <w:b/>
          <w:sz w:val="20"/>
          <w:szCs w:val="20"/>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C0219"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0C0219" w:rsidRDefault="00B06BB7" w:rsidP="00B06BB7">
            <w:pPr>
              <w:jc w:val="center"/>
              <w:rPr>
                <w:rFonts w:ascii="Cambria" w:hAnsi="Cambria"/>
                <w:b/>
                <w:bCs/>
                <w:color w:val="FFFFFF" w:themeColor="background1"/>
                <w:sz w:val="20"/>
                <w:szCs w:val="20"/>
              </w:rPr>
            </w:pPr>
            <w:r w:rsidRPr="000C0219">
              <w:rPr>
                <w:rFonts w:ascii="Cambria" w:hAnsi="Cambria"/>
                <w:b/>
                <w:bCs/>
                <w:color w:val="FFFFFF" w:themeColor="background1"/>
                <w:sz w:val="20"/>
                <w:szCs w:val="20"/>
              </w:rPr>
              <w:t>Filing of the petition</w:t>
            </w:r>
            <w:r w:rsidR="00F621C3" w:rsidRPr="000C0219">
              <w:rPr>
                <w:rFonts w:ascii="Cambria" w:hAnsi="Cambria"/>
                <w:b/>
                <w:bCs/>
                <w:color w:val="FFFFFF" w:themeColor="background1"/>
                <w:sz w:val="20"/>
                <w:szCs w:val="20"/>
              </w:rPr>
              <w:t>:</w:t>
            </w:r>
          </w:p>
        </w:tc>
        <w:tc>
          <w:tcPr>
            <w:tcW w:w="5670" w:type="dxa"/>
            <w:vAlign w:val="center"/>
          </w:tcPr>
          <w:p w14:paraId="1C0C3DE2" w14:textId="104A7C19" w:rsidR="00F621C3" w:rsidRPr="000C0219" w:rsidRDefault="004E0D29" w:rsidP="009163FC">
            <w:pPr>
              <w:jc w:val="both"/>
              <w:rPr>
                <w:rFonts w:ascii="Cambria" w:hAnsi="Cambria"/>
                <w:bCs/>
                <w:sz w:val="20"/>
                <w:szCs w:val="20"/>
              </w:rPr>
            </w:pPr>
            <w:r w:rsidRPr="000C0219">
              <w:rPr>
                <w:rFonts w:asciiTheme="majorHAnsi" w:hAnsiTheme="majorHAnsi"/>
                <w:bCs/>
                <w:sz w:val="20"/>
                <w:szCs w:val="20"/>
              </w:rPr>
              <w:t>February 26, 2010</w:t>
            </w:r>
          </w:p>
        </w:tc>
      </w:tr>
      <w:tr w:rsidR="00F621C3" w:rsidRPr="000C0219"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0C0219" w:rsidRDefault="00F621C3" w:rsidP="003771A3">
            <w:pPr>
              <w:jc w:val="center"/>
              <w:rPr>
                <w:rFonts w:ascii="Cambria" w:hAnsi="Cambria"/>
                <w:b/>
                <w:color w:val="FFFFFF" w:themeColor="background1"/>
                <w:sz w:val="20"/>
                <w:szCs w:val="20"/>
              </w:rPr>
            </w:pPr>
            <w:r w:rsidRPr="000C0219">
              <w:rPr>
                <w:rFonts w:ascii="Cambria" w:hAnsi="Cambria"/>
                <w:b/>
                <w:color w:val="FFFFFF" w:themeColor="background1"/>
                <w:sz w:val="20"/>
                <w:szCs w:val="20"/>
              </w:rPr>
              <w:t xml:space="preserve">Additional information received at the </w:t>
            </w:r>
            <w:r w:rsidR="003771A3" w:rsidRPr="000C0219">
              <w:rPr>
                <w:rFonts w:ascii="Cambria" w:hAnsi="Cambria"/>
                <w:b/>
                <w:color w:val="FFFFFF" w:themeColor="background1"/>
                <w:sz w:val="20"/>
                <w:szCs w:val="20"/>
              </w:rPr>
              <w:t>s</w:t>
            </w:r>
            <w:r w:rsidRPr="000C0219">
              <w:rPr>
                <w:rFonts w:ascii="Cambria" w:hAnsi="Cambria"/>
                <w:b/>
                <w:color w:val="FFFFFF" w:themeColor="background1"/>
                <w:sz w:val="20"/>
                <w:szCs w:val="20"/>
              </w:rPr>
              <w:t>tage</w:t>
            </w:r>
            <w:r w:rsidR="003771A3" w:rsidRPr="000C0219">
              <w:rPr>
                <w:rFonts w:ascii="Cambria" w:hAnsi="Cambria"/>
                <w:b/>
                <w:color w:val="FFFFFF" w:themeColor="background1"/>
                <w:sz w:val="20"/>
                <w:szCs w:val="20"/>
              </w:rPr>
              <w:t xml:space="preserve"> of initial review</w:t>
            </w:r>
            <w:r w:rsidRPr="000C0219">
              <w:rPr>
                <w:rFonts w:ascii="Cambria" w:hAnsi="Cambria"/>
                <w:b/>
                <w:color w:val="FFFFFF" w:themeColor="background1"/>
                <w:sz w:val="20"/>
                <w:szCs w:val="20"/>
              </w:rPr>
              <w:t>:</w:t>
            </w:r>
          </w:p>
        </w:tc>
        <w:tc>
          <w:tcPr>
            <w:tcW w:w="5670" w:type="dxa"/>
            <w:vAlign w:val="center"/>
          </w:tcPr>
          <w:p w14:paraId="499B90CB" w14:textId="014FDA1B" w:rsidR="00F621C3" w:rsidRPr="000C0219" w:rsidRDefault="004E0D29" w:rsidP="009163FC">
            <w:pPr>
              <w:jc w:val="both"/>
              <w:rPr>
                <w:rFonts w:ascii="Cambria" w:hAnsi="Cambria"/>
                <w:bCs/>
                <w:sz w:val="20"/>
                <w:szCs w:val="20"/>
              </w:rPr>
            </w:pPr>
            <w:r w:rsidRPr="000C0219">
              <w:rPr>
                <w:rFonts w:asciiTheme="majorHAnsi" w:hAnsiTheme="majorHAnsi"/>
                <w:bCs/>
                <w:sz w:val="20"/>
                <w:szCs w:val="20"/>
              </w:rPr>
              <w:t>March 3, 2010; April 22, 2010; April 22, 2016</w:t>
            </w:r>
          </w:p>
        </w:tc>
      </w:tr>
      <w:tr w:rsidR="00F621C3" w:rsidRPr="000C0219"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0C0219" w:rsidRDefault="00B06BB7" w:rsidP="00B06BB7">
            <w:pPr>
              <w:jc w:val="center"/>
              <w:rPr>
                <w:rFonts w:ascii="Cambria" w:hAnsi="Cambria"/>
                <w:b/>
                <w:bCs/>
                <w:color w:val="FFFFFF" w:themeColor="background1"/>
                <w:sz w:val="20"/>
                <w:szCs w:val="20"/>
              </w:rPr>
            </w:pPr>
            <w:r w:rsidRPr="000C0219">
              <w:rPr>
                <w:rFonts w:ascii="Cambria" w:hAnsi="Cambria"/>
                <w:b/>
                <w:color w:val="FFFFFF" w:themeColor="background1"/>
                <w:sz w:val="20"/>
                <w:szCs w:val="20"/>
              </w:rPr>
              <w:t>Notification of the petition to</w:t>
            </w:r>
            <w:r w:rsidR="00F621C3" w:rsidRPr="000C0219">
              <w:rPr>
                <w:rFonts w:ascii="Cambria" w:hAnsi="Cambria"/>
                <w:b/>
                <w:color w:val="FFFFFF" w:themeColor="background1"/>
                <w:sz w:val="20"/>
                <w:szCs w:val="20"/>
              </w:rPr>
              <w:t xml:space="preserve"> the State:</w:t>
            </w:r>
          </w:p>
        </w:tc>
        <w:tc>
          <w:tcPr>
            <w:tcW w:w="5670" w:type="dxa"/>
            <w:vAlign w:val="center"/>
          </w:tcPr>
          <w:p w14:paraId="22ADBFFE" w14:textId="77956671" w:rsidR="00F621C3" w:rsidRPr="000C0219" w:rsidRDefault="004E0D29" w:rsidP="009163FC">
            <w:pPr>
              <w:jc w:val="both"/>
              <w:rPr>
                <w:rFonts w:ascii="Cambria" w:hAnsi="Cambria"/>
                <w:bCs/>
                <w:sz w:val="20"/>
                <w:szCs w:val="20"/>
              </w:rPr>
            </w:pPr>
            <w:r w:rsidRPr="000C0219">
              <w:rPr>
                <w:rFonts w:asciiTheme="majorHAnsi" w:hAnsiTheme="majorHAnsi"/>
                <w:bCs/>
                <w:sz w:val="20"/>
                <w:szCs w:val="20"/>
              </w:rPr>
              <w:t>May 24, 2016</w:t>
            </w:r>
          </w:p>
        </w:tc>
      </w:tr>
      <w:tr w:rsidR="00F621C3" w:rsidRPr="000C0219"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C0219" w:rsidRDefault="00F621C3" w:rsidP="009163FC">
            <w:pPr>
              <w:jc w:val="center"/>
              <w:rPr>
                <w:rFonts w:ascii="Cambria" w:hAnsi="Cambria"/>
                <w:b/>
                <w:bCs/>
                <w:color w:val="FFFFFF" w:themeColor="background1"/>
                <w:sz w:val="20"/>
                <w:szCs w:val="20"/>
              </w:rPr>
            </w:pPr>
            <w:r w:rsidRPr="000C0219">
              <w:rPr>
                <w:rFonts w:ascii="Cambria" w:hAnsi="Cambria"/>
                <w:b/>
                <w:color w:val="FFFFFF" w:themeColor="background1"/>
                <w:sz w:val="20"/>
                <w:szCs w:val="20"/>
              </w:rPr>
              <w:t>State’s first response:</w:t>
            </w:r>
          </w:p>
        </w:tc>
        <w:tc>
          <w:tcPr>
            <w:tcW w:w="5670" w:type="dxa"/>
            <w:vAlign w:val="center"/>
          </w:tcPr>
          <w:p w14:paraId="19C5DA57" w14:textId="4DA393FB" w:rsidR="00F621C3" w:rsidRPr="000C0219" w:rsidRDefault="004E0D29" w:rsidP="009163FC">
            <w:pPr>
              <w:jc w:val="both"/>
              <w:rPr>
                <w:rFonts w:ascii="Cambria" w:hAnsi="Cambria"/>
                <w:bCs/>
                <w:sz w:val="20"/>
                <w:szCs w:val="20"/>
              </w:rPr>
            </w:pPr>
            <w:r w:rsidRPr="000C0219">
              <w:rPr>
                <w:rFonts w:asciiTheme="majorHAnsi" w:hAnsiTheme="majorHAnsi"/>
                <w:bCs/>
                <w:sz w:val="20"/>
                <w:szCs w:val="20"/>
              </w:rPr>
              <w:t>May 11, 2017</w:t>
            </w:r>
          </w:p>
        </w:tc>
      </w:tr>
      <w:tr w:rsidR="003771A3" w:rsidRPr="000C0219"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0C0219" w:rsidRDefault="003771A3" w:rsidP="0023351C">
            <w:pPr>
              <w:jc w:val="center"/>
              <w:rPr>
                <w:rFonts w:ascii="Cambria" w:hAnsi="Cambria"/>
                <w:b/>
                <w:bCs/>
                <w:color w:val="FFFFFF" w:themeColor="background1"/>
                <w:sz w:val="20"/>
                <w:szCs w:val="20"/>
              </w:rPr>
            </w:pPr>
            <w:r w:rsidRPr="000C0219">
              <w:rPr>
                <w:rFonts w:ascii="Cambria" w:hAnsi="Cambria"/>
                <w:b/>
                <w:bCs/>
                <w:color w:val="FFFFFF" w:themeColor="background1"/>
                <w:sz w:val="20"/>
                <w:szCs w:val="20"/>
              </w:rPr>
              <w:t>Additional observations from the petition</w:t>
            </w:r>
            <w:r w:rsidR="0023351C" w:rsidRPr="000C0219">
              <w:rPr>
                <w:rFonts w:ascii="Cambria" w:hAnsi="Cambria"/>
                <w:b/>
                <w:bCs/>
                <w:color w:val="FFFFFF" w:themeColor="background1"/>
                <w:sz w:val="20"/>
                <w:szCs w:val="20"/>
              </w:rPr>
              <w:t>er</w:t>
            </w:r>
            <w:r w:rsidRPr="000C0219">
              <w:rPr>
                <w:rFonts w:ascii="Cambria" w:hAnsi="Cambria"/>
                <w:b/>
                <w:bCs/>
                <w:color w:val="FFFFFF" w:themeColor="background1"/>
                <w:sz w:val="20"/>
                <w:szCs w:val="20"/>
              </w:rPr>
              <w:t>:</w:t>
            </w:r>
          </w:p>
        </w:tc>
        <w:tc>
          <w:tcPr>
            <w:tcW w:w="5670" w:type="dxa"/>
            <w:vAlign w:val="center"/>
          </w:tcPr>
          <w:p w14:paraId="2A863ACD" w14:textId="0EB2BAF0" w:rsidR="003771A3" w:rsidRPr="000C0219" w:rsidRDefault="004E0D29" w:rsidP="009163FC">
            <w:pPr>
              <w:jc w:val="both"/>
              <w:rPr>
                <w:rFonts w:ascii="Cambria" w:hAnsi="Cambria"/>
                <w:bCs/>
                <w:sz w:val="20"/>
                <w:szCs w:val="20"/>
              </w:rPr>
            </w:pPr>
            <w:r w:rsidRPr="000C0219">
              <w:rPr>
                <w:rFonts w:asciiTheme="majorHAnsi" w:hAnsiTheme="majorHAnsi"/>
                <w:bCs/>
                <w:sz w:val="20"/>
                <w:szCs w:val="20"/>
              </w:rPr>
              <w:t>July 17, 2017</w:t>
            </w:r>
          </w:p>
        </w:tc>
      </w:tr>
    </w:tbl>
    <w:p w14:paraId="7F88B361" w14:textId="77777777" w:rsidR="00F621C3" w:rsidRPr="000C0219" w:rsidRDefault="00F621C3" w:rsidP="00F621C3">
      <w:pPr>
        <w:spacing w:before="240" w:after="240"/>
        <w:ind w:firstLine="720"/>
        <w:jc w:val="both"/>
        <w:rPr>
          <w:rFonts w:asciiTheme="majorHAnsi" w:hAnsiTheme="majorHAnsi"/>
          <w:b/>
          <w:bCs/>
          <w:sz w:val="20"/>
          <w:szCs w:val="20"/>
        </w:rPr>
      </w:pPr>
      <w:r w:rsidRPr="000C0219">
        <w:rPr>
          <w:rFonts w:asciiTheme="majorHAnsi" w:hAnsiTheme="majorHAnsi"/>
          <w:b/>
          <w:bCs/>
          <w:sz w:val="20"/>
          <w:szCs w:val="20"/>
        </w:rPr>
        <w:t xml:space="preserve">III. </w:t>
      </w:r>
      <w:r w:rsidRPr="000C0219">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0C0219"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C0219" w:rsidRDefault="00F621C3" w:rsidP="009163FC">
            <w:pPr>
              <w:jc w:val="center"/>
              <w:rPr>
                <w:rFonts w:ascii="Cambria" w:hAnsi="Cambria"/>
                <w:b/>
                <w:bCs/>
                <w:i/>
                <w:color w:val="FFFFFF" w:themeColor="background1"/>
                <w:sz w:val="20"/>
                <w:szCs w:val="20"/>
              </w:rPr>
            </w:pPr>
            <w:r w:rsidRPr="000C0219">
              <w:rPr>
                <w:rFonts w:ascii="Cambria" w:hAnsi="Cambria"/>
                <w:b/>
                <w:bCs/>
                <w:color w:val="FFFFFF" w:themeColor="background1"/>
                <w:sz w:val="20"/>
                <w:szCs w:val="20"/>
              </w:rPr>
              <w:t>Competence</w:t>
            </w:r>
            <w:r w:rsidRPr="000C0219">
              <w:rPr>
                <w:rFonts w:ascii="Cambria" w:hAnsi="Cambria"/>
                <w:b/>
                <w:bCs/>
                <w:i/>
                <w:color w:val="FFFFFF" w:themeColor="background1"/>
                <w:sz w:val="20"/>
                <w:szCs w:val="20"/>
              </w:rPr>
              <w:t xml:space="preserve"> Ratione personae:</w:t>
            </w:r>
          </w:p>
        </w:tc>
        <w:tc>
          <w:tcPr>
            <w:tcW w:w="5670" w:type="dxa"/>
            <w:vAlign w:val="center"/>
          </w:tcPr>
          <w:p w14:paraId="237A8D0C" w14:textId="4780EE19" w:rsidR="00F621C3" w:rsidRPr="000C0219" w:rsidRDefault="004E0D29" w:rsidP="009163FC">
            <w:pPr>
              <w:rPr>
                <w:rFonts w:asciiTheme="majorHAnsi" w:hAnsiTheme="majorHAnsi"/>
                <w:bCs/>
                <w:sz w:val="20"/>
                <w:szCs w:val="20"/>
              </w:rPr>
            </w:pPr>
            <w:r w:rsidRPr="000C0219">
              <w:rPr>
                <w:rFonts w:asciiTheme="majorHAnsi" w:hAnsiTheme="majorHAnsi"/>
                <w:sz w:val="20"/>
                <w:szCs w:val="20"/>
              </w:rPr>
              <w:t>Yes, in the terms of section VI</w:t>
            </w:r>
          </w:p>
        </w:tc>
      </w:tr>
      <w:tr w:rsidR="00F621C3" w:rsidRPr="000C0219"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C0219" w:rsidRDefault="00F621C3" w:rsidP="009163FC">
            <w:pPr>
              <w:jc w:val="center"/>
              <w:rPr>
                <w:rFonts w:ascii="Cambria" w:hAnsi="Cambria"/>
                <w:b/>
                <w:bCs/>
                <w:color w:val="FFFFFF" w:themeColor="background1"/>
                <w:sz w:val="20"/>
                <w:szCs w:val="20"/>
              </w:rPr>
            </w:pPr>
            <w:r w:rsidRPr="000C0219">
              <w:rPr>
                <w:rFonts w:ascii="Cambria" w:hAnsi="Cambria"/>
                <w:b/>
                <w:bCs/>
                <w:color w:val="FFFFFF" w:themeColor="background1"/>
                <w:sz w:val="20"/>
                <w:szCs w:val="20"/>
              </w:rPr>
              <w:t>Competence</w:t>
            </w:r>
            <w:r w:rsidRPr="000C0219">
              <w:rPr>
                <w:rFonts w:ascii="Cambria" w:hAnsi="Cambria"/>
                <w:b/>
                <w:bCs/>
                <w:i/>
                <w:color w:val="FFFFFF" w:themeColor="background1"/>
                <w:sz w:val="20"/>
                <w:szCs w:val="20"/>
              </w:rPr>
              <w:t xml:space="preserve"> Ratione loci</w:t>
            </w:r>
            <w:r w:rsidRPr="000C0219">
              <w:rPr>
                <w:rFonts w:ascii="Cambria" w:hAnsi="Cambria"/>
                <w:b/>
                <w:bCs/>
                <w:color w:val="FFFFFF" w:themeColor="background1"/>
                <w:sz w:val="20"/>
                <w:szCs w:val="20"/>
              </w:rPr>
              <w:t>:</w:t>
            </w:r>
          </w:p>
        </w:tc>
        <w:tc>
          <w:tcPr>
            <w:tcW w:w="5670" w:type="dxa"/>
            <w:vAlign w:val="center"/>
          </w:tcPr>
          <w:p w14:paraId="48257424" w14:textId="383B0B7A" w:rsidR="00F621C3" w:rsidRPr="000C0219" w:rsidRDefault="004E0D29" w:rsidP="009163FC">
            <w:pPr>
              <w:rPr>
                <w:rFonts w:asciiTheme="majorHAnsi" w:hAnsiTheme="majorHAnsi"/>
                <w:bCs/>
                <w:sz w:val="20"/>
                <w:szCs w:val="20"/>
              </w:rPr>
            </w:pPr>
            <w:r w:rsidRPr="000C0219">
              <w:rPr>
                <w:rFonts w:asciiTheme="majorHAnsi" w:hAnsiTheme="majorHAnsi"/>
                <w:bCs/>
                <w:sz w:val="20"/>
                <w:szCs w:val="20"/>
              </w:rPr>
              <w:t>Yes</w:t>
            </w:r>
          </w:p>
        </w:tc>
      </w:tr>
      <w:tr w:rsidR="00F621C3" w:rsidRPr="000C0219"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C0219" w:rsidRDefault="00F621C3" w:rsidP="009163FC">
            <w:pPr>
              <w:jc w:val="center"/>
              <w:rPr>
                <w:rFonts w:ascii="Cambria" w:hAnsi="Cambria"/>
                <w:b/>
                <w:bCs/>
                <w:color w:val="FFFFFF" w:themeColor="background1"/>
                <w:sz w:val="20"/>
                <w:szCs w:val="20"/>
              </w:rPr>
            </w:pPr>
            <w:r w:rsidRPr="000C0219">
              <w:rPr>
                <w:rFonts w:ascii="Cambria" w:hAnsi="Cambria"/>
                <w:b/>
                <w:bCs/>
                <w:color w:val="FFFFFF" w:themeColor="background1"/>
                <w:sz w:val="20"/>
                <w:szCs w:val="20"/>
              </w:rPr>
              <w:t>Competence</w:t>
            </w:r>
            <w:r w:rsidRPr="000C0219">
              <w:rPr>
                <w:rFonts w:ascii="Cambria" w:hAnsi="Cambria"/>
                <w:b/>
                <w:bCs/>
                <w:i/>
                <w:color w:val="FFFFFF" w:themeColor="background1"/>
                <w:sz w:val="20"/>
                <w:szCs w:val="20"/>
              </w:rPr>
              <w:t xml:space="preserve"> Ratione temporis</w:t>
            </w:r>
            <w:r w:rsidRPr="000C0219">
              <w:rPr>
                <w:rFonts w:ascii="Cambria" w:hAnsi="Cambria"/>
                <w:b/>
                <w:bCs/>
                <w:color w:val="FFFFFF" w:themeColor="background1"/>
                <w:sz w:val="20"/>
                <w:szCs w:val="20"/>
              </w:rPr>
              <w:t>:</w:t>
            </w:r>
          </w:p>
        </w:tc>
        <w:tc>
          <w:tcPr>
            <w:tcW w:w="5670" w:type="dxa"/>
            <w:vAlign w:val="center"/>
          </w:tcPr>
          <w:p w14:paraId="74B3F783" w14:textId="4C340B5B" w:rsidR="00F621C3" w:rsidRPr="000C0219" w:rsidRDefault="004E0D29" w:rsidP="009163FC">
            <w:pPr>
              <w:rPr>
                <w:rFonts w:asciiTheme="majorHAnsi" w:hAnsiTheme="majorHAnsi"/>
                <w:bCs/>
                <w:sz w:val="20"/>
                <w:szCs w:val="20"/>
              </w:rPr>
            </w:pPr>
            <w:r w:rsidRPr="000C0219">
              <w:rPr>
                <w:rFonts w:asciiTheme="majorHAnsi" w:hAnsiTheme="majorHAnsi"/>
                <w:bCs/>
                <w:sz w:val="20"/>
                <w:szCs w:val="20"/>
              </w:rPr>
              <w:t>Yes</w:t>
            </w:r>
          </w:p>
        </w:tc>
      </w:tr>
      <w:tr w:rsidR="00F621C3" w:rsidRPr="000C0219"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C0219" w:rsidRDefault="00F621C3" w:rsidP="009163FC">
            <w:pPr>
              <w:jc w:val="center"/>
              <w:rPr>
                <w:rFonts w:ascii="Cambria" w:hAnsi="Cambria"/>
                <w:b/>
                <w:bCs/>
                <w:color w:val="FFFFFF" w:themeColor="background1"/>
                <w:sz w:val="20"/>
                <w:szCs w:val="20"/>
              </w:rPr>
            </w:pPr>
            <w:r w:rsidRPr="000C0219">
              <w:rPr>
                <w:rFonts w:ascii="Cambria" w:hAnsi="Cambria"/>
                <w:b/>
                <w:bCs/>
                <w:color w:val="FFFFFF" w:themeColor="background1"/>
                <w:sz w:val="20"/>
                <w:szCs w:val="20"/>
              </w:rPr>
              <w:t>Competence</w:t>
            </w:r>
            <w:r w:rsidRPr="000C0219">
              <w:rPr>
                <w:rFonts w:ascii="Cambria" w:hAnsi="Cambria"/>
                <w:b/>
                <w:bCs/>
                <w:i/>
                <w:color w:val="FFFFFF" w:themeColor="background1"/>
                <w:sz w:val="20"/>
                <w:szCs w:val="20"/>
              </w:rPr>
              <w:t xml:space="preserve"> Ratione materiae</w:t>
            </w:r>
            <w:r w:rsidRPr="000C0219">
              <w:rPr>
                <w:rFonts w:ascii="Cambria" w:hAnsi="Cambria"/>
                <w:b/>
                <w:bCs/>
                <w:color w:val="FFFFFF" w:themeColor="background1"/>
                <w:sz w:val="20"/>
                <w:szCs w:val="20"/>
              </w:rPr>
              <w:t>:</w:t>
            </w:r>
          </w:p>
        </w:tc>
        <w:tc>
          <w:tcPr>
            <w:tcW w:w="5670" w:type="dxa"/>
            <w:vAlign w:val="center"/>
          </w:tcPr>
          <w:p w14:paraId="64B3F199" w14:textId="0E25BE66" w:rsidR="00F621C3" w:rsidRPr="000C0219" w:rsidRDefault="004E0D29" w:rsidP="009163FC">
            <w:pPr>
              <w:jc w:val="both"/>
              <w:rPr>
                <w:rFonts w:asciiTheme="majorHAnsi" w:hAnsiTheme="majorHAnsi"/>
                <w:bCs/>
                <w:sz w:val="20"/>
                <w:szCs w:val="20"/>
              </w:rPr>
            </w:pPr>
            <w:r w:rsidRPr="000C0219">
              <w:rPr>
                <w:rFonts w:asciiTheme="majorHAnsi" w:hAnsiTheme="majorHAnsi"/>
                <w:sz w:val="20"/>
                <w:szCs w:val="20"/>
              </w:rPr>
              <w:t>Yes, American Convention (instrument deposited on March 24, 1981)</w:t>
            </w:r>
          </w:p>
        </w:tc>
      </w:tr>
    </w:tbl>
    <w:p w14:paraId="0408D4CD" w14:textId="54A61356" w:rsidR="00F621C3" w:rsidRPr="000C0219" w:rsidRDefault="00F621C3" w:rsidP="00F621C3">
      <w:pPr>
        <w:spacing w:before="240" w:after="240"/>
        <w:ind w:firstLine="720"/>
        <w:jc w:val="both"/>
        <w:rPr>
          <w:rFonts w:asciiTheme="majorHAnsi" w:hAnsiTheme="majorHAnsi"/>
          <w:b/>
          <w:bCs/>
          <w:sz w:val="20"/>
          <w:szCs w:val="20"/>
        </w:rPr>
      </w:pPr>
      <w:r w:rsidRPr="000C0219">
        <w:rPr>
          <w:rFonts w:asciiTheme="majorHAnsi" w:hAnsiTheme="majorHAnsi"/>
          <w:b/>
          <w:bCs/>
          <w:sz w:val="20"/>
          <w:szCs w:val="20"/>
        </w:rPr>
        <w:t xml:space="preserve">IV. </w:t>
      </w:r>
      <w:r w:rsidRPr="000C0219">
        <w:rPr>
          <w:rFonts w:asciiTheme="majorHAnsi" w:hAnsiTheme="majorHAnsi"/>
          <w:b/>
          <w:bCs/>
          <w:sz w:val="20"/>
          <w:szCs w:val="20"/>
        </w:rPr>
        <w:tab/>
        <w:t xml:space="preserve">DUPLICATION OF PROCEDURES AND INTERNATIONAL </w:t>
      </w:r>
      <w:r w:rsidRPr="000C0219">
        <w:rPr>
          <w:rFonts w:asciiTheme="majorHAnsi" w:hAnsiTheme="majorHAnsi"/>
          <w:b/>
          <w:bCs/>
          <w:i/>
          <w:sz w:val="20"/>
          <w:szCs w:val="20"/>
        </w:rPr>
        <w:t>RES JUDICATA</w:t>
      </w:r>
      <w:r w:rsidRPr="000C0219">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0"/>
        <w:gridCol w:w="5592"/>
      </w:tblGrid>
      <w:tr w:rsidR="00F621C3" w:rsidRPr="000C0219"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C0219" w:rsidRDefault="00F621C3" w:rsidP="009163FC">
            <w:pPr>
              <w:jc w:val="center"/>
              <w:rPr>
                <w:rFonts w:ascii="Cambria" w:hAnsi="Cambria"/>
                <w:b/>
                <w:bCs/>
                <w:color w:val="FFFFFF" w:themeColor="background1"/>
                <w:sz w:val="20"/>
                <w:szCs w:val="20"/>
              </w:rPr>
            </w:pPr>
            <w:r w:rsidRPr="000C0219">
              <w:rPr>
                <w:rFonts w:ascii="Cambria" w:hAnsi="Cambria"/>
                <w:b/>
                <w:bCs/>
                <w:color w:val="FFFFFF" w:themeColor="background1"/>
                <w:sz w:val="20"/>
                <w:szCs w:val="20"/>
              </w:rPr>
              <w:t xml:space="preserve">Duplication of procedures and International </w:t>
            </w:r>
            <w:r w:rsidRPr="000C0219">
              <w:rPr>
                <w:rFonts w:ascii="Cambria" w:hAnsi="Cambria"/>
                <w:b/>
                <w:bCs/>
                <w:i/>
                <w:color w:val="FFFFFF" w:themeColor="background1"/>
                <w:sz w:val="20"/>
                <w:szCs w:val="20"/>
              </w:rPr>
              <w:t>res judicata</w:t>
            </w:r>
            <w:r w:rsidRPr="000C0219">
              <w:rPr>
                <w:rFonts w:ascii="Cambria" w:hAnsi="Cambria"/>
                <w:b/>
                <w:bCs/>
                <w:color w:val="FFFFFF" w:themeColor="background1"/>
                <w:sz w:val="20"/>
                <w:szCs w:val="20"/>
              </w:rPr>
              <w:t>:</w:t>
            </w:r>
          </w:p>
        </w:tc>
        <w:tc>
          <w:tcPr>
            <w:tcW w:w="5670" w:type="dxa"/>
            <w:vAlign w:val="center"/>
          </w:tcPr>
          <w:p w14:paraId="4773CD23" w14:textId="59060FCB" w:rsidR="00F621C3" w:rsidRPr="000C0219" w:rsidRDefault="004E0D29" w:rsidP="009163FC">
            <w:pPr>
              <w:jc w:val="both"/>
              <w:rPr>
                <w:rFonts w:ascii="Cambria" w:hAnsi="Cambria"/>
                <w:bCs/>
                <w:sz w:val="20"/>
                <w:szCs w:val="20"/>
              </w:rPr>
            </w:pPr>
            <w:r w:rsidRPr="000C0219">
              <w:rPr>
                <w:rFonts w:ascii="Cambria" w:hAnsi="Cambria"/>
                <w:bCs/>
                <w:sz w:val="20"/>
                <w:szCs w:val="20"/>
              </w:rPr>
              <w:t>No</w:t>
            </w:r>
          </w:p>
        </w:tc>
      </w:tr>
      <w:tr w:rsidR="00F621C3" w:rsidRPr="000C0219"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C0219" w:rsidRDefault="00F621C3" w:rsidP="009163FC">
            <w:pPr>
              <w:jc w:val="center"/>
              <w:rPr>
                <w:rFonts w:ascii="Cambria" w:hAnsi="Cambria"/>
                <w:b/>
                <w:bCs/>
                <w:i/>
                <w:color w:val="FFFFFF" w:themeColor="background1"/>
                <w:sz w:val="20"/>
                <w:szCs w:val="20"/>
              </w:rPr>
            </w:pPr>
            <w:r w:rsidRPr="000C0219">
              <w:rPr>
                <w:rFonts w:ascii="Cambria" w:hAnsi="Cambria"/>
                <w:b/>
                <w:bCs/>
                <w:color w:val="FFFFFF" w:themeColor="background1"/>
                <w:sz w:val="20"/>
                <w:szCs w:val="20"/>
              </w:rPr>
              <w:t>Rights declared admissible</w:t>
            </w:r>
          </w:p>
        </w:tc>
        <w:tc>
          <w:tcPr>
            <w:tcW w:w="5670" w:type="dxa"/>
            <w:vAlign w:val="center"/>
          </w:tcPr>
          <w:p w14:paraId="33BE4040" w14:textId="0320FC26" w:rsidR="00F621C3" w:rsidRPr="009A159E" w:rsidRDefault="004E0D29" w:rsidP="009163FC">
            <w:pPr>
              <w:jc w:val="both"/>
              <w:rPr>
                <w:rFonts w:ascii="Cambria" w:hAnsi="Cambria"/>
                <w:bCs/>
                <w:sz w:val="19"/>
                <w:szCs w:val="19"/>
              </w:rPr>
            </w:pPr>
            <w:r w:rsidRPr="009A159E">
              <w:rPr>
                <w:rFonts w:asciiTheme="majorHAnsi" w:hAnsiTheme="majorHAnsi"/>
                <w:sz w:val="19"/>
                <w:szCs w:val="19"/>
              </w:rPr>
              <w:t>Articles 8 (right to a fair trial), 9 (freedom from ex post facto laws), 13 (freedom of expression), and 25 (right to judicial protection) in relation to Articles 1.1 (obligation to respect rights), and 2 (domestic legal effects) of the American Convention</w:t>
            </w:r>
          </w:p>
        </w:tc>
      </w:tr>
      <w:tr w:rsidR="00F621C3" w:rsidRPr="000C0219"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C0219" w:rsidRDefault="00F621C3" w:rsidP="009163FC">
            <w:pPr>
              <w:jc w:val="center"/>
              <w:rPr>
                <w:rFonts w:ascii="Cambria" w:hAnsi="Cambria"/>
                <w:b/>
                <w:bCs/>
                <w:color w:val="FFFFFF" w:themeColor="background1"/>
                <w:sz w:val="20"/>
                <w:szCs w:val="20"/>
              </w:rPr>
            </w:pPr>
            <w:r w:rsidRPr="000C0219">
              <w:rPr>
                <w:rFonts w:ascii="Cambria" w:hAnsi="Cambria"/>
                <w:b/>
                <w:bCs/>
                <w:color w:val="FFFFFF" w:themeColor="background1"/>
                <w:sz w:val="20"/>
                <w:szCs w:val="20"/>
              </w:rPr>
              <w:t>Exhaustion of domestic remedies or applicability of an exception to the rule:</w:t>
            </w:r>
          </w:p>
        </w:tc>
        <w:tc>
          <w:tcPr>
            <w:tcW w:w="5670" w:type="dxa"/>
            <w:vAlign w:val="center"/>
          </w:tcPr>
          <w:p w14:paraId="432DC56B" w14:textId="77BF23C2" w:rsidR="00F621C3" w:rsidRPr="000C0219" w:rsidRDefault="004E0D29" w:rsidP="009163FC">
            <w:pPr>
              <w:rPr>
                <w:rFonts w:ascii="Cambria" w:hAnsi="Cambria"/>
                <w:bCs/>
                <w:sz w:val="20"/>
                <w:szCs w:val="20"/>
              </w:rPr>
            </w:pPr>
            <w:r w:rsidRPr="000C0219">
              <w:rPr>
                <w:rFonts w:asciiTheme="majorHAnsi" w:hAnsiTheme="majorHAnsi"/>
                <w:sz w:val="20"/>
                <w:szCs w:val="20"/>
              </w:rPr>
              <w:t>Yes, August 26, 2009</w:t>
            </w:r>
          </w:p>
        </w:tc>
      </w:tr>
      <w:tr w:rsidR="00F621C3" w:rsidRPr="000C0219"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C0219" w:rsidRDefault="00F621C3" w:rsidP="009163FC">
            <w:pPr>
              <w:jc w:val="center"/>
              <w:rPr>
                <w:rFonts w:ascii="Cambria" w:hAnsi="Cambria"/>
                <w:b/>
                <w:bCs/>
                <w:color w:val="FFFFFF" w:themeColor="background1"/>
                <w:sz w:val="20"/>
                <w:szCs w:val="20"/>
              </w:rPr>
            </w:pPr>
            <w:r w:rsidRPr="000C0219">
              <w:rPr>
                <w:rFonts w:ascii="Cambria" w:hAnsi="Cambria"/>
                <w:b/>
                <w:bCs/>
                <w:color w:val="FFFFFF" w:themeColor="background1"/>
                <w:sz w:val="20"/>
                <w:szCs w:val="20"/>
              </w:rPr>
              <w:t>Timeliness of the petition:</w:t>
            </w:r>
          </w:p>
        </w:tc>
        <w:tc>
          <w:tcPr>
            <w:tcW w:w="5670" w:type="dxa"/>
            <w:vAlign w:val="center"/>
          </w:tcPr>
          <w:p w14:paraId="6A26CCE9" w14:textId="0B06AE6B" w:rsidR="00F621C3" w:rsidRPr="000C0219" w:rsidRDefault="004E0D29" w:rsidP="009163FC">
            <w:pPr>
              <w:rPr>
                <w:rFonts w:asciiTheme="majorHAnsi" w:hAnsiTheme="majorHAnsi"/>
                <w:bCs/>
                <w:sz w:val="20"/>
                <w:szCs w:val="20"/>
              </w:rPr>
            </w:pPr>
            <w:r w:rsidRPr="000C0219">
              <w:rPr>
                <w:rFonts w:asciiTheme="majorHAnsi" w:hAnsiTheme="majorHAnsi"/>
                <w:sz w:val="20"/>
                <w:szCs w:val="20"/>
              </w:rPr>
              <w:t>Yes, February 26, 2010</w:t>
            </w:r>
          </w:p>
        </w:tc>
      </w:tr>
    </w:tbl>
    <w:p w14:paraId="54172C4F" w14:textId="1A5DFA24" w:rsidR="00B06BB7" w:rsidRPr="000C0219" w:rsidRDefault="00B06BB7">
      <w:pPr>
        <w:rPr>
          <w:rFonts w:asciiTheme="majorHAnsi" w:hAnsiTheme="majorHAnsi"/>
          <w:b/>
          <w:sz w:val="2"/>
          <w:szCs w:val="20"/>
        </w:rPr>
      </w:pPr>
    </w:p>
    <w:p w14:paraId="629E2DE8" w14:textId="62D32F02" w:rsidR="00F621C3" w:rsidRPr="000C0219" w:rsidRDefault="00F621C3" w:rsidP="00F621C3">
      <w:pPr>
        <w:spacing w:before="240" w:after="240"/>
        <w:ind w:firstLine="720"/>
        <w:jc w:val="both"/>
        <w:rPr>
          <w:rFonts w:asciiTheme="majorHAnsi" w:hAnsiTheme="majorHAnsi"/>
          <w:b/>
          <w:sz w:val="20"/>
          <w:szCs w:val="20"/>
        </w:rPr>
      </w:pPr>
      <w:r w:rsidRPr="000C0219">
        <w:rPr>
          <w:rFonts w:asciiTheme="majorHAnsi" w:hAnsiTheme="majorHAnsi"/>
          <w:b/>
          <w:sz w:val="20"/>
          <w:szCs w:val="20"/>
        </w:rPr>
        <w:lastRenderedPageBreak/>
        <w:t xml:space="preserve">V. </w:t>
      </w:r>
      <w:r w:rsidRPr="000C0219">
        <w:rPr>
          <w:rFonts w:asciiTheme="majorHAnsi" w:hAnsiTheme="majorHAnsi"/>
          <w:b/>
          <w:sz w:val="20"/>
          <w:szCs w:val="20"/>
        </w:rPr>
        <w:tab/>
        <w:t xml:space="preserve">FACTS </w:t>
      </w:r>
      <w:r w:rsidR="005816E5" w:rsidRPr="000C0219">
        <w:rPr>
          <w:rFonts w:asciiTheme="majorHAnsi" w:hAnsiTheme="majorHAnsi"/>
          <w:b/>
          <w:sz w:val="20"/>
          <w:szCs w:val="20"/>
        </w:rPr>
        <w:t>ALLEGED</w:t>
      </w:r>
    </w:p>
    <w:p w14:paraId="76728F7B" w14:textId="77777777" w:rsidR="004E0D29" w:rsidRPr="000C0219" w:rsidRDefault="006318B2" w:rsidP="004E0D2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auto"/>
          <w:sz w:val="20"/>
          <w:szCs w:val="20"/>
        </w:rPr>
      </w:pPr>
      <w:r w:rsidRPr="000C0219">
        <w:rPr>
          <w:sz w:val="20"/>
          <w:szCs w:val="20"/>
        </w:rPr>
        <w:t xml:space="preserve"> </w:t>
      </w:r>
      <w:r w:rsidR="004E0D29" w:rsidRPr="000C0219">
        <w:rPr>
          <w:rFonts w:asciiTheme="majorHAnsi" w:hAnsiTheme="majorHAnsi"/>
          <w:color w:val="auto"/>
          <w:sz w:val="20"/>
          <w:szCs w:val="20"/>
        </w:rPr>
        <w:t>The petition refers to the alleged violation of the right to freedom of expression and the principle of legality to the detriment of three audiovisual media licensees and their executives as a result of penalties (an order to cease the broadcasting of content and a monetary fine) imposed against those licensees in 2009 by the Mexican State “for allegedly having entered into an contract for election advertising and […] having disparaged certain candidates for elected office and a political party in the midst of elections.” The petitioners maintain that the subsequent liability established in this case for the dissemination of advertisements with political content does not meet the requirements of legality, necessity, and proportionality.</w:t>
      </w:r>
    </w:p>
    <w:p w14:paraId="23F764CF" w14:textId="77777777" w:rsidR="004E0D29" w:rsidRPr="000C0219" w:rsidRDefault="004E0D29" w:rsidP="004E0D2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auto"/>
          <w:sz w:val="20"/>
          <w:szCs w:val="20"/>
        </w:rPr>
      </w:pPr>
      <w:r w:rsidRPr="000C0219">
        <w:rPr>
          <w:rFonts w:asciiTheme="majorHAnsi" w:hAnsiTheme="majorHAnsi"/>
          <w:color w:val="auto"/>
          <w:sz w:val="20"/>
          <w:szCs w:val="20"/>
        </w:rPr>
        <w:t xml:space="preserve">The petitioners assert that in June 2009, the publishing company </w:t>
      </w:r>
      <w:proofErr w:type="spellStart"/>
      <w:r w:rsidRPr="000C0219">
        <w:rPr>
          <w:rFonts w:asciiTheme="majorHAnsi" w:hAnsiTheme="majorHAnsi"/>
          <w:color w:val="auto"/>
          <w:sz w:val="20"/>
          <w:szCs w:val="20"/>
        </w:rPr>
        <w:t>Potros</w:t>
      </w:r>
      <w:proofErr w:type="spellEnd"/>
      <w:r w:rsidRPr="000C0219">
        <w:rPr>
          <w:rFonts w:asciiTheme="majorHAnsi" w:hAnsiTheme="majorHAnsi"/>
          <w:color w:val="auto"/>
          <w:sz w:val="20"/>
          <w:szCs w:val="20"/>
        </w:rPr>
        <w:t xml:space="preserve"> </w:t>
      </w:r>
      <w:proofErr w:type="spellStart"/>
      <w:r w:rsidRPr="000C0219">
        <w:rPr>
          <w:rFonts w:asciiTheme="majorHAnsi" w:hAnsiTheme="majorHAnsi"/>
          <w:color w:val="auto"/>
          <w:sz w:val="20"/>
          <w:szCs w:val="20"/>
        </w:rPr>
        <w:t>Editora</w:t>
      </w:r>
      <w:proofErr w:type="spellEnd"/>
      <w:r w:rsidRPr="000C0219">
        <w:rPr>
          <w:rFonts w:asciiTheme="majorHAnsi" w:hAnsiTheme="majorHAnsi"/>
          <w:color w:val="auto"/>
          <w:sz w:val="20"/>
          <w:szCs w:val="20"/>
        </w:rPr>
        <w:t xml:space="preserve"> S.A. agreed to run advertisements for its magazine</w:t>
      </w:r>
      <w:r w:rsidRPr="000C0219">
        <w:rPr>
          <w:rFonts w:asciiTheme="majorHAnsi" w:hAnsiTheme="majorHAnsi"/>
          <w:i/>
          <w:color w:val="auto"/>
          <w:sz w:val="20"/>
          <w:szCs w:val="20"/>
        </w:rPr>
        <w:t xml:space="preserve"> </w:t>
      </w:r>
      <w:proofErr w:type="spellStart"/>
      <w:r w:rsidRPr="000C0219">
        <w:rPr>
          <w:rFonts w:asciiTheme="majorHAnsi" w:hAnsiTheme="majorHAnsi"/>
          <w:i/>
          <w:color w:val="auto"/>
          <w:sz w:val="20"/>
          <w:szCs w:val="20"/>
        </w:rPr>
        <w:t>Impacto</w:t>
      </w:r>
      <w:proofErr w:type="spellEnd"/>
      <w:r w:rsidRPr="000C0219">
        <w:rPr>
          <w:rFonts w:asciiTheme="majorHAnsi" w:hAnsiTheme="majorHAnsi"/>
          <w:i/>
          <w:color w:val="auto"/>
          <w:sz w:val="20"/>
          <w:szCs w:val="20"/>
        </w:rPr>
        <w:t xml:space="preserve"> </w:t>
      </w:r>
      <w:r w:rsidRPr="000C0219">
        <w:rPr>
          <w:rFonts w:asciiTheme="majorHAnsi" w:hAnsiTheme="majorHAnsi"/>
          <w:color w:val="auto"/>
          <w:sz w:val="20"/>
          <w:szCs w:val="20"/>
        </w:rPr>
        <w:t xml:space="preserve">with the television licensees </w:t>
      </w:r>
      <w:proofErr w:type="spellStart"/>
      <w:r w:rsidRPr="000C0219">
        <w:rPr>
          <w:rFonts w:asciiTheme="majorHAnsi" w:hAnsiTheme="majorHAnsi"/>
          <w:bCs/>
          <w:i/>
          <w:sz w:val="20"/>
          <w:szCs w:val="20"/>
        </w:rPr>
        <w:t>Radiotelevisora</w:t>
      </w:r>
      <w:proofErr w:type="spellEnd"/>
      <w:r w:rsidRPr="000C0219">
        <w:rPr>
          <w:rFonts w:asciiTheme="majorHAnsi" w:hAnsiTheme="majorHAnsi"/>
          <w:bCs/>
          <w:i/>
          <w:sz w:val="20"/>
          <w:szCs w:val="20"/>
        </w:rPr>
        <w:t xml:space="preserve"> de México Norte S.A. de C.V. </w:t>
      </w:r>
      <w:r w:rsidRPr="000C0219">
        <w:rPr>
          <w:rFonts w:asciiTheme="majorHAnsi" w:hAnsiTheme="majorHAnsi"/>
          <w:bCs/>
          <w:sz w:val="20"/>
          <w:szCs w:val="20"/>
        </w:rPr>
        <w:t xml:space="preserve">(Channel 22), </w:t>
      </w:r>
      <w:r w:rsidRPr="000C0219">
        <w:rPr>
          <w:rFonts w:asciiTheme="majorHAnsi" w:hAnsiTheme="majorHAnsi"/>
          <w:bCs/>
          <w:i/>
          <w:sz w:val="20"/>
          <w:szCs w:val="20"/>
        </w:rPr>
        <w:t xml:space="preserve">Cadena </w:t>
      </w:r>
      <w:proofErr w:type="spellStart"/>
      <w:r w:rsidRPr="000C0219">
        <w:rPr>
          <w:rFonts w:asciiTheme="majorHAnsi" w:hAnsiTheme="majorHAnsi"/>
          <w:bCs/>
          <w:i/>
          <w:sz w:val="20"/>
          <w:szCs w:val="20"/>
        </w:rPr>
        <w:t>Televisora</w:t>
      </w:r>
      <w:proofErr w:type="spellEnd"/>
      <w:r w:rsidRPr="000C0219">
        <w:rPr>
          <w:rFonts w:asciiTheme="majorHAnsi" w:hAnsiTheme="majorHAnsi"/>
          <w:bCs/>
          <w:i/>
          <w:sz w:val="20"/>
          <w:szCs w:val="20"/>
        </w:rPr>
        <w:t xml:space="preserve"> del Norte S.A. de C.V.</w:t>
      </w:r>
      <w:r w:rsidRPr="000C0219">
        <w:rPr>
          <w:rFonts w:asciiTheme="majorHAnsi" w:hAnsiTheme="majorHAnsi"/>
          <w:bCs/>
          <w:sz w:val="20"/>
          <w:szCs w:val="20"/>
        </w:rPr>
        <w:t xml:space="preserve"> (Channel 2), and </w:t>
      </w:r>
      <w:proofErr w:type="spellStart"/>
      <w:r w:rsidRPr="000C0219">
        <w:rPr>
          <w:rFonts w:asciiTheme="majorHAnsi" w:hAnsiTheme="majorHAnsi"/>
          <w:bCs/>
          <w:i/>
          <w:sz w:val="20"/>
          <w:szCs w:val="20"/>
        </w:rPr>
        <w:t>Televimex</w:t>
      </w:r>
      <w:proofErr w:type="spellEnd"/>
      <w:r w:rsidRPr="000C0219">
        <w:rPr>
          <w:rFonts w:asciiTheme="majorHAnsi" w:hAnsiTheme="majorHAnsi"/>
          <w:bCs/>
          <w:i/>
          <w:sz w:val="20"/>
          <w:szCs w:val="20"/>
        </w:rPr>
        <w:t xml:space="preserve"> S.A. de C.V</w:t>
      </w:r>
      <w:r w:rsidRPr="000C0219">
        <w:rPr>
          <w:rFonts w:asciiTheme="majorHAnsi" w:hAnsiTheme="majorHAnsi"/>
          <w:bCs/>
          <w:sz w:val="20"/>
          <w:szCs w:val="20"/>
        </w:rPr>
        <w:t xml:space="preserve"> (Channel 34, Channel 6+, Channel 10+).</w:t>
      </w:r>
      <w:r w:rsidRPr="000C0219">
        <w:rPr>
          <w:rFonts w:asciiTheme="majorHAnsi" w:hAnsiTheme="majorHAnsi"/>
          <w:color w:val="auto"/>
          <w:sz w:val="20"/>
          <w:szCs w:val="20"/>
        </w:rPr>
        <w:t xml:space="preserve"> They state that</w:t>
      </w:r>
      <w:r w:rsidRPr="000C0219">
        <w:rPr>
          <w:rFonts w:asciiTheme="majorHAnsi" w:hAnsiTheme="majorHAnsi"/>
          <w:i/>
          <w:color w:val="auto"/>
          <w:sz w:val="20"/>
          <w:szCs w:val="20"/>
        </w:rPr>
        <w:t xml:space="preserve"> </w:t>
      </w:r>
      <w:proofErr w:type="spellStart"/>
      <w:r w:rsidRPr="000C0219">
        <w:rPr>
          <w:rFonts w:asciiTheme="majorHAnsi" w:hAnsiTheme="majorHAnsi"/>
          <w:i/>
          <w:color w:val="auto"/>
          <w:sz w:val="20"/>
          <w:szCs w:val="20"/>
        </w:rPr>
        <w:t>Impacto</w:t>
      </w:r>
      <w:proofErr w:type="spellEnd"/>
      <w:r w:rsidRPr="000C0219">
        <w:rPr>
          <w:rFonts w:asciiTheme="majorHAnsi" w:hAnsiTheme="majorHAnsi"/>
          <w:color w:val="auto"/>
          <w:sz w:val="20"/>
          <w:szCs w:val="20"/>
        </w:rPr>
        <w:t xml:space="preserve"> is a weekly magazine dedicated to political information and analysis that has been distributed nationally for over 50 years. The petitioners indicate that, pursuant to those advertising contracts, “from June 16 to 30, 2009, and ending five days prior to the July 5, 2009 election day in the State of Nuevo León, the aforementioned channels aired three promotional spots announcing, respectively, that the three most recent editions of the magazine </w:t>
      </w:r>
      <w:proofErr w:type="spellStart"/>
      <w:r w:rsidRPr="000C0219">
        <w:rPr>
          <w:rFonts w:asciiTheme="majorHAnsi" w:hAnsiTheme="majorHAnsi"/>
          <w:i/>
          <w:color w:val="auto"/>
          <w:sz w:val="20"/>
          <w:szCs w:val="20"/>
        </w:rPr>
        <w:t>Impacto</w:t>
      </w:r>
      <w:proofErr w:type="spellEnd"/>
      <w:r w:rsidRPr="000C0219">
        <w:rPr>
          <w:rFonts w:asciiTheme="majorHAnsi" w:hAnsiTheme="majorHAnsi"/>
          <w:i/>
          <w:color w:val="auto"/>
          <w:sz w:val="20"/>
          <w:szCs w:val="20"/>
        </w:rPr>
        <w:t xml:space="preserve"> </w:t>
      </w:r>
      <w:r w:rsidRPr="000C0219">
        <w:rPr>
          <w:rFonts w:asciiTheme="majorHAnsi" w:hAnsiTheme="majorHAnsi"/>
          <w:color w:val="auto"/>
          <w:sz w:val="20"/>
          <w:szCs w:val="20"/>
        </w:rPr>
        <w:t xml:space="preserve">were available at newsstands.” </w:t>
      </w:r>
      <w:r w:rsidRPr="000C0219">
        <w:rPr>
          <w:rFonts w:asciiTheme="majorHAnsi" w:hAnsiTheme="majorHAnsi"/>
          <w:sz w:val="20"/>
          <w:szCs w:val="20"/>
        </w:rPr>
        <w:t>They contend that the commercials announced the magazine’s content and promoted journalistic articles related to corruption cases reportedly involving candidates for elected office in the State of Nuevo León, Mexico, belonging to the National Action Party [</w:t>
      </w:r>
      <w:proofErr w:type="spellStart"/>
      <w:r w:rsidRPr="000C0219">
        <w:rPr>
          <w:rFonts w:asciiTheme="majorHAnsi" w:hAnsiTheme="majorHAnsi"/>
          <w:i/>
          <w:sz w:val="20"/>
          <w:szCs w:val="20"/>
        </w:rPr>
        <w:t>Partido</w:t>
      </w:r>
      <w:proofErr w:type="spellEnd"/>
      <w:r w:rsidRPr="000C0219">
        <w:rPr>
          <w:rFonts w:asciiTheme="majorHAnsi" w:hAnsiTheme="majorHAnsi"/>
          <w:i/>
          <w:sz w:val="20"/>
          <w:szCs w:val="20"/>
        </w:rPr>
        <w:t xml:space="preserve"> </w:t>
      </w:r>
      <w:proofErr w:type="spellStart"/>
      <w:r w:rsidRPr="000C0219">
        <w:rPr>
          <w:rFonts w:asciiTheme="majorHAnsi" w:hAnsiTheme="majorHAnsi"/>
          <w:i/>
          <w:sz w:val="20"/>
          <w:szCs w:val="20"/>
        </w:rPr>
        <w:t>Acción</w:t>
      </w:r>
      <w:proofErr w:type="spellEnd"/>
      <w:r w:rsidRPr="000C0219">
        <w:rPr>
          <w:rFonts w:asciiTheme="majorHAnsi" w:hAnsiTheme="majorHAnsi"/>
          <w:i/>
          <w:sz w:val="20"/>
          <w:szCs w:val="20"/>
        </w:rPr>
        <w:t xml:space="preserve"> Nacional</w:t>
      </w:r>
      <w:r w:rsidRPr="000C0219">
        <w:rPr>
          <w:rFonts w:asciiTheme="majorHAnsi" w:hAnsiTheme="majorHAnsi"/>
          <w:sz w:val="20"/>
          <w:szCs w:val="20"/>
        </w:rPr>
        <w:t xml:space="preserve">] (PAN), which was the national ruling party. </w:t>
      </w:r>
    </w:p>
    <w:p w14:paraId="64E32E3E" w14:textId="77777777" w:rsidR="004E0D29" w:rsidRPr="000C0219" w:rsidRDefault="004E0D29" w:rsidP="004E0D2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auto"/>
          <w:sz w:val="20"/>
          <w:szCs w:val="20"/>
        </w:rPr>
      </w:pPr>
      <w:r w:rsidRPr="000C0219">
        <w:rPr>
          <w:rFonts w:asciiTheme="majorHAnsi" w:hAnsiTheme="majorHAnsi"/>
          <w:color w:val="auto"/>
          <w:sz w:val="20"/>
          <w:szCs w:val="20"/>
        </w:rPr>
        <w:t>According to the petitioners, the content of the three commercials, “in addition to showing the magazine covers, photos of the candidates, and the PAN emblem” was as follows:</w:t>
      </w:r>
    </w:p>
    <w:p w14:paraId="7A71E094" w14:textId="77777777" w:rsidR="004E0D29" w:rsidRPr="000C0219" w:rsidRDefault="004E0D29" w:rsidP="004E0D29">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080"/>
        <w:jc w:val="both"/>
        <w:rPr>
          <w:rFonts w:asciiTheme="majorHAnsi" w:hAnsiTheme="majorHAnsi"/>
          <w:color w:val="auto"/>
          <w:sz w:val="20"/>
          <w:szCs w:val="20"/>
        </w:rPr>
      </w:pPr>
      <w:r w:rsidRPr="000C0219">
        <w:rPr>
          <w:rFonts w:asciiTheme="majorHAnsi" w:hAnsiTheme="majorHAnsi"/>
          <w:color w:val="auto"/>
          <w:sz w:val="20"/>
          <w:szCs w:val="20"/>
        </w:rPr>
        <w:t xml:space="preserve">“This week Nuevo Leon is making headlines. Find out how PAN candidate for State governor, Fernando Elizondo, generously lent money when he was the State Treasurer. Don’t miss it! What you want to read is in </w:t>
      </w:r>
      <w:proofErr w:type="spellStart"/>
      <w:r w:rsidRPr="000C0219">
        <w:rPr>
          <w:rFonts w:asciiTheme="majorHAnsi" w:hAnsiTheme="majorHAnsi"/>
          <w:i/>
          <w:color w:val="auto"/>
          <w:sz w:val="20"/>
          <w:szCs w:val="20"/>
        </w:rPr>
        <w:t>Impacto</w:t>
      </w:r>
      <w:proofErr w:type="spellEnd"/>
      <w:r w:rsidRPr="000C0219">
        <w:rPr>
          <w:rFonts w:asciiTheme="majorHAnsi" w:hAnsiTheme="majorHAnsi"/>
          <w:color w:val="auto"/>
          <w:sz w:val="20"/>
          <w:szCs w:val="20"/>
        </w:rPr>
        <w:t xml:space="preserve"> magazine.”</w:t>
      </w:r>
    </w:p>
    <w:p w14:paraId="7DC188B8" w14:textId="77777777" w:rsidR="004E0D29" w:rsidRPr="000C0219" w:rsidRDefault="004E0D29" w:rsidP="004E0D29">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080"/>
        <w:jc w:val="both"/>
        <w:rPr>
          <w:rFonts w:asciiTheme="majorHAnsi" w:hAnsiTheme="majorHAnsi"/>
          <w:color w:val="auto"/>
          <w:sz w:val="20"/>
          <w:szCs w:val="20"/>
        </w:rPr>
      </w:pPr>
      <w:r w:rsidRPr="000C0219">
        <w:rPr>
          <w:rFonts w:asciiTheme="majorHAnsi" w:hAnsiTheme="majorHAnsi"/>
          <w:color w:val="auto"/>
          <w:sz w:val="20"/>
          <w:szCs w:val="20"/>
        </w:rPr>
        <w:t xml:space="preserve">“This week the crime municipalities are making headlines. Discover how San Pedro and San Catalina in Nuevo León are two of the municipalities with the fastest-growing crime and impunity rates, and read about the lies behind Fernando </w:t>
      </w:r>
      <w:proofErr w:type="spellStart"/>
      <w:r w:rsidRPr="000C0219">
        <w:rPr>
          <w:rFonts w:asciiTheme="majorHAnsi" w:hAnsiTheme="majorHAnsi"/>
          <w:color w:val="auto"/>
          <w:sz w:val="20"/>
          <w:szCs w:val="20"/>
        </w:rPr>
        <w:t>Larrazabal’s</w:t>
      </w:r>
      <w:proofErr w:type="spellEnd"/>
      <w:r w:rsidRPr="000C0219">
        <w:rPr>
          <w:rFonts w:asciiTheme="majorHAnsi" w:hAnsiTheme="majorHAnsi"/>
          <w:color w:val="auto"/>
          <w:sz w:val="20"/>
          <w:szCs w:val="20"/>
        </w:rPr>
        <w:t xml:space="preserve"> candidacy for mayor of Monterrey. Don’t miss it! What you want to read is in </w:t>
      </w:r>
      <w:proofErr w:type="spellStart"/>
      <w:r w:rsidRPr="000C0219">
        <w:rPr>
          <w:rFonts w:asciiTheme="majorHAnsi" w:hAnsiTheme="majorHAnsi"/>
          <w:i/>
          <w:color w:val="auto"/>
          <w:sz w:val="20"/>
          <w:szCs w:val="20"/>
        </w:rPr>
        <w:t>Impacto</w:t>
      </w:r>
      <w:proofErr w:type="spellEnd"/>
      <w:r w:rsidRPr="000C0219">
        <w:rPr>
          <w:rFonts w:asciiTheme="majorHAnsi" w:hAnsiTheme="majorHAnsi"/>
          <w:color w:val="auto"/>
          <w:sz w:val="20"/>
          <w:szCs w:val="20"/>
        </w:rPr>
        <w:t xml:space="preserve"> magazine.”</w:t>
      </w:r>
    </w:p>
    <w:p w14:paraId="04A6FDE6" w14:textId="77777777" w:rsidR="004E0D29" w:rsidRPr="000C0219" w:rsidRDefault="004E0D29" w:rsidP="004E0D29">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080"/>
        <w:jc w:val="both"/>
        <w:rPr>
          <w:rFonts w:asciiTheme="majorHAnsi" w:hAnsiTheme="majorHAnsi"/>
          <w:color w:val="auto"/>
          <w:sz w:val="20"/>
          <w:szCs w:val="20"/>
        </w:rPr>
      </w:pPr>
      <w:r w:rsidRPr="000C0219">
        <w:rPr>
          <w:rFonts w:asciiTheme="majorHAnsi" w:hAnsiTheme="majorHAnsi"/>
          <w:color w:val="auto"/>
          <w:sz w:val="20"/>
          <w:szCs w:val="20"/>
        </w:rPr>
        <w:t xml:space="preserve">This week two stories from Nuevo León are making headlines. Discover how Mauricio Fernández, PAN candidate for mayor of San Pedro, contradicts himself with recordings that reveal his agreement with drug traffickers, and read about gubernatorial candidate Fernando Elizondo’s contradictions throughout his career as a public servant. Don’t miss it! What you want to read is in </w:t>
      </w:r>
      <w:proofErr w:type="spellStart"/>
      <w:r w:rsidRPr="000C0219">
        <w:rPr>
          <w:rFonts w:asciiTheme="majorHAnsi" w:hAnsiTheme="majorHAnsi"/>
          <w:i/>
          <w:color w:val="auto"/>
          <w:sz w:val="20"/>
          <w:szCs w:val="20"/>
        </w:rPr>
        <w:t>Impacto</w:t>
      </w:r>
      <w:proofErr w:type="spellEnd"/>
      <w:r w:rsidRPr="000C0219">
        <w:rPr>
          <w:rFonts w:asciiTheme="majorHAnsi" w:hAnsiTheme="majorHAnsi"/>
          <w:color w:val="auto"/>
          <w:sz w:val="20"/>
          <w:szCs w:val="20"/>
        </w:rPr>
        <w:t xml:space="preserve"> magazine.”</w:t>
      </w:r>
    </w:p>
    <w:p w14:paraId="2CB21D03" w14:textId="61B491D2" w:rsidR="004E0D29" w:rsidRPr="000C0219" w:rsidRDefault="004E0D29" w:rsidP="004E0D2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auto"/>
          <w:sz w:val="20"/>
          <w:szCs w:val="20"/>
        </w:rPr>
      </w:pPr>
      <w:r w:rsidRPr="000C0219">
        <w:rPr>
          <w:rFonts w:asciiTheme="majorHAnsi" w:hAnsiTheme="majorHAnsi"/>
          <w:sz w:val="20"/>
          <w:szCs w:val="20"/>
        </w:rPr>
        <w:t>They indicate that, based on the broadcasting of those advertisements, the PAN representative in the State of Nueva León filed a complaint on July 2, 2009 and requested interim relief measures from the Complaints Commission (QCD) of the Federal Electoral Institute [</w:t>
      </w:r>
      <w:proofErr w:type="spellStart"/>
      <w:r w:rsidRPr="000C0219">
        <w:rPr>
          <w:rFonts w:asciiTheme="majorHAnsi" w:hAnsiTheme="majorHAnsi"/>
          <w:i/>
          <w:sz w:val="20"/>
          <w:szCs w:val="20"/>
        </w:rPr>
        <w:t>Instituto</w:t>
      </w:r>
      <w:proofErr w:type="spellEnd"/>
      <w:r w:rsidRPr="000C0219">
        <w:rPr>
          <w:rFonts w:asciiTheme="majorHAnsi" w:hAnsiTheme="majorHAnsi"/>
          <w:i/>
          <w:sz w:val="20"/>
          <w:szCs w:val="20"/>
        </w:rPr>
        <w:t xml:space="preserve"> Federal Electoral</w:t>
      </w:r>
      <w:r w:rsidRPr="000C0219">
        <w:rPr>
          <w:rFonts w:asciiTheme="majorHAnsi" w:hAnsiTheme="majorHAnsi"/>
          <w:sz w:val="20"/>
          <w:szCs w:val="20"/>
        </w:rPr>
        <w:t xml:space="preserve">] (IFE) headquartered in that State, on the grounds that the advertisement violated the rules governing the dissemination of election advertising. They maintain that on July 3, 2009 the IFE ordered the television channels, as an interim measure, to immediately suspend the broadcasting of the promotional spots and conducted a special sanctions proceeding. On July 15, the IFE issued a resolution determining that the commercials in question were election advertising and stated that “although </w:t>
      </w:r>
      <w:proofErr w:type="spellStart"/>
      <w:r w:rsidRPr="000C0219">
        <w:rPr>
          <w:rFonts w:asciiTheme="majorHAnsi" w:hAnsiTheme="majorHAnsi"/>
          <w:i/>
          <w:sz w:val="20"/>
          <w:szCs w:val="20"/>
        </w:rPr>
        <w:t>Impacto</w:t>
      </w:r>
      <w:proofErr w:type="spellEnd"/>
      <w:r w:rsidRPr="000C0219">
        <w:rPr>
          <w:rFonts w:asciiTheme="majorHAnsi" w:hAnsiTheme="majorHAnsi"/>
          <w:sz w:val="20"/>
          <w:szCs w:val="20"/>
        </w:rPr>
        <w:t xml:space="preserve"> magazine was disseminated in an advertising </w:t>
      </w:r>
      <w:proofErr w:type="gramStart"/>
      <w:r w:rsidRPr="000C0219">
        <w:rPr>
          <w:rFonts w:asciiTheme="majorHAnsi" w:hAnsiTheme="majorHAnsi"/>
          <w:sz w:val="20"/>
          <w:szCs w:val="20"/>
        </w:rPr>
        <w:t>context, that</w:t>
      </w:r>
      <w:proofErr w:type="gramEnd"/>
      <w:r w:rsidRPr="000C0219">
        <w:rPr>
          <w:rFonts w:asciiTheme="majorHAnsi" w:hAnsiTheme="majorHAnsi"/>
          <w:sz w:val="20"/>
          <w:szCs w:val="20"/>
        </w:rPr>
        <w:t xml:space="preserve"> dissemination was a violation of election rules because it included images, emblems, and expressions designed to influence the citizens of the State of Nuevo León.” The IFE decided to sanction the publisher of </w:t>
      </w:r>
      <w:proofErr w:type="spellStart"/>
      <w:r w:rsidRPr="000C0219">
        <w:rPr>
          <w:rFonts w:asciiTheme="majorHAnsi" w:hAnsiTheme="majorHAnsi"/>
          <w:i/>
          <w:sz w:val="20"/>
          <w:szCs w:val="20"/>
        </w:rPr>
        <w:t>Impacto</w:t>
      </w:r>
      <w:proofErr w:type="spellEnd"/>
      <w:r w:rsidRPr="000C0219">
        <w:rPr>
          <w:rFonts w:asciiTheme="majorHAnsi" w:hAnsiTheme="majorHAnsi"/>
          <w:sz w:val="20"/>
          <w:szCs w:val="20"/>
        </w:rPr>
        <w:t xml:space="preserve"> magazine (</w:t>
      </w:r>
      <w:proofErr w:type="spellStart"/>
      <w:r w:rsidRPr="000C0219">
        <w:rPr>
          <w:rFonts w:asciiTheme="majorHAnsi" w:hAnsiTheme="majorHAnsi"/>
          <w:sz w:val="20"/>
          <w:szCs w:val="20"/>
        </w:rPr>
        <w:t>Potros</w:t>
      </w:r>
      <w:proofErr w:type="spellEnd"/>
      <w:r w:rsidRPr="000C0219">
        <w:rPr>
          <w:rFonts w:asciiTheme="majorHAnsi" w:hAnsiTheme="majorHAnsi"/>
          <w:sz w:val="20"/>
          <w:szCs w:val="20"/>
        </w:rPr>
        <w:t xml:space="preserve"> </w:t>
      </w:r>
      <w:proofErr w:type="spellStart"/>
      <w:r w:rsidRPr="000C0219">
        <w:rPr>
          <w:rFonts w:asciiTheme="majorHAnsi" w:hAnsiTheme="majorHAnsi"/>
          <w:sz w:val="20"/>
          <w:szCs w:val="20"/>
        </w:rPr>
        <w:t>Editores</w:t>
      </w:r>
      <w:proofErr w:type="spellEnd"/>
      <w:r w:rsidRPr="000C0219">
        <w:rPr>
          <w:rFonts w:asciiTheme="majorHAnsi" w:hAnsiTheme="majorHAnsi"/>
          <w:sz w:val="20"/>
          <w:szCs w:val="20"/>
        </w:rPr>
        <w:t>) with a fine of MXN$ 2 million (approximately US$ 165,000), licensee</w:t>
      </w:r>
      <w:r w:rsidRPr="000C0219">
        <w:rPr>
          <w:rFonts w:asciiTheme="majorHAnsi" w:hAnsiTheme="majorHAnsi"/>
          <w:bCs/>
          <w:sz w:val="20"/>
          <w:szCs w:val="20"/>
        </w:rPr>
        <w:t xml:space="preserve"> </w:t>
      </w:r>
      <w:proofErr w:type="spellStart"/>
      <w:r w:rsidRPr="000C0219">
        <w:rPr>
          <w:rFonts w:asciiTheme="majorHAnsi" w:hAnsiTheme="majorHAnsi"/>
          <w:bCs/>
          <w:i/>
          <w:sz w:val="20"/>
          <w:szCs w:val="20"/>
        </w:rPr>
        <w:t>Televimex</w:t>
      </w:r>
      <w:proofErr w:type="spellEnd"/>
      <w:r w:rsidRPr="000C0219">
        <w:rPr>
          <w:rFonts w:asciiTheme="majorHAnsi" w:hAnsiTheme="majorHAnsi"/>
          <w:bCs/>
          <w:i/>
          <w:sz w:val="20"/>
          <w:szCs w:val="20"/>
        </w:rPr>
        <w:t xml:space="preserve"> S.A. de C.V.</w:t>
      </w:r>
      <w:r w:rsidRPr="000C0219">
        <w:rPr>
          <w:rFonts w:asciiTheme="majorHAnsi" w:hAnsiTheme="majorHAnsi"/>
          <w:bCs/>
          <w:sz w:val="20"/>
          <w:szCs w:val="20"/>
        </w:rPr>
        <w:t xml:space="preserve"> </w:t>
      </w:r>
      <w:r w:rsidRPr="000C0219">
        <w:rPr>
          <w:rFonts w:asciiTheme="majorHAnsi" w:hAnsiTheme="majorHAnsi"/>
          <w:sz w:val="20"/>
          <w:szCs w:val="20"/>
        </w:rPr>
        <w:t xml:space="preserve">with a fine of MXN$ 4 million (approximately US$ </w:t>
      </w:r>
      <w:r w:rsidRPr="000C0219">
        <w:rPr>
          <w:rFonts w:asciiTheme="majorHAnsi" w:hAnsiTheme="majorHAnsi"/>
          <w:sz w:val="20"/>
          <w:szCs w:val="20"/>
        </w:rPr>
        <w:lastRenderedPageBreak/>
        <w:t xml:space="preserve">330,000), and licensees </w:t>
      </w:r>
      <w:proofErr w:type="spellStart"/>
      <w:r w:rsidRPr="000C0219">
        <w:rPr>
          <w:rFonts w:asciiTheme="majorHAnsi" w:hAnsiTheme="majorHAnsi"/>
          <w:bCs/>
          <w:i/>
          <w:sz w:val="20"/>
          <w:szCs w:val="20"/>
        </w:rPr>
        <w:t>Radiotelevisora</w:t>
      </w:r>
      <w:proofErr w:type="spellEnd"/>
      <w:r w:rsidRPr="000C0219">
        <w:rPr>
          <w:rFonts w:asciiTheme="majorHAnsi" w:hAnsiTheme="majorHAnsi"/>
          <w:bCs/>
          <w:i/>
          <w:sz w:val="20"/>
          <w:szCs w:val="20"/>
        </w:rPr>
        <w:t xml:space="preserve"> de México Norte S.A. de C.V.</w:t>
      </w:r>
      <w:r w:rsidRPr="000C0219">
        <w:rPr>
          <w:rFonts w:asciiTheme="majorHAnsi" w:hAnsiTheme="majorHAnsi"/>
          <w:sz w:val="20"/>
          <w:szCs w:val="20"/>
        </w:rPr>
        <w:t xml:space="preserve"> and </w:t>
      </w:r>
      <w:r w:rsidRPr="000C0219">
        <w:rPr>
          <w:rFonts w:asciiTheme="majorHAnsi" w:hAnsiTheme="majorHAnsi"/>
          <w:bCs/>
          <w:i/>
          <w:sz w:val="20"/>
          <w:szCs w:val="20"/>
        </w:rPr>
        <w:t xml:space="preserve">Cadena </w:t>
      </w:r>
      <w:proofErr w:type="spellStart"/>
      <w:r w:rsidRPr="000C0219">
        <w:rPr>
          <w:rFonts w:asciiTheme="majorHAnsi" w:hAnsiTheme="majorHAnsi"/>
          <w:bCs/>
          <w:i/>
          <w:sz w:val="20"/>
          <w:szCs w:val="20"/>
        </w:rPr>
        <w:t>Televisora</w:t>
      </w:r>
      <w:proofErr w:type="spellEnd"/>
      <w:r w:rsidRPr="000C0219">
        <w:rPr>
          <w:rFonts w:asciiTheme="majorHAnsi" w:hAnsiTheme="majorHAnsi"/>
          <w:bCs/>
          <w:i/>
          <w:sz w:val="20"/>
          <w:szCs w:val="20"/>
        </w:rPr>
        <w:t xml:space="preserve"> del Norte S.A. de C.V.</w:t>
      </w:r>
      <w:r w:rsidRPr="000C0219">
        <w:rPr>
          <w:rFonts w:asciiTheme="majorHAnsi" w:hAnsiTheme="majorHAnsi"/>
          <w:bCs/>
          <w:sz w:val="20"/>
          <w:szCs w:val="20"/>
        </w:rPr>
        <w:t xml:space="preserve"> </w:t>
      </w:r>
      <w:r w:rsidRPr="000C0219">
        <w:rPr>
          <w:rFonts w:asciiTheme="majorHAnsi" w:hAnsiTheme="majorHAnsi"/>
          <w:sz w:val="20"/>
          <w:szCs w:val="20"/>
        </w:rPr>
        <w:t xml:space="preserve">with fines in the amount of MXN$ 400,000 (approximately US$ 33,000).  </w:t>
      </w:r>
    </w:p>
    <w:p w14:paraId="480FD46E" w14:textId="12625DBF" w:rsidR="004E0D29" w:rsidRPr="000C0219" w:rsidRDefault="004E0D29" w:rsidP="004E0D29">
      <w:pPr>
        <w:pStyle w:val="ListParagraph"/>
        <w:numPr>
          <w:ilvl w:val="0"/>
          <w:numId w:val="103"/>
        </w:numPr>
        <w:jc w:val="both"/>
        <w:rPr>
          <w:rFonts w:asciiTheme="majorHAnsi" w:hAnsiTheme="majorHAnsi"/>
          <w:sz w:val="20"/>
          <w:szCs w:val="20"/>
        </w:rPr>
      </w:pPr>
      <w:r w:rsidRPr="000C0219">
        <w:rPr>
          <w:rFonts w:asciiTheme="majorHAnsi" w:hAnsiTheme="majorHAnsi"/>
          <w:sz w:val="20"/>
          <w:szCs w:val="20"/>
        </w:rPr>
        <w:t>The three audiovisual media licensees filed appeals with the Federal Electoral Tribunal [</w:t>
      </w:r>
      <w:r w:rsidRPr="000C0219">
        <w:rPr>
          <w:rFonts w:asciiTheme="majorHAnsi" w:hAnsiTheme="majorHAnsi"/>
          <w:i/>
          <w:sz w:val="20"/>
          <w:szCs w:val="20"/>
        </w:rPr>
        <w:t>Tribunal Federal Electoral</w:t>
      </w:r>
      <w:r w:rsidRPr="000C0219">
        <w:rPr>
          <w:rFonts w:asciiTheme="majorHAnsi" w:hAnsiTheme="majorHAnsi"/>
          <w:sz w:val="20"/>
          <w:szCs w:val="20"/>
        </w:rPr>
        <w:t xml:space="preserve">] (TRIFE) arguing, inter alia, that the commercials could not be considered to be dissemination of election advertising, because their intent was not to promote registered candidates, but rather to publish a political magazine. On August 26, 2009, the TRIFE upheld the decision of the IFE, but ordered it to state the reasons for the monetary penalty assessed against </w:t>
      </w:r>
      <w:r w:rsidRPr="000C0219">
        <w:rPr>
          <w:rFonts w:asciiTheme="majorHAnsi" w:hAnsiTheme="majorHAnsi"/>
          <w:i/>
          <w:sz w:val="20"/>
          <w:szCs w:val="20"/>
        </w:rPr>
        <w:t xml:space="preserve">Cadena </w:t>
      </w:r>
      <w:proofErr w:type="spellStart"/>
      <w:r w:rsidRPr="000C0219">
        <w:rPr>
          <w:rFonts w:asciiTheme="majorHAnsi" w:hAnsiTheme="majorHAnsi"/>
          <w:i/>
          <w:sz w:val="20"/>
          <w:szCs w:val="20"/>
        </w:rPr>
        <w:t>Televisora</w:t>
      </w:r>
      <w:proofErr w:type="spellEnd"/>
      <w:r w:rsidRPr="000C0219">
        <w:rPr>
          <w:rFonts w:asciiTheme="majorHAnsi" w:hAnsiTheme="majorHAnsi"/>
          <w:i/>
          <w:sz w:val="20"/>
          <w:szCs w:val="20"/>
        </w:rPr>
        <w:t xml:space="preserve"> Norte, S.A. de C.V.</w:t>
      </w:r>
      <w:r w:rsidRPr="000C0219">
        <w:rPr>
          <w:rFonts w:asciiTheme="majorHAnsi" w:hAnsiTheme="majorHAnsi"/>
          <w:sz w:val="20"/>
          <w:szCs w:val="20"/>
        </w:rPr>
        <w:t xml:space="preserve"> and </w:t>
      </w:r>
      <w:proofErr w:type="spellStart"/>
      <w:r w:rsidRPr="000C0219">
        <w:rPr>
          <w:rFonts w:asciiTheme="majorHAnsi" w:hAnsiTheme="majorHAnsi"/>
          <w:i/>
          <w:sz w:val="20"/>
          <w:szCs w:val="20"/>
        </w:rPr>
        <w:t>Radiotelevisora</w:t>
      </w:r>
      <w:proofErr w:type="spellEnd"/>
      <w:r w:rsidRPr="000C0219">
        <w:rPr>
          <w:rFonts w:asciiTheme="majorHAnsi" w:hAnsiTheme="majorHAnsi"/>
          <w:i/>
          <w:sz w:val="20"/>
          <w:szCs w:val="20"/>
        </w:rPr>
        <w:t xml:space="preserve"> </w:t>
      </w:r>
      <w:proofErr w:type="gramStart"/>
      <w:r w:rsidRPr="000C0219">
        <w:rPr>
          <w:rFonts w:asciiTheme="majorHAnsi" w:hAnsiTheme="majorHAnsi"/>
          <w:i/>
          <w:sz w:val="20"/>
          <w:szCs w:val="20"/>
        </w:rPr>
        <w:t>del</w:t>
      </w:r>
      <w:proofErr w:type="gramEnd"/>
      <w:r w:rsidRPr="000C0219">
        <w:rPr>
          <w:rFonts w:asciiTheme="majorHAnsi" w:hAnsiTheme="majorHAnsi"/>
          <w:i/>
          <w:sz w:val="20"/>
          <w:szCs w:val="20"/>
        </w:rPr>
        <w:t xml:space="preserve"> Norte SA. De C.V.</w:t>
      </w:r>
      <w:r w:rsidRPr="000C0219">
        <w:rPr>
          <w:rFonts w:asciiTheme="majorHAnsi" w:hAnsiTheme="majorHAnsi"/>
          <w:sz w:val="20"/>
          <w:szCs w:val="20"/>
        </w:rPr>
        <w:t xml:space="preserve"> and to impose a penalty proportional to their financial capacity. In its decision, the Tribunal found not only that the commercials constituted election advertising sold by unauthorized entities but also that “it was proven in the resolution on appeal that disparaging propaganda was disseminated” against the candidates and political parties. The petitioners assert that after the penalties were imposed by the IFE and the TRIFE, the managing directors of the respective media outlets decided against once again broadcasting advertisements that could give rise to penalties, “even at the cost of ceasing to inform the public about matters of general </w:t>
      </w:r>
      <w:proofErr w:type="spellStart"/>
      <w:r w:rsidRPr="000C0219">
        <w:rPr>
          <w:rFonts w:asciiTheme="majorHAnsi" w:hAnsiTheme="majorHAnsi"/>
          <w:sz w:val="20"/>
          <w:szCs w:val="20"/>
        </w:rPr>
        <w:t>interes</w:t>
      </w:r>
      <w:proofErr w:type="spellEnd"/>
      <w:r w:rsidR="007E5152" w:rsidRPr="000C0219">
        <w:rPr>
          <w:rFonts w:asciiTheme="majorHAnsi" w:hAnsiTheme="majorHAnsi"/>
          <w:sz w:val="20"/>
          <w:szCs w:val="20"/>
        </w:rPr>
        <w:t>[</w:t>
      </w:r>
      <w:r w:rsidRPr="000C0219">
        <w:rPr>
          <w:rFonts w:asciiTheme="majorHAnsi" w:hAnsiTheme="majorHAnsi"/>
          <w:sz w:val="20"/>
          <w:szCs w:val="20"/>
        </w:rPr>
        <w:t>t</w:t>
      </w:r>
      <w:r w:rsidR="007E5152" w:rsidRPr="000C0219">
        <w:rPr>
          <w:rFonts w:asciiTheme="majorHAnsi" w:hAnsiTheme="majorHAnsi"/>
          <w:sz w:val="20"/>
          <w:szCs w:val="20"/>
        </w:rPr>
        <w:t>]</w:t>
      </w:r>
      <w:r w:rsidRPr="000C0219">
        <w:rPr>
          <w:rFonts w:asciiTheme="majorHAnsi" w:hAnsiTheme="majorHAnsi"/>
          <w:sz w:val="20"/>
          <w:szCs w:val="20"/>
        </w:rPr>
        <w:t xml:space="preserve">.” Later, the IFE reduced the monetary penalties assessed against </w:t>
      </w:r>
      <w:r w:rsidRPr="000C0219">
        <w:rPr>
          <w:rFonts w:asciiTheme="majorHAnsi" w:hAnsiTheme="majorHAnsi"/>
          <w:i/>
          <w:sz w:val="20"/>
          <w:szCs w:val="20"/>
        </w:rPr>
        <w:t xml:space="preserve">Cadena </w:t>
      </w:r>
      <w:proofErr w:type="spellStart"/>
      <w:r w:rsidRPr="000C0219">
        <w:rPr>
          <w:rFonts w:asciiTheme="majorHAnsi" w:hAnsiTheme="majorHAnsi"/>
          <w:i/>
          <w:sz w:val="20"/>
          <w:szCs w:val="20"/>
        </w:rPr>
        <w:t>Televisora</w:t>
      </w:r>
      <w:proofErr w:type="spellEnd"/>
      <w:r w:rsidRPr="000C0219">
        <w:rPr>
          <w:rFonts w:asciiTheme="majorHAnsi" w:hAnsiTheme="majorHAnsi"/>
          <w:i/>
          <w:sz w:val="20"/>
          <w:szCs w:val="20"/>
        </w:rPr>
        <w:t xml:space="preserve"> Norte, S.A. de C.V.</w:t>
      </w:r>
      <w:r w:rsidRPr="000C0219">
        <w:rPr>
          <w:rFonts w:asciiTheme="majorHAnsi" w:hAnsiTheme="majorHAnsi"/>
          <w:sz w:val="20"/>
          <w:szCs w:val="20"/>
        </w:rPr>
        <w:t xml:space="preserve"> and </w:t>
      </w:r>
      <w:proofErr w:type="spellStart"/>
      <w:r w:rsidRPr="000C0219">
        <w:rPr>
          <w:rFonts w:asciiTheme="majorHAnsi" w:hAnsiTheme="majorHAnsi"/>
          <w:i/>
          <w:sz w:val="20"/>
          <w:szCs w:val="20"/>
        </w:rPr>
        <w:t>Radiotelevisora</w:t>
      </w:r>
      <w:proofErr w:type="spellEnd"/>
      <w:r w:rsidRPr="000C0219">
        <w:rPr>
          <w:rFonts w:asciiTheme="majorHAnsi" w:hAnsiTheme="majorHAnsi"/>
          <w:i/>
          <w:sz w:val="20"/>
          <w:szCs w:val="20"/>
        </w:rPr>
        <w:t xml:space="preserve"> </w:t>
      </w:r>
      <w:proofErr w:type="gramStart"/>
      <w:r w:rsidRPr="000C0219">
        <w:rPr>
          <w:rFonts w:asciiTheme="majorHAnsi" w:hAnsiTheme="majorHAnsi"/>
          <w:i/>
          <w:sz w:val="20"/>
          <w:szCs w:val="20"/>
        </w:rPr>
        <w:t>del</w:t>
      </w:r>
      <w:proofErr w:type="gramEnd"/>
      <w:r w:rsidRPr="000C0219">
        <w:rPr>
          <w:rFonts w:asciiTheme="majorHAnsi" w:hAnsiTheme="majorHAnsi"/>
          <w:i/>
          <w:sz w:val="20"/>
          <w:szCs w:val="20"/>
        </w:rPr>
        <w:t xml:space="preserve"> Norte SA. De C.V</w:t>
      </w:r>
      <w:r w:rsidRPr="000C0219">
        <w:rPr>
          <w:rFonts w:asciiTheme="majorHAnsi" w:hAnsiTheme="majorHAnsi"/>
          <w:sz w:val="20"/>
          <w:szCs w:val="20"/>
        </w:rPr>
        <w:t xml:space="preserve">. (fines of MXN$ 220,022.00 and MXN$ 135,027.20, respectively). </w:t>
      </w:r>
    </w:p>
    <w:p w14:paraId="22555FB9" w14:textId="77777777" w:rsidR="004E0D29" w:rsidRPr="000C0219" w:rsidRDefault="004E0D29" w:rsidP="004E0D29">
      <w:pPr>
        <w:pStyle w:val="ListParagraph"/>
        <w:rPr>
          <w:rFonts w:asciiTheme="majorHAnsi" w:hAnsiTheme="majorHAnsi"/>
          <w:sz w:val="20"/>
          <w:szCs w:val="20"/>
        </w:rPr>
      </w:pPr>
    </w:p>
    <w:p w14:paraId="4045F4EE" w14:textId="77777777" w:rsidR="004E0D29" w:rsidRPr="000C0219" w:rsidRDefault="004E0D29" w:rsidP="004E0D29">
      <w:pPr>
        <w:pStyle w:val="ListParagraph"/>
        <w:numPr>
          <w:ilvl w:val="0"/>
          <w:numId w:val="103"/>
        </w:numPr>
        <w:jc w:val="both"/>
        <w:rPr>
          <w:rFonts w:asciiTheme="majorHAnsi" w:hAnsiTheme="majorHAnsi"/>
          <w:sz w:val="20"/>
          <w:szCs w:val="20"/>
        </w:rPr>
      </w:pPr>
      <w:r w:rsidRPr="000C0219">
        <w:rPr>
          <w:rFonts w:asciiTheme="majorHAnsi" w:hAnsiTheme="majorHAnsi"/>
          <w:color w:val="auto"/>
          <w:sz w:val="20"/>
          <w:szCs w:val="20"/>
        </w:rPr>
        <w:t xml:space="preserve">According to the petitioners, the penalties assessed against the media outlets are derived from the 2007 constitutional reform amending Article 41 of the Mexican Constitution. They maintained that Article 41 of the Constitution, in conjunction with Article 350 of the Federal Code of Electoral Institutions and Procedures, unduly restrict freedom of expression, as, among other things, it restricts “any individual or legal entity from buying radio and/or television advertisements that may influence the electoral preferences of the public, whether for or against political parties or candidates to elected office.” It also provides that “the election advertising disseminated by political parties should avoid speech that denigrates institutions and parties or that malign individuals.” The petitioners similarly state that these provisions prohibit the dissemination of political or electoral advertising, whether paid or free of charge, ordered by persons other than the IFE. They argue that although the regulation of partisan messages and advertising during an election period pursues legitimate aims, the Mexican legal framework is vague and overly broad, and grants an undue margin of discretion to the authorities for its application, such that—as allegedly occurred in this case—the broadcasting of content that is of interest to the public in elections can be restricted and penalized. </w:t>
      </w:r>
    </w:p>
    <w:p w14:paraId="56D21531" w14:textId="77777777" w:rsidR="004E0D29" w:rsidRPr="000C0219" w:rsidRDefault="004E0D29" w:rsidP="004E0D29">
      <w:pPr>
        <w:pStyle w:val="ListParagraph"/>
        <w:rPr>
          <w:rFonts w:asciiTheme="majorHAnsi" w:hAnsiTheme="majorHAnsi"/>
          <w:sz w:val="20"/>
          <w:szCs w:val="20"/>
        </w:rPr>
      </w:pPr>
    </w:p>
    <w:p w14:paraId="5483E49F" w14:textId="77777777" w:rsidR="004E0D29" w:rsidRPr="000C0219" w:rsidRDefault="004E0D29" w:rsidP="004E0D29">
      <w:pPr>
        <w:pStyle w:val="ListParagraph"/>
        <w:numPr>
          <w:ilvl w:val="0"/>
          <w:numId w:val="103"/>
        </w:numPr>
        <w:jc w:val="both"/>
        <w:rPr>
          <w:rFonts w:asciiTheme="majorHAnsi" w:hAnsiTheme="majorHAnsi"/>
          <w:sz w:val="20"/>
          <w:szCs w:val="20"/>
        </w:rPr>
      </w:pPr>
      <w:r w:rsidRPr="000C0219">
        <w:rPr>
          <w:rFonts w:asciiTheme="majorHAnsi" w:hAnsiTheme="majorHAnsi"/>
          <w:sz w:val="20"/>
          <w:szCs w:val="20"/>
        </w:rPr>
        <w:t>The petitioners asked the IACHR to admit three legal entities (</w:t>
      </w:r>
      <w:proofErr w:type="spellStart"/>
      <w:r w:rsidRPr="000C0219">
        <w:rPr>
          <w:rFonts w:asciiTheme="majorHAnsi" w:hAnsiTheme="majorHAnsi"/>
          <w:bCs/>
          <w:i/>
          <w:sz w:val="20"/>
          <w:szCs w:val="20"/>
        </w:rPr>
        <w:t>Radiotelevisora</w:t>
      </w:r>
      <w:proofErr w:type="spellEnd"/>
      <w:r w:rsidRPr="000C0219">
        <w:rPr>
          <w:rFonts w:asciiTheme="majorHAnsi" w:hAnsiTheme="majorHAnsi"/>
          <w:bCs/>
          <w:i/>
          <w:sz w:val="20"/>
          <w:szCs w:val="20"/>
        </w:rPr>
        <w:t xml:space="preserve"> de México Norte S.A. de C.V.,</w:t>
      </w:r>
      <w:r w:rsidRPr="000C0219">
        <w:rPr>
          <w:rFonts w:asciiTheme="majorHAnsi" w:hAnsiTheme="majorHAnsi"/>
          <w:bCs/>
          <w:sz w:val="20"/>
          <w:szCs w:val="20"/>
        </w:rPr>
        <w:t xml:space="preserve"> </w:t>
      </w:r>
      <w:r w:rsidRPr="000C0219">
        <w:rPr>
          <w:rFonts w:asciiTheme="majorHAnsi" w:hAnsiTheme="majorHAnsi"/>
          <w:bCs/>
          <w:i/>
          <w:sz w:val="20"/>
          <w:szCs w:val="20"/>
        </w:rPr>
        <w:t xml:space="preserve">Cadena </w:t>
      </w:r>
      <w:proofErr w:type="spellStart"/>
      <w:r w:rsidRPr="000C0219">
        <w:rPr>
          <w:rFonts w:asciiTheme="majorHAnsi" w:hAnsiTheme="majorHAnsi"/>
          <w:bCs/>
          <w:i/>
          <w:sz w:val="20"/>
          <w:szCs w:val="20"/>
        </w:rPr>
        <w:t>Televisora</w:t>
      </w:r>
      <w:proofErr w:type="spellEnd"/>
      <w:r w:rsidRPr="000C0219">
        <w:rPr>
          <w:rFonts w:asciiTheme="majorHAnsi" w:hAnsiTheme="majorHAnsi"/>
          <w:bCs/>
          <w:i/>
          <w:sz w:val="20"/>
          <w:szCs w:val="20"/>
        </w:rPr>
        <w:t xml:space="preserve"> del Norte S.A. de C.V.</w:t>
      </w:r>
      <w:r w:rsidRPr="000C0219">
        <w:rPr>
          <w:rFonts w:asciiTheme="majorHAnsi" w:hAnsiTheme="majorHAnsi"/>
          <w:bCs/>
          <w:sz w:val="20"/>
          <w:szCs w:val="20"/>
        </w:rPr>
        <w:t xml:space="preserve">, and </w:t>
      </w:r>
      <w:proofErr w:type="spellStart"/>
      <w:r w:rsidRPr="000C0219">
        <w:rPr>
          <w:rFonts w:asciiTheme="majorHAnsi" w:hAnsiTheme="majorHAnsi"/>
          <w:bCs/>
          <w:i/>
          <w:sz w:val="20"/>
          <w:szCs w:val="20"/>
        </w:rPr>
        <w:t>Televimex</w:t>
      </w:r>
      <w:proofErr w:type="spellEnd"/>
      <w:r w:rsidRPr="000C0219">
        <w:rPr>
          <w:rFonts w:asciiTheme="majorHAnsi" w:hAnsiTheme="majorHAnsi"/>
          <w:bCs/>
          <w:i/>
          <w:sz w:val="20"/>
          <w:szCs w:val="20"/>
        </w:rPr>
        <w:t xml:space="preserve"> S.A. de C.V</w:t>
      </w:r>
      <w:r w:rsidRPr="000C0219">
        <w:rPr>
          <w:rFonts w:asciiTheme="majorHAnsi" w:hAnsiTheme="majorHAnsi"/>
          <w:sz w:val="20"/>
          <w:szCs w:val="20"/>
        </w:rPr>
        <w:t xml:space="preserve">.) as alleged victims in this case, as well as six individuals whose rights they claim were violated by the actions of the Mexican State. </w:t>
      </w:r>
    </w:p>
    <w:p w14:paraId="62E69036" w14:textId="77777777" w:rsidR="004E0D29" w:rsidRPr="000C0219" w:rsidRDefault="004E0D29" w:rsidP="004E0D29">
      <w:pPr>
        <w:pStyle w:val="ListParagraph"/>
        <w:rPr>
          <w:rFonts w:asciiTheme="majorHAnsi" w:hAnsiTheme="majorHAnsi"/>
          <w:sz w:val="20"/>
          <w:szCs w:val="20"/>
        </w:rPr>
      </w:pPr>
    </w:p>
    <w:p w14:paraId="42374966" w14:textId="77777777" w:rsidR="004E0D29" w:rsidRPr="000C0219" w:rsidRDefault="004E0D29" w:rsidP="004E0D29">
      <w:pPr>
        <w:pStyle w:val="ListParagraph"/>
        <w:numPr>
          <w:ilvl w:val="0"/>
          <w:numId w:val="103"/>
        </w:numPr>
        <w:jc w:val="both"/>
        <w:rPr>
          <w:rFonts w:asciiTheme="majorHAnsi" w:hAnsiTheme="majorHAnsi"/>
          <w:sz w:val="20"/>
          <w:szCs w:val="20"/>
        </w:rPr>
      </w:pPr>
      <w:r w:rsidRPr="000C0219">
        <w:rPr>
          <w:rFonts w:asciiTheme="majorHAnsi" w:hAnsiTheme="majorHAnsi"/>
          <w:sz w:val="20"/>
          <w:szCs w:val="20"/>
        </w:rPr>
        <w:t xml:space="preserve"> With respect to the legal entities, the petitioners argue that they are media companies entitled to the right to freedom of expression and deserving of protection from the bodies of the inter-American system. They assert that the right to freedom of expression “must naturally, clearly, and necessarily be held by media outlets, and not just by journalists, independent media workers, or regular citizens,” and that this has been recognized under international human rights law and comparative law. They indicate that there are no individual broadcasting services licensees in Mexico; rather, all of them are legal entities. They add that the work done by the media outlets penalized in this case “cannot practically be provided without the structure and complexity afforded by a mass media outlet.” </w:t>
      </w:r>
    </w:p>
    <w:p w14:paraId="5E07A977" w14:textId="77777777" w:rsidR="004E0D29" w:rsidRPr="000C0219" w:rsidRDefault="004E0D29" w:rsidP="004E0D29">
      <w:pPr>
        <w:pStyle w:val="ListParagraph"/>
        <w:rPr>
          <w:rFonts w:asciiTheme="majorHAnsi" w:hAnsiTheme="majorHAnsi"/>
          <w:sz w:val="20"/>
          <w:szCs w:val="20"/>
        </w:rPr>
      </w:pPr>
    </w:p>
    <w:p w14:paraId="1DFAB824" w14:textId="77777777" w:rsidR="007E5152" w:rsidRPr="000C0219" w:rsidRDefault="004E0D29" w:rsidP="004E0D29">
      <w:pPr>
        <w:pStyle w:val="ListParagraph"/>
        <w:numPr>
          <w:ilvl w:val="0"/>
          <w:numId w:val="103"/>
        </w:numPr>
        <w:jc w:val="both"/>
        <w:rPr>
          <w:rFonts w:asciiTheme="majorHAnsi" w:hAnsiTheme="majorHAnsi"/>
          <w:sz w:val="20"/>
          <w:szCs w:val="20"/>
        </w:rPr>
      </w:pPr>
      <w:r w:rsidRPr="000C0219">
        <w:rPr>
          <w:rFonts w:asciiTheme="majorHAnsi" w:hAnsiTheme="majorHAnsi"/>
          <w:sz w:val="20"/>
          <w:szCs w:val="20"/>
        </w:rPr>
        <w:t xml:space="preserve">With regard to the individuals, the petitioners argue that they are members of media organizations that “make decisions regarding the programming content that is disseminated,” and thereby “exercise their own freedom of expression through those news outlets.” They argue that Alejandro Fernando Aguilera </w:t>
      </w:r>
      <w:proofErr w:type="spellStart"/>
      <w:r w:rsidRPr="000C0219">
        <w:rPr>
          <w:rFonts w:asciiTheme="majorHAnsi" w:hAnsiTheme="majorHAnsi"/>
          <w:sz w:val="20"/>
          <w:szCs w:val="20"/>
        </w:rPr>
        <w:t>Mendieta</w:t>
      </w:r>
      <w:proofErr w:type="spellEnd"/>
      <w:r w:rsidRPr="000C0219">
        <w:rPr>
          <w:rFonts w:asciiTheme="majorHAnsi" w:hAnsiTheme="majorHAnsi"/>
          <w:sz w:val="20"/>
          <w:szCs w:val="20"/>
        </w:rPr>
        <w:t xml:space="preserve"> (Director of Programming and Infrastructure at </w:t>
      </w:r>
      <w:proofErr w:type="spellStart"/>
      <w:r w:rsidRPr="000C0219">
        <w:rPr>
          <w:rFonts w:asciiTheme="majorHAnsi" w:hAnsiTheme="majorHAnsi"/>
          <w:i/>
          <w:sz w:val="20"/>
          <w:szCs w:val="20"/>
        </w:rPr>
        <w:t>Cadenas</w:t>
      </w:r>
      <w:proofErr w:type="spellEnd"/>
      <w:r w:rsidRPr="000C0219">
        <w:rPr>
          <w:rFonts w:asciiTheme="majorHAnsi" w:hAnsiTheme="majorHAnsi"/>
          <w:i/>
          <w:sz w:val="20"/>
          <w:szCs w:val="20"/>
        </w:rPr>
        <w:t xml:space="preserve"> de </w:t>
      </w:r>
      <w:proofErr w:type="spellStart"/>
      <w:r w:rsidRPr="000C0219">
        <w:rPr>
          <w:rFonts w:asciiTheme="majorHAnsi" w:hAnsiTheme="majorHAnsi"/>
          <w:i/>
          <w:sz w:val="20"/>
          <w:szCs w:val="20"/>
        </w:rPr>
        <w:t>Televimex</w:t>
      </w:r>
      <w:proofErr w:type="spellEnd"/>
      <w:r w:rsidRPr="000C0219">
        <w:rPr>
          <w:rFonts w:asciiTheme="majorHAnsi" w:hAnsiTheme="majorHAnsi"/>
          <w:i/>
          <w:sz w:val="20"/>
          <w:szCs w:val="20"/>
        </w:rPr>
        <w:t xml:space="preserve"> S.A. de C.V.</w:t>
      </w:r>
      <w:r w:rsidRPr="000C0219">
        <w:rPr>
          <w:rFonts w:asciiTheme="majorHAnsi" w:hAnsiTheme="majorHAnsi"/>
          <w:sz w:val="20"/>
          <w:szCs w:val="20"/>
        </w:rPr>
        <w:t xml:space="preserve">), Miguel </w:t>
      </w:r>
      <w:proofErr w:type="spellStart"/>
      <w:r w:rsidRPr="000C0219">
        <w:rPr>
          <w:rFonts w:asciiTheme="majorHAnsi" w:hAnsiTheme="majorHAnsi"/>
          <w:sz w:val="20"/>
          <w:szCs w:val="20"/>
        </w:rPr>
        <w:t>Ángel</w:t>
      </w:r>
      <w:proofErr w:type="spellEnd"/>
      <w:r w:rsidRPr="000C0219">
        <w:rPr>
          <w:rFonts w:asciiTheme="majorHAnsi" w:hAnsiTheme="majorHAnsi"/>
          <w:sz w:val="20"/>
          <w:szCs w:val="20"/>
        </w:rPr>
        <w:t xml:space="preserve"> </w:t>
      </w:r>
      <w:proofErr w:type="spellStart"/>
      <w:r w:rsidRPr="000C0219">
        <w:rPr>
          <w:rFonts w:asciiTheme="majorHAnsi" w:hAnsiTheme="majorHAnsi"/>
          <w:sz w:val="20"/>
          <w:szCs w:val="20"/>
        </w:rPr>
        <w:t>Diez</w:t>
      </w:r>
      <w:proofErr w:type="spellEnd"/>
      <w:r w:rsidRPr="000C0219">
        <w:rPr>
          <w:rFonts w:asciiTheme="majorHAnsi" w:hAnsiTheme="majorHAnsi"/>
          <w:sz w:val="20"/>
          <w:szCs w:val="20"/>
        </w:rPr>
        <w:t xml:space="preserve"> García (Director of Traffic at </w:t>
      </w:r>
      <w:proofErr w:type="spellStart"/>
      <w:r w:rsidRPr="000C0219">
        <w:rPr>
          <w:rFonts w:asciiTheme="majorHAnsi" w:hAnsiTheme="majorHAnsi"/>
          <w:i/>
          <w:sz w:val="20"/>
          <w:szCs w:val="20"/>
        </w:rPr>
        <w:t>Televimex</w:t>
      </w:r>
      <w:proofErr w:type="spellEnd"/>
      <w:r w:rsidRPr="000C0219">
        <w:rPr>
          <w:rFonts w:asciiTheme="majorHAnsi" w:hAnsiTheme="majorHAnsi"/>
          <w:i/>
          <w:sz w:val="20"/>
          <w:szCs w:val="20"/>
        </w:rPr>
        <w:t xml:space="preserve"> S.A. de C.V.</w:t>
      </w:r>
      <w:r w:rsidRPr="000C0219">
        <w:rPr>
          <w:rFonts w:asciiTheme="majorHAnsi" w:hAnsiTheme="majorHAnsi"/>
          <w:sz w:val="20"/>
          <w:szCs w:val="20"/>
        </w:rPr>
        <w:t xml:space="preserve">), </w:t>
      </w:r>
      <w:proofErr w:type="spellStart"/>
      <w:r w:rsidRPr="000C0219">
        <w:rPr>
          <w:rFonts w:asciiTheme="majorHAnsi" w:hAnsiTheme="majorHAnsi"/>
          <w:sz w:val="20"/>
          <w:szCs w:val="20"/>
        </w:rPr>
        <w:t>Ángel</w:t>
      </w:r>
      <w:proofErr w:type="spellEnd"/>
      <w:r w:rsidRPr="000C0219">
        <w:rPr>
          <w:rFonts w:asciiTheme="majorHAnsi" w:hAnsiTheme="majorHAnsi"/>
          <w:sz w:val="20"/>
          <w:szCs w:val="20"/>
        </w:rPr>
        <w:t xml:space="preserve"> Israel Crespo Rueda (Legal Coordinator of </w:t>
      </w:r>
      <w:proofErr w:type="spellStart"/>
      <w:r w:rsidRPr="000C0219">
        <w:rPr>
          <w:rFonts w:asciiTheme="majorHAnsi" w:hAnsiTheme="majorHAnsi"/>
          <w:i/>
          <w:sz w:val="20"/>
          <w:szCs w:val="20"/>
        </w:rPr>
        <w:t>Televimex</w:t>
      </w:r>
      <w:proofErr w:type="spellEnd"/>
      <w:r w:rsidRPr="000C0219">
        <w:rPr>
          <w:rFonts w:asciiTheme="majorHAnsi" w:hAnsiTheme="majorHAnsi"/>
          <w:i/>
          <w:sz w:val="20"/>
          <w:szCs w:val="20"/>
        </w:rPr>
        <w:t xml:space="preserve"> S.A. de C.V.</w:t>
      </w:r>
      <w:r w:rsidRPr="000C0219">
        <w:rPr>
          <w:rFonts w:asciiTheme="majorHAnsi" w:hAnsiTheme="majorHAnsi"/>
          <w:sz w:val="20"/>
          <w:szCs w:val="20"/>
        </w:rPr>
        <w:t xml:space="preserve">), Miriam Villanueva Chiapas (Programming Director of </w:t>
      </w:r>
      <w:proofErr w:type="spellStart"/>
      <w:r w:rsidRPr="000C0219">
        <w:rPr>
          <w:rFonts w:asciiTheme="majorHAnsi" w:hAnsiTheme="majorHAnsi"/>
          <w:i/>
          <w:sz w:val="20"/>
          <w:szCs w:val="20"/>
        </w:rPr>
        <w:t>Radiotelevisora</w:t>
      </w:r>
      <w:proofErr w:type="spellEnd"/>
      <w:r w:rsidRPr="000C0219">
        <w:rPr>
          <w:rFonts w:asciiTheme="majorHAnsi" w:hAnsiTheme="majorHAnsi"/>
          <w:i/>
          <w:sz w:val="20"/>
          <w:szCs w:val="20"/>
        </w:rPr>
        <w:t xml:space="preserve"> de México Norte S.A. de C.V.</w:t>
      </w:r>
      <w:r w:rsidRPr="000C0219">
        <w:rPr>
          <w:rFonts w:asciiTheme="majorHAnsi" w:hAnsiTheme="majorHAnsi"/>
          <w:sz w:val="20"/>
          <w:szCs w:val="20"/>
        </w:rPr>
        <w:t xml:space="preserve">), and Felix Araujo </w:t>
      </w:r>
      <w:proofErr w:type="spellStart"/>
      <w:r w:rsidRPr="000C0219">
        <w:rPr>
          <w:rFonts w:asciiTheme="majorHAnsi" w:hAnsiTheme="majorHAnsi"/>
          <w:sz w:val="20"/>
          <w:szCs w:val="20"/>
        </w:rPr>
        <w:t>Ramírez</w:t>
      </w:r>
      <w:proofErr w:type="spellEnd"/>
      <w:r w:rsidRPr="000C0219">
        <w:rPr>
          <w:rFonts w:asciiTheme="majorHAnsi" w:hAnsiTheme="majorHAnsi"/>
          <w:sz w:val="20"/>
          <w:szCs w:val="20"/>
        </w:rPr>
        <w:t xml:space="preserve"> (Programming Director of </w:t>
      </w:r>
      <w:proofErr w:type="spellStart"/>
      <w:r w:rsidRPr="000C0219">
        <w:rPr>
          <w:rFonts w:asciiTheme="majorHAnsi" w:hAnsiTheme="majorHAnsi"/>
          <w:i/>
          <w:sz w:val="20"/>
          <w:szCs w:val="20"/>
        </w:rPr>
        <w:t>Radiotelevisora</w:t>
      </w:r>
      <w:proofErr w:type="spellEnd"/>
      <w:r w:rsidRPr="000C0219">
        <w:rPr>
          <w:rFonts w:asciiTheme="majorHAnsi" w:hAnsiTheme="majorHAnsi"/>
          <w:i/>
          <w:sz w:val="20"/>
          <w:szCs w:val="20"/>
        </w:rPr>
        <w:t xml:space="preserve"> de México Norte S.A. de C.V.</w:t>
      </w:r>
      <w:r w:rsidRPr="000C0219">
        <w:rPr>
          <w:rFonts w:asciiTheme="majorHAnsi" w:hAnsiTheme="majorHAnsi"/>
          <w:sz w:val="20"/>
          <w:szCs w:val="20"/>
        </w:rPr>
        <w:t xml:space="preserve">) “are the ones who must decide whether—and when and where—to air advertising spots that may be considered violations of the vague and threatening electoral and broadcasting regulations. They are also the ones who sell airtime for commercials and prepare their content, or approve those contracts and broadcasts.”  </w:t>
      </w:r>
      <w:r w:rsidRPr="000C0219">
        <w:rPr>
          <w:rFonts w:asciiTheme="majorHAnsi" w:hAnsiTheme="majorHAnsi"/>
          <w:sz w:val="20"/>
          <w:szCs w:val="20"/>
        </w:rPr>
        <w:lastRenderedPageBreak/>
        <w:t xml:space="preserve">They maintain that the penalty imposed against the legal entities where they work affects the exercise of their fundamental rights, “because by virtue of that judicial measure they cannot express themselves freely, make decisions on what programs to encourage, what types of issues to deal with, etc., without risking their employment, their own personal liability, and the subsequent liability of the licensee and/or publishing house.” They explained, in turn, that these individuals have had to make the decision to suspend other publications that raise—in this context of legal uncertainty—the possibility that they will be penalized, which “demonstrates the chilling effect on freedom of expression of the violations perpetrated by the State.” They also allege that “their freedom of expression is violated in conjunction with a violation of the principle of legality, given that there are constitutional and legal provisions that are completely vague and overly broad, that make it impossible to know exactly what content and conduct they prohibit.” </w:t>
      </w:r>
    </w:p>
    <w:p w14:paraId="10277906" w14:textId="77777777" w:rsidR="007E5152" w:rsidRPr="000C0219" w:rsidRDefault="007E5152" w:rsidP="007E5152">
      <w:pPr>
        <w:pStyle w:val="ListParagraph"/>
        <w:jc w:val="both"/>
        <w:rPr>
          <w:rFonts w:asciiTheme="majorHAnsi" w:hAnsiTheme="majorHAnsi"/>
          <w:sz w:val="20"/>
          <w:szCs w:val="20"/>
        </w:rPr>
      </w:pPr>
    </w:p>
    <w:p w14:paraId="66FD2B25" w14:textId="36770C81" w:rsidR="004E0D29" w:rsidRPr="000C0219" w:rsidRDefault="004E0D29" w:rsidP="004E0D29">
      <w:pPr>
        <w:pStyle w:val="ListParagraph"/>
        <w:numPr>
          <w:ilvl w:val="0"/>
          <w:numId w:val="103"/>
        </w:numPr>
        <w:jc w:val="both"/>
        <w:rPr>
          <w:rFonts w:asciiTheme="majorHAnsi" w:hAnsiTheme="majorHAnsi"/>
          <w:sz w:val="20"/>
          <w:szCs w:val="20"/>
        </w:rPr>
      </w:pPr>
      <w:r w:rsidRPr="000C0219">
        <w:rPr>
          <w:rFonts w:asciiTheme="majorHAnsi" w:hAnsiTheme="majorHAnsi"/>
          <w:sz w:val="20"/>
          <w:szCs w:val="20"/>
        </w:rPr>
        <w:t xml:space="preserve">They ask the IACHR to also recognize Raquel Hidalgo </w:t>
      </w:r>
      <w:proofErr w:type="spellStart"/>
      <w:r w:rsidRPr="000C0219">
        <w:rPr>
          <w:rFonts w:asciiTheme="majorHAnsi" w:hAnsiTheme="majorHAnsi"/>
          <w:sz w:val="20"/>
          <w:szCs w:val="20"/>
        </w:rPr>
        <w:t>Márquez</w:t>
      </w:r>
      <w:proofErr w:type="spellEnd"/>
      <w:r w:rsidRPr="000C0219">
        <w:rPr>
          <w:rFonts w:asciiTheme="majorHAnsi" w:hAnsiTheme="majorHAnsi"/>
          <w:sz w:val="20"/>
          <w:szCs w:val="20"/>
        </w:rPr>
        <w:t xml:space="preserve"> as an alleged victim in this case. She is a Mexican citizen who believes that her right to receive information about political figures in the election context without undue restrictions has been infringed. They argue that the facts alleged “do not allow her, as a regular citizen, to receive clear, accurate, and complete information about election candidates and issues.” </w:t>
      </w:r>
    </w:p>
    <w:p w14:paraId="196D2062" w14:textId="77777777" w:rsidR="004E0D29" w:rsidRPr="000C0219" w:rsidRDefault="004E0D29" w:rsidP="004E0D29">
      <w:pPr>
        <w:pStyle w:val="ListParagraph"/>
        <w:rPr>
          <w:rFonts w:asciiTheme="majorHAnsi" w:hAnsiTheme="majorHAnsi"/>
          <w:sz w:val="20"/>
          <w:szCs w:val="20"/>
        </w:rPr>
      </w:pPr>
    </w:p>
    <w:p w14:paraId="0A7FFF56" w14:textId="77777777" w:rsidR="004E0D29" w:rsidRPr="000C0219" w:rsidRDefault="004E0D29" w:rsidP="004E0D29">
      <w:pPr>
        <w:pStyle w:val="ListParagraph"/>
        <w:numPr>
          <w:ilvl w:val="0"/>
          <w:numId w:val="103"/>
        </w:numPr>
        <w:jc w:val="both"/>
        <w:rPr>
          <w:rFonts w:asciiTheme="majorHAnsi" w:hAnsiTheme="majorHAnsi"/>
          <w:sz w:val="20"/>
          <w:szCs w:val="20"/>
        </w:rPr>
      </w:pPr>
      <w:r w:rsidRPr="000C0219">
        <w:rPr>
          <w:rFonts w:asciiTheme="majorHAnsi" w:hAnsiTheme="majorHAnsi"/>
          <w:sz w:val="20"/>
          <w:szCs w:val="20"/>
        </w:rPr>
        <w:t>The petitioners state that the domestic legal remedies were exhausted with the decision issued by the TRIFE, of which they received notice on August 27, 2009. They indicate that this decision is final and not subject to judicial appeal in the domestic system.  They maintain that these remedies were exhausted by the media outlets (legal entities) through their legal representatives and that the executives were not formally parties to the proceedings, as “they do not have standing at the domestic level to challenge the proceedings and the penalty” against the media outlets. They argue that “if the individuals had been able to take part in the trial at the national level, it would in any case have been a useless formal requirement, as the meaning of the TRIFE’s decision would certainly not have varied.”</w:t>
      </w:r>
    </w:p>
    <w:p w14:paraId="0DA9BA02" w14:textId="77777777" w:rsidR="007E5152" w:rsidRPr="000C0219" w:rsidRDefault="007E5152" w:rsidP="007E5152">
      <w:pPr>
        <w:pStyle w:val="ListParagraph"/>
        <w:rPr>
          <w:rFonts w:asciiTheme="majorHAnsi" w:hAnsiTheme="majorHAnsi"/>
          <w:sz w:val="20"/>
          <w:szCs w:val="20"/>
        </w:rPr>
      </w:pPr>
    </w:p>
    <w:p w14:paraId="36F39CE8" w14:textId="305990D1" w:rsidR="00533229" w:rsidRPr="000C0219" w:rsidRDefault="00533229" w:rsidP="00533229">
      <w:pPr>
        <w:pStyle w:val="ListParagraph"/>
        <w:numPr>
          <w:ilvl w:val="0"/>
          <w:numId w:val="103"/>
        </w:numPr>
        <w:jc w:val="both"/>
        <w:rPr>
          <w:sz w:val="20"/>
          <w:szCs w:val="20"/>
        </w:rPr>
      </w:pPr>
      <w:r w:rsidRPr="000C0219">
        <w:rPr>
          <w:sz w:val="20"/>
          <w:szCs w:val="20"/>
        </w:rPr>
        <w:t xml:space="preserve">In particular, the petitioners indicate that the requirement to resort to the figure of the interested third party would be “completely illogical,” given that according to article 12, first paragraph, clause c) of the </w:t>
      </w:r>
      <w:r w:rsidR="00802A5F" w:rsidRPr="000C0219">
        <w:rPr>
          <w:rFonts w:asciiTheme="majorHAnsi" w:hAnsiTheme="majorHAnsi"/>
          <w:sz w:val="20"/>
          <w:szCs w:val="20"/>
        </w:rPr>
        <w:t xml:space="preserve">General Law of the System of Means of </w:t>
      </w:r>
      <w:proofErr w:type="spellStart"/>
      <w:r w:rsidR="00802A5F" w:rsidRPr="000C0219">
        <w:rPr>
          <w:rFonts w:asciiTheme="majorHAnsi" w:hAnsiTheme="majorHAnsi"/>
          <w:sz w:val="20"/>
          <w:szCs w:val="20"/>
        </w:rPr>
        <w:t>Impugnment</w:t>
      </w:r>
      <w:proofErr w:type="spellEnd"/>
      <w:r w:rsidR="00802A5F" w:rsidRPr="000C0219">
        <w:rPr>
          <w:sz w:val="20"/>
          <w:szCs w:val="20"/>
        </w:rPr>
        <w:t xml:space="preserve"> </w:t>
      </w:r>
      <w:r w:rsidRPr="000C0219">
        <w:rPr>
          <w:sz w:val="20"/>
          <w:szCs w:val="20"/>
        </w:rPr>
        <w:t>in Electoral Matter [</w:t>
      </w:r>
      <w:r w:rsidRPr="000C0219">
        <w:rPr>
          <w:i/>
          <w:sz w:val="20"/>
          <w:szCs w:val="20"/>
        </w:rPr>
        <w:t xml:space="preserve">Ley General del Sistema de </w:t>
      </w:r>
      <w:proofErr w:type="spellStart"/>
      <w:r w:rsidRPr="000C0219">
        <w:rPr>
          <w:i/>
          <w:sz w:val="20"/>
          <w:szCs w:val="20"/>
        </w:rPr>
        <w:t>Medios</w:t>
      </w:r>
      <w:proofErr w:type="spellEnd"/>
      <w:r w:rsidRPr="000C0219">
        <w:rPr>
          <w:i/>
          <w:sz w:val="20"/>
          <w:szCs w:val="20"/>
        </w:rPr>
        <w:t xml:space="preserve"> de </w:t>
      </w:r>
      <w:proofErr w:type="spellStart"/>
      <w:r w:rsidRPr="000C0219">
        <w:rPr>
          <w:i/>
          <w:sz w:val="20"/>
          <w:szCs w:val="20"/>
        </w:rPr>
        <w:t>Impugnación</w:t>
      </w:r>
      <w:proofErr w:type="spellEnd"/>
      <w:r w:rsidRPr="000C0219">
        <w:rPr>
          <w:i/>
          <w:sz w:val="20"/>
          <w:szCs w:val="20"/>
        </w:rPr>
        <w:t xml:space="preserve"> </w:t>
      </w:r>
      <w:proofErr w:type="spellStart"/>
      <w:r w:rsidRPr="000C0219">
        <w:rPr>
          <w:i/>
          <w:sz w:val="20"/>
          <w:szCs w:val="20"/>
        </w:rPr>
        <w:t>en</w:t>
      </w:r>
      <w:proofErr w:type="spellEnd"/>
      <w:r w:rsidRPr="000C0219">
        <w:rPr>
          <w:i/>
          <w:sz w:val="20"/>
          <w:szCs w:val="20"/>
        </w:rPr>
        <w:t xml:space="preserve"> Materia Electoral</w:t>
      </w:r>
      <w:r w:rsidRPr="000C0219">
        <w:rPr>
          <w:sz w:val="20"/>
          <w:szCs w:val="20"/>
        </w:rPr>
        <w:t xml:space="preserve">] (LGSMIME), the procedural </w:t>
      </w:r>
      <w:r w:rsidR="00A86B81" w:rsidRPr="000C0219">
        <w:rPr>
          <w:sz w:val="20"/>
          <w:szCs w:val="20"/>
        </w:rPr>
        <w:t>requirement</w:t>
      </w:r>
      <w:r w:rsidRPr="000C0219">
        <w:rPr>
          <w:sz w:val="20"/>
          <w:szCs w:val="20"/>
        </w:rPr>
        <w:t xml:space="preserve"> for this figure is a right incompatible with the actor, which would not be observed in </w:t>
      </w:r>
      <w:r w:rsidR="00A86B81" w:rsidRPr="000C0219">
        <w:rPr>
          <w:sz w:val="20"/>
          <w:szCs w:val="20"/>
        </w:rPr>
        <w:t>the present situation, because “</w:t>
      </w:r>
      <w:r w:rsidRPr="000C0219">
        <w:rPr>
          <w:sz w:val="20"/>
          <w:szCs w:val="20"/>
        </w:rPr>
        <w:t xml:space="preserve">the natural and </w:t>
      </w:r>
      <w:r w:rsidR="00A86B81" w:rsidRPr="000C0219">
        <w:rPr>
          <w:sz w:val="20"/>
          <w:szCs w:val="20"/>
        </w:rPr>
        <w:t>the legal entity</w:t>
      </w:r>
      <w:r w:rsidRPr="000C0219">
        <w:rPr>
          <w:sz w:val="20"/>
          <w:szCs w:val="20"/>
        </w:rPr>
        <w:t xml:space="preserve"> in the proceedings had exactly the same interest and same right (to freedom of expression) violated</w:t>
      </w:r>
      <w:r w:rsidR="00A86B81" w:rsidRPr="000C0219">
        <w:rPr>
          <w:sz w:val="20"/>
          <w:szCs w:val="20"/>
        </w:rPr>
        <w:t xml:space="preserve">.” </w:t>
      </w:r>
      <w:r w:rsidR="00CB7FF0" w:rsidRPr="000C0219">
        <w:rPr>
          <w:sz w:val="20"/>
          <w:szCs w:val="20"/>
        </w:rPr>
        <w:t>Then, they affirm that for this specific</w:t>
      </w:r>
      <w:r w:rsidRPr="000C0219">
        <w:rPr>
          <w:sz w:val="20"/>
          <w:szCs w:val="20"/>
        </w:rPr>
        <w:t xml:space="preserve"> case t</w:t>
      </w:r>
      <w:r w:rsidR="00A86B81" w:rsidRPr="000C0219">
        <w:rPr>
          <w:sz w:val="20"/>
          <w:szCs w:val="20"/>
        </w:rPr>
        <w:t xml:space="preserve">his </w:t>
      </w:r>
      <w:r w:rsidR="00CB7FF0" w:rsidRPr="000C0219">
        <w:rPr>
          <w:sz w:val="20"/>
          <w:szCs w:val="20"/>
        </w:rPr>
        <w:t>option</w:t>
      </w:r>
      <w:r w:rsidR="00A86B81" w:rsidRPr="000C0219">
        <w:rPr>
          <w:sz w:val="20"/>
          <w:szCs w:val="20"/>
        </w:rPr>
        <w:t xml:space="preserve"> would be “</w:t>
      </w:r>
      <w:r w:rsidRPr="000C0219">
        <w:rPr>
          <w:sz w:val="20"/>
          <w:szCs w:val="20"/>
        </w:rPr>
        <w:t>completely unreasonable</w:t>
      </w:r>
      <w:r w:rsidR="00A86B81" w:rsidRPr="000C0219">
        <w:rPr>
          <w:sz w:val="20"/>
          <w:szCs w:val="20"/>
        </w:rPr>
        <w:t>,” since it would have been “</w:t>
      </w:r>
      <w:r w:rsidRPr="000C0219">
        <w:rPr>
          <w:sz w:val="20"/>
          <w:szCs w:val="20"/>
        </w:rPr>
        <w:t>impossible from the procedural point of view and</w:t>
      </w:r>
      <w:r w:rsidR="00A86B81" w:rsidRPr="000C0219">
        <w:rPr>
          <w:sz w:val="20"/>
          <w:szCs w:val="20"/>
        </w:rPr>
        <w:t xml:space="preserve"> from the logical point of view”</w:t>
      </w:r>
      <w:r w:rsidRPr="000C0219">
        <w:rPr>
          <w:sz w:val="20"/>
          <w:szCs w:val="20"/>
        </w:rPr>
        <w:t xml:space="preserve"> that the natural persons were constituted as third parties int</w:t>
      </w:r>
      <w:r w:rsidR="00A86B81" w:rsidRPr="000C0219">
        <w:rPr>
          <w:sz w:val="20"/>
          <w:szCs w:val="20"/>
        </w:rPr>
        <w:t xml:space="preserve">erested in the appeal procedure presented by </w:t>
      </w:r>
      <w:r w:rsidRPr="000C0219">
        <w:rPr>
          <w:sz w:val="20"/>
          <w:szCs w:val="20"/>
        </w:rPr>
        <w:t>the three companies.</w:t>
      </w:r>
    </w:p>
    <w:p w14:paraId="0DE36E5F" w14:textId="77777777" w:rsidR="007E5152" w:rsidRPr="000C0219" w:rsidRDefault="007E5152" w:rsidP="007E5152">
      <w:pPr>
        <w:jc w:val="both"/>
        <w:rPr>
          <w:sz w:val="20"/>
          <w:szCs w:val="20"/>
        </w:rPr>
      </w:pPr>
    </w:p>
    <w:p w14:paraId="7AF40246" w14:textId="5283B244" w:rsidR="00A86B81" w:rsidRPr="000C0219" w:rsidRDefault="00A86B81" w:rsidP="00A86B81">
      <w:pPr>
        <w:pStyle w:val="ListParagraph"/>
        <w:numPr>
          <w:ilvl w:val="0"/>
          <w:numId w:val="103"/>
        </w:numPr>
        <w:jc w:val="both"/>
        <w:rPr>
          <w:sz w:val="20"/>
          <w:szCs w:val="20"/>
        </w:rPr>
      </w:pPr>
      <w:r w:rsidRPr="000C0219">
        <w:rPr>
          <w:sz w:val="20"/>
          <w:szCs w:val="20"/>
        </w:rPr>
        <w:t xml:space="preserve">Likewise, they point out that the legal procedure for the protection of political-electoral rights, which would be contemplated in article 79 of the LGSMINE, was not an adequate or appropriate remedy to </w:t>
      </w:r>
      <w:r w:rsidR="00CB7FF0" w:rsidRPr="000C0219">
        <w:rPr>
          <w:sz w:val="20"/>
          <w:szCs w:val="20"/>
        </w:rPr>
        <w:t>redress</w:t>
      </w:r>
      <w:r w:rsidRPr="000C0219">
        <w:rPr>
          <w:sz w:val="20"/>
          <w:szCs w:val="20"/>
        </w:rPr>
        <w:t xml:space="preserve"> a violation of the right to freedom of </w:t>
      </w:r>
      <w:r w:rsidR="003F5171" w:rsidRPr="000C0219">
        <w:rPr>
          <w:sz w:val="20"/>
          <w:szCs w:val="20"/>
        </w:rPr>
        <w:t>expression, “b</w:t>
      </w:r>
      <w:r w:rsidRPr="000C0219">
        <w:rPr>
          <w:sz w:val="20"/>
          <w:szCs w:val="20"/>
        </w:rPr>
        <w:t>ecause these individual victims suffered injuries to rights of a diverse nature to those w</w:t>
      </w:r>
      <w:r w:rsidR="003F5171" w:rsidRPr="000C0219">
        <w:rPr>
          <w:sz w:val="20"/>
          <w:szCs w:val="20"/>
        </w:rPr>
        <w:t>ho are protected in such legal procedure.”</w:t>
      </w:r>
      <w:r w:rsidRPr="000C0219">
        <w:rPr>
          <w:sz w:val="20"/>
          <w:szCs w:val="20"/>
        </w:rPr>
        <w:t xml:space="preserve"> In this regard, they add that the situation that gave </w:t>
      </w:r>
      <w:r w:rsidR="003F5171" w:rsidRPr="000C0219">
        <w:rPr>
          <w:sz w:val="20"/>
          <w:szCs w:val="20"/>
        </w:rPr>
        <w:t>rise to the present petition “[</w:t>
      </w:r>
      <w:proofErr w:type="spellStart"/>
      <w:r w:rsidR="003F5171" w:rsidRPr="000C0219">
        <w:rPr>
          <w:sz w:val="20"/>
          <w:szCs w:val="20"/>
        </w:rPr>
        <w:t>i</w:t>
      </w:r>
      <w:proofErr w:type="spellEnd"/>
      <w:r w:rsidR="003F5171" w:rsidRPr="000C0219">
        <w:rPr>
          <w:sz w:val="20"/>
          <w:szCs w:val="20"/>
        </w:rPr>
        <w:t>]</w:t>
      </w:r>
      <w:r w:rsidRPr="000C0219">
        <w:rPr>
          <w:sz w:val="20"/>
          <w:szCs w:val="20"/>
        </w:rPr>
        <w:t xml:space="preserve">s the state sanction to the media companies referred to, which constitutes a form of censorship and undue restriction to publicize political content. This situation and the violated right are not possible to be subsumed in any of the </w:t>
      </w:r>
      <w:r w:rsidR="00502BCB" w:rsidRPr="000C0219">
        <w:rPr>
          <w:sz w:val="20"/>
          <w:szCs w:val="20"/>
        </w:rPr>
        <w:t xml:space="preserve">situations </w:t>
      </w:r>
      <w:r w:rsidRPr="000C0219">
        <w:rPr>
          <w:sz w:val="20"/>
          <w:szCs w:val="20"/>
        </w:rPr>
        <w:t>established by art. 79 of the LGSMIME. The rights of the victims to vote and be voted, to associate individually and freely to participate in a peaceful way in political affairs or to join a political party free were not affected. Nor was the right to integrate state authorities violated.</w:t>
      </w:r>
      <w:r w:rsidR="003F5171" w:rsidRPr="000C0219">
        <w:rPr>
          <w:sz w:val="20"/>
          <w:szCs w:val="20"/>
        </w:rPr>
        <w:t xml:space="preserve">” </w:t>
      </w:r>
      <w:r w:rsidRPr="000C0219">
        <w:rPr>
          <w:sz w:val="20"/>
          <w:szCs w:val="20"/>
        </w:rPr>
        <w:t>They affirm that neither any of the situations contemplated in art. 80</w:t>
      </w:r>
      <w:r w:rsidR="003F5171" w:rsidRPr="000C0219">
        <w:rPr>
          <w:sz w:val="20"/>
          <w:szCs w:val="20"/>
        </w:rPr>
        <w:t xml:space="preserve"> would</w:t>
      </w:r>
      <w:r w:rsidRPr="000C0219">
        <w:rPr>
          <w:sz w:val="20"/>
          <w:szCs w:val="20"/>
        </w:rPr>
        <w:t xml:space="preserve"> be verified, which would list in its paragraphs the situations in which the</w:t>
      </w:r>
      <w:r w:rsidR="003F5171" w:rsidRPr="000C0219">
        <w:rPr>
          <w:sz w:val="20"/>
          <w:szCs w:val="20"/>
        </w:rPr>
        <w:t xml:space="preserve"> citizen can promote the legal procedure</w:t>
      </w:r>
      <w:r w:rsidRPr="000C0219">
        <w:rPr>
          <w:sz w:val="20"/>
          <w:szCs w:val="20"/>
        </w:rPr>
        <w:t xml:space="preserve"> established in the aforementioned article 79. In particular, they maintain that, in the present case, the generic assumption contemplated in subparagraph f) of article 80 wou</w:t>
      </w:r>
      <w:r w:rsidR="003F5171" w:rsidRPr="000C0219">
        <w:rPr>
          <w:sz w:val="20"/>
          <w:szCs w:val="20"/>
        </w:rPr>
        <w:t>ld not be verified, since “[t]</w:t>
      </w:r>
      <w:r w:rsidRPr="000C0219">
        <w:rPr>
          <w:sz w:val="20"/>
          <w:szCs w:val="20"/>
        </w:rPr>
        <w:t>he same refers to any act or resolution of the authority but that violates some political</w:t>
      </w:r>
      <w:r w:rsidR="003F5171" w:rsidRPr="000C0219">
        <w:rPr>
          <w:sz w:val="20"/>
          <w:szCs w:val="20"/>
        </w:rPr>
        <w:t xml:space="preserve">-electoral right </w:t>
      </w:r>
      <w:r w:rsidRPr="000C0219">
        <w:rPr>
          <w:sz w:val="20"/>
          <w:szCs w:val="20"/>
        </w:rPr>
        <w:t>of art. 79</w:t>
      </w:r>
      <w:r w:rsidR="003F5171" w:rsidRPr="000C0219">
        <w:rPr>
          <w:sz w:val="20"/>
          <w:szCs w:val="20"/>
        </w:rPr>
        <w:t xml:space="preserve">.”  </w:t>
      </w:r>
    </w:p>
    <w:p w14:paraId="6B732E67" w14:textId="77777777" w:rsidR="004E0D29" w:rsidRPr="000C0219" w:rsidRDefault="004E0D29" w:rsidP="004E0D29">
      <w:pPr>
        <w:pStyle w:val="ListParagraph"/>
        <w:jc w:val="both"/>
        <w:rPr>
          <w:rFonts w:asciiTheme="majorHAnsi" w:hAnsiTheme="majorHAnsi"/>
          <w:sz w:val="20"/>
          <w:szCs w:val="20"/>
        </w:rPr>
      </w:pPr>
    </w:p>
    <w:p w14:paraId="3CC80D0B" w14:textId="77777777" w:rsidR="004E0D29" w:rsidRPr="000C0219" w:rsidRDefault="004E0D29" w:rsidP="004E0D2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0C0219">
        <w:rPr>
          <w:rFonts w:asciiTheme="majorHAnsi" w:hAnsiTheme="majorHAnsi"/>
          <w:sz w:val="20"/>
          <w:szCs w:val="20"/>
        </w:rPr>
        <w:t xml:space="preserve">The State provided an account of the facts surrounding this petition that was consistent in relevant part with the facts presented by the petitioners. The State argues that legal entities are not entitled to the rights provided for in the ACHR or subject to the protection of its bodies, citing Advisory Opinion OC-22/16 to support its position. It also underscores that, although the individuals may have “ties to the legal entities </w:t>
      </w:r>
      <w:r w:rsidRPr="000C0219">
        <w:rPr>
          <w:rFonts w:asciiTheme="majorHAnsi" w:hAnsiTheme="majorHAnsi"/>
          <w:sz w:val="20"/>
          <w:szCs w:val="20"/>
        </w:rPr>
        <w:lastRenderedPageBreak/>
        <w:t xml:space="preserve">penalized in this case, that does not mean that their human rights were violated.” In this regard, it asks the IACHR to declare that it lacks competence to hear and decide the instant petition because </w:t>
      </w:r>
      <w:proofErr w:type="spellStart"/>
      <w:r w:rsidRPr="000C0219">
        <w:rPr>
          <w:rFonts w:asciiTheme="majorHAnsi" w:hAnsiTheme="majorHAnsi"/>
          <w:i/>
          <w:sz w:val="20"/>
          <w:szCs w:val="20"/>
        </w:rPr>
        <w:t>Televimex</w:t>
      </w:r>
      <w:proofErr w:type="spellEnd"/>
      <w:r w:rsidRPr="000C0219">
        <w:rPr>
          <w:rFonts w:asciiTheme="majorHAnsi" w:hAnsiTheme="majorHAnsi"/>
          <w:i/>
          <w:sz w:val="20"/>
          <w:szCs w:val="20"/>
        </w:rPr>
        <w:t xml:space="preserve"> S.A. de C.V</w:t>
      </w:r>
      <w:r w:rsidRPr="000C0219">
        <w:rPr>
          <w:rFonts w:asciiTheme="majorHAnsi" w:hAnsiTheme="majorHAnsi"/>
          <w:sz w:val="20"/>
          <w:szCs w:val="20"/>
        </w:rPr>
        <w:t xml:space="preserve">, </w:t>
      </w:r>
      <w:r w:rsidRPr="000C0219">
        <w:rPr>
          <w:rFonts w:asciiTheme="majorHAnsi" w:hAnsiTheme="majorHAnsi"/>
          <w:i/>
          <w:sz w:val="20"/>
          <w:szCs w:val="20"/>
        </w:rPr>
        <w:t xml:space="preserve">Cadena </w:t>
      </w:r>
      <w:proofErr w:type="spellStart"/>
      <w:r w:rsidRPr="000C0219">
        <w:rPr>
          <w:rFonts w:asciiTheme="majorHAnsi" w:hAnsiTheme="majorHAnsi"/>
          <w:i/>
          <w:sz w:val="20"/>
          <w:szCs w:val="20"/>
        </w:rPr>
        <w:t>Televisora</w:t>
      </w:r>
      <w:proofErr w:type="spellEnd"/>
      <w:r w:rsidRPr="000C0219">
        <w:rPr>
          <w:rFonts w:asciiTheme="majorHAnsi" w:hAnsiTheme="majorHAnsi"/>
          <w:i/>
          <w:sz w:val="20"/>
          <w:szCs w:val="20"/>
        </w:rPr>
        <w:t xml:space="preserve"> Norte, S.A. de C.V.</w:t>
      </w:r>
      <w:r w:rsidRPr="000C0219">
        <w:rPr>
          <w:rFonts w:asciiTheme="majorHAnsi" w:hAnsiTheme="majorHAnsi"/>
          <w:sz w:val="20"/>
          <w:szCs w:val="20"/>
        </w:rPr>
        <w:t xml:space="preserve"> and </w:t>
      </w:r>
      <w:proofErr w:type="spellStart"/>
      <w:r w:rsidRPr="000C0219">
        <w:rPr>
          <w:rFonts w:asciiTheme="majorHAnsi" w:hAnsiTheme="majorHAnsi"/>
          <w:i/>
          <w:sz w:val="20"/>
          <w:szCs w:val="20"/>
        </w:rPr>
        <w:t>Radiotelevisora</w:t>
      </w:r>
      <w:proofErr w:type="spellEnd"/>
      <w:r w:rsidRPr="000C0219">
        <w:rPr>
          <w:rFonts w:asciiTheme="majorHAnsi" w:hAnsiTheme="majorHAnsi"/>
          <w:i/>
          <w:sz w:val="20"/>
          <w:szCs w:val="20"/>
        </w:rPr>
        <w:t xml:space="preserve"> de México Norte, S.A. de C.V.</w:t>
      </w:r>
      <w:r w:rsidRPr="000C0219">
        <w:rPr>
          <w:rFonts w:asciiTheme="majorHAnsi" w:hAnsiTheme="majorHAnsi"/>
          <w:sz w:val="20"/>
          <w:szCs w:val="20"/>
        </w:rPr>
        <w:t xml:space="preserve"> are legal entities. The State further argues that is not enough for the individuals “to have a connection to the companies and the punishable actions as employees of those companies, since the intent of those executives and employees was not to express an opinion; the action of the legal entities as licensees authorized to disseminate election advertising was penalized because of the way in which the content was distributed, not because of its substance.”  It asserts that “the simple connection between the legal entities and the individuals is insufficient for the penalty assessed exclusively against the former to have repercussions on the human rights of the latter.”</w:t>
      </w:r>
    </w:p>
    <w:p w14:paraId="61A940ED" w14:textId="77777777" w:rsidR="004E0D29" w:rsidRPr="000C0219" w:rsidRDefault="004E0D29" w:rsidP="004E0D2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0C0219">
        <w:rPr>
          <w:rFonts w:asciiTheme="majorHAnsi" w:hAnsiTheme="majorHAnsi"/>
          <w:sz w:val="20"/>
          <w:szCs w:val="20"/>
        </w:rPr>
        <w:t>In addition, the State contends that the individuals failed to exhaust the domestic legal remedies available to them that would have ensured the protection of the political election rights of both the media executives and interested third parties.</w:t>
      </w:r>
      <w:r w:rsidRPr="000C0219">
        <w:rPr>
          <w:rStyle w:val="FootnoteReference"/>
          <w:rFonts w:asciiTheme="majorHAnsi" w:hAnsiTheme="majorHAnsi"/>
          <w:sz w:val="20"/>
          <w:szCs w:val="20"/>
        </w:rPr>
        <w:footnoteReference w:id="7"/>
      </w:r>
      <w:r w:rsidRPr="000C0219">
        <w:rPr>
          <w:rFonts w:asciiTheme="majorHAnsi" w:hAnsiTheme="majorHAnsi"/>
          <w:sz w:val="20"/>
          <w:szCs w:val="20"/>
        </w:rPr>
        <w:t xml:space="preserve"> It explained that, under Mexican law, “it is possible for an individual or legal entity with a legitimate interest in the case derived from a right that is incompatible with the interest claimed by the challenging party to avail himself or itself of the State’s judicial system.” The State reported that this concept is known as “interested third parties,” and that the courts are required to examine the claims of such parties in order to guarantee the principle of exhaustiveness in their decisions. The State contends that the petitioners had the “ability to appear in their capacity as interested third parties in the challenges filed against the determinations of the IFE, particularly if they are arguing that the substance of the proceeding and the penalties imposed violated their fundamental rights.”</w:t>
      </w:r>
    </w:p>
    <w:p w14:paraId="6953F7A4" w14:textId="1503052E" w:rsidR="00F621C3" w:rsidRPr="000C0219" w:rsidRDefault="004E0D29" w:rsidP="004E0D2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0C0219">
        <w:rPr>
          <w:rFonts w:asciiTheme="majorHAnsi" w:hAnsiTheme="majorHAnsi"/>
          <w:sz w:val="20"/>
          <w:szCs w:val="20"/>
        </w:rPr>
        <w:t xml:space="preserve">Finally, the State alleges that the petitioners have not shown facts that amount to the violation of any of the rights provided in the ACHR. It maintains that the penalty imposed against the licensees was proportionate to the severity of the unlawful act; that it did not affect the petitioners’ freedom of expression or the freedom of commerce of the television stations. It states that there is no prohibition against disseminating election advertising; rather, it is regulated in terms of form, time, and space. Therefore, it argues that the dissemination of the information contained in </w:t>
      </w:r>
      <w:proofErr w:type="spellStart"/>
      <w:r w:rsidRPr="000C0219">
        <w:rPr>
          <w:rFonts w:asciiTheme="majorHAnsi" w:hAnsiTheme="majorHAnsi"/>
          <w:i/>
          <w:sz w:val="20"/>
          <w:szCs w:val="20"/>
        </w:rPr>
        <w:t>Impacto</w:t>
      </w:r>
      <w:proofErr w:type="spellEnd"/>
      <w:r w:rsidRPr="000C0219">
        <w:rPr>
          <w:rFonts w:asciiTheme="majorHAnsi" w:hAnsiTheme="majorHAnsi"/>
          <w:i/>
          <w:sz w:val="20"/>
          <w:szCs w:val="20"/>
        </w:rPr>
        <w:t xml:space="preserve"> </w:t>
      </w:r>
      <w:r w:rsidRPr="000C0219">
        <w:rPr>
          <w:rFonts w:asciiTheme="majorHAnsi" w:hAnsiTheme="majorHAnsi"/>
          <w:sz w:val="20"/>
          <w:szCs w:val="20"/>
        </w:rPr>
        <w:t xml:space="preserve">magazine should have been distributed with the prior authorization of the IFE. The State concludes that, because the regulations in force were not observed, the law authorizes the measure adopted. </w:t>
      </w:r>
    </w:p>
    <w:p w14:paraId="401C47EA" w14:textId="77777777" w:rsidR="004E0D29" w:rsidRPr="000C0219" w:rsidRDefault="00F621C3" w:rsidP="00F621C3">
      <w:pPr>
        <w:spacing w:before="240" w:after="240"/>
        <w:ind w:firstLine="720"/>
        <w:jc w:val="both"/>
        <w:rPr>
          <w:rFonts w:asciiTheme="majorHAnsi" w:hAnsiTheme="majorHAnsi"/>
          <w:b/>
          <w:sz w:val="20"/>
          <w:szCs w:val="20"/>
        </w:rPr>
      </w:pPr>
      <w:r w:rsidRPr="000C0219">
        <w:rPr>
          <w:rFonts w:asciiTheme="majorHAnsi" w:hAnsiTheme="majorHAnsi"/>
          <w:b/>
          <w:sz w:val="20"/>
          <w:szCs w:val="20"/>
        </w:rPr>
        <w:t>VI.</w:t>
      </w:r>
      <w:r w:rsidRPr="000C0219">
        <w:rPr>
          <w:rFonts w:asciiTheme="majorHAnsi" w:hAnsiTheme="majorHAnsi"/>
          <w:b/>
          <w:sz w:val="20"/>
          <w:szCs w:val="20"/>
        </w:rPr>
        <w:tab/>
      </w:r>
      <w:r w:rsidR="004E0D29" w:rsidRPr="000C0219">
        <w:rPr>
          <w:rFonts w:asciiTheme="majorHAnsi" w:hAnsiTheme="majorHAnsi"/>
          <w:b/>
          <w:sz w:val="20"/>
          <w:szCs w:val="20"/>
        </w:rPr>
        <w:t xml:space="preserve">COMPETENCE RATIONE PERSONA </w:t>
      </w:r>
    </w:p>
    <w:p w14:paraId="296EB9F0" w14:textId="0BCE1BCB" w:rsidR="004E0D29" w:rsidRPr="000C0219" w:rsidRDefault="004E0D29" w:rsidP="00072DF7">
      <w:pPr>
        <w:pStyle w:val="ListParagraph"/>
        <w:numPr>
          <w:ilvl w:val="0"/>
          <w:numId w:val="103"/>
        </w:numPr>
        <w:spacing w:before="240" w:after="240"/>
        <w:jc w:val="both"/>
        <w:rPr>
          <w:rFonts w:asciiTheme="majorHAnsi" w:hAnsiTheme="majorHAnsi" w:cs="Verdana"/>
          <w:sz w:val="20"/>
          <w:szCs w:val="20"/>
        </w:rPr>
      </w:pPr>
      <w:r w:rsidRPr="000C0219">
        <w:rPr>
          <w:rFonts w:asciiTheme="majorHAnsi" w:hAnsiTheme="majorHAnsi"/>
          <w:sz w:val="20"/>
          <w:szCs w:val="20"/>
        </w:rPr>
        <w:t>The Commission finds it appropriate to reiterate that the concept of “person” provided for in Article 1.2 of the American Convention does not include legal entities.</w:t>
      </w:r>
      <w:r w:rsidRPr="000C0219">
        <w:rPr>
          <w:rStyle w:val="FootnoteReference"/>
          <w:rFonts w:asciiTheme="majorHAnsi" w:hAnsiTheme="majorHAnsi"/>
          <w:sz w:val="20"/>
          <w:szCs w:val="20"/>
        </w:rPr>
        <w:footnoteReference w:id="8"/>
      </w:r>
      <w:r w:rsidR="007E5152" w:rsidRPr="000C0219">
        <w:rPr>
          <w:rFonts w:cs="Tahoma"/>
          <w:sz w:val="20"/>
          <w:szCs w:val="20"/>
        </w:rPr>
        <w:t xml:space="preserve"> </w:t>
      </w:r>
      <w:r w:rsidR="00072DF7" w:rsidRPr="000C0219">
        <w:rPr>
          <w:rFonts w:cs="Tahoma"/>
          <w:sz w:val="20"/>
          <w:szCs w:val="20"/>
        </w:rPr>
        <w:t>In this regard, the Commission has indicated that the Preamble to the American Convention and Article 1.2 establish that “for the purposes of this Convention, 'person' means every human being,” and that the protection granted by the Inter-American Human Rights System is circumscribed to natural persons.</w:t>
      </w:r>
      <w:r w:rsidR="007E5152" w:rsidRPr="000C0219">
        <w:rPr>
          <w:rStyle w:val="FootnoteReference"/>
          <w:rFonts w:cs="Tahoma"/>
          <w:sz w:val="20"/>
          <w:szCs w:val="20"/>
          <w:lang w:val="es-ES_tradnl"/>
        </w:rPr>
        <w:footnoteReference w:id="9"/>
      </w:r>
      <w:r w:rsidR="007E5152" w:rsidRPr="000C0219">
        <w:rPr>
          <w:rFonts w:cs="Tahoma"/>
          <w:sz w:val="20"/>
          <w:szCs w:val="20"/>
        </w:rPr>
        <w:t xml:space="preserve"> </w:t>
      </w:r>
      <w:r w:rsidRPr="000C0219">
        <w:rPr>
          <w:rFonts w:asciiTheme="majorHAnsi" w:hAnsiTheme="majorHAnsi"/>
          <w:sz w:val="20"/>
          <w:szCs w:val="20"/>
        </w:rPr>
        <w:t xml:space="preserve"> On this basis, the Commission and the Inter-American Court have held that</w:t>
      </w:r>
      <w:r w:rsidRPr="000C0219">
        <w:rPr>
          <w:rFonts w:asciiTheme="majorHAnsi" w:hAnsiTheme="majorHAnsi" w:cs="Times New Roman"/>
          <w:sz w:val="20"/>
          <w:szCs w:val="20"/>
        </w:rPr>
        <w:t xml:space="preserve"> legal entities cannot </w:t>
      </w:r>
      <w:r w:rsidR="00CB7FF0" w:rsidRPr="000C0219">
        <w:rPr>
          <w:rFonts w:asciiTheme="majorHAnsi" w:hAnsiTheme="majorHAnsi" w:cs="Times New Roman"/>
          <w:sz w:val="20"/>
          <w:szCs w:val="20"/>
        </w:rPr>
        <w:t>access</w:t>
      </w:r>
      <w:r w:rsidRPr="000C0219">
        <w:rPr>
          <w:rFonts w:asciiTheme="majorHAnsi" w:hAnsiTheme="majorHAnsi" w:cs="Times New Roman"/>
          <w:sz w:val="20"/>
          <w:szCs w:val="20"/>
        </w:rPr>
        <w:t xml:space="preserve"> the inter-American human rights system as alleged victims</w:t>
      </w:r>
      <w:r w:rsidRPr="000C0219">
        <w:rPr>
          <w:rFonts w:asciiTheme="majorHAnsi" w:eastAsia="Times New Roman" w:hAnsiTheme="majorHAnsi" w:cs="Times New Roman"/>
          <w:sz w:val="20"/>
          <w:szCs w:val="20"/>
        </w:rPr>
        <w:t xml:space="preserve"> in adversarial proceedings</w:t>
      </w:r>
      <w:r w:rsidRPr="000C0219">
        <w:rPr>
          <w:rFonts w:asciiTheme="majorHAnsi" w:hAnsiTheme="majorHAnsi" w:cs="Times New Roman"/>
          <w:sz w:val="20"/>
          <w:szCs w:val="20"/>
        </w:rPr>
        <w:t>.</w:t>
      </w:r>
      <w:r w:rsidRPr="000C0219">
        <w:rPr>
          <w:rStyle w:val="FootnoteReference"/>
          <w:rFonts w:asciiTheme="majorHAnsi" w:hAnsiTheme="majorHAnsi"/>
          <w:bCs/>
          <w:color w:val="auto"/>
          <w:sz w:val="20"/>
          <w:szCs w:val="20"/>
        </w:rPr>
        <w:footnoteReference w:id="10"/>
      </w:r>
      <w:r w:rsidRPr="000C0219">
        <w:rPr>
          <w:rFonts w:asciiTheme="majorHAnsi" w:hAnsiTheme="majorHAnsi" w:cs="Times New Roman"/>
          <w:sz w:val="20"/>
          <w:szCs w:val="20"/>
        </w:rPr>
        <w:t xml:space="preserve"> </w:t>
      </w:r>
      <w:r w:rsidRPr="000C0219">
        <w:rPr>
          <w:rFonts w:asciiTheme="majorHAnsi" w:hAnsiTheme="majorHAnsi"/>
          <w:bCs/>
          <w:color w:val="auto"/>
          <w:sz w:val="20"/>
          <w:szCs w:val="20"/>
        </w:rPr>
        <w:t xml:space="preserve">This </w:t>
      </w:r>
      <w:r w:rsidR="00FB5731" w:rsidRPr="000C0219">
        <w:rPr>
          <w:rFonts w:asciiTheme="majorHAnsi" w:hAnsiTheme="majorHAnsi"/>
          <w:bCs/>
          <w:color w:val="auto"/>
          <w:sz w:val="20"/>
          <w:szCs w:val="20"/>
        </w:rPr>
        <w:t>does not restrict the possibility that under certain</w:t>
      </w:r>
      <w:r w:rsidR="00CB7FF0" w:rsidRPr="000C0219">
        <w:rPr>
          <w:rFonts w:asciiTheme="majorHAnsi" w:hAnsiTheme="majorHAnsi"/>
          <w:bCs/>
          <w:color w:val="auto"/>
          <w:sz w:val="20"/>
          <w:szCs w:val="20"/>
        </w:rPr>
        <w:t xml:space="preserve"> exceptional</w:t>
      </w:r>
      <w:r w:rsidR="00FB5731" w:rsidRPr="000C0219">
        <w:rPr>
          <w:rFonts w:asciiTheme="majorHAnsi" w:hAnsiTheme="majorHAnsi"/>
          <w:bCs/>
          <w:color w:val="auto"/>
          <w:sz w:val="20"/>
          <w:szCs w:val="20"/>
        </w:rPr>
        <w:t xml:space="preserve"> circumstances, </w:t>
      </w:r>
      <w:r w:rsidR="00FB5731" w:rsidRPr="000C0219">
        <w:rPr>
          <w:rFonts w:asciiTheme="majorHAnsi" w:hAnsiTheme="majorHAnsi"/>
          <w:bCs/>
          <w:color w:val="auto"/>
          <w:sz w:val="20"/>
          <w:szCs w:val="20"/>
        </w:rPr>
        <w:lastRenderedPageBreak/>
        <w:t xml:space="preserve">the individual exercising his rights through legal entities may resort to the inter-American system to enforce their fundamental rights, </w:t>
      </w:r>
      <w:r w:rsidRPr="000C0219">
        <w:rPr>
          <w:rFonts w:asciiTheme="majorHAnsi" w:hAnsiTheme="majorHAnsi" w:cs="Verdana"/>
          <w:sz w:val="20"/>
          <w:szCs w:val="20"/>
        </w:rPr>
        <w:t>even when those rights are covered by a legal fiction or concept created by the legal system.</w:t>
      </w:r>
      <w:r w:rsidRPr="000C0219">
        <w:rPr>
          <w:rStyle w:val="FootnoteReference"/>
          <w:rFonts w:asciiTheme="majorHAnsi" w:hAnsiTheme="majorHAnsi" w:cs="Verdana"/>
          <w:sz w:val="20"/>
          <w:szCs w:val="20"/>
        </w:rPr>
        <w:footnoteReference w:id="11"/>
      </w:r>
      <w:r w:rsidRPr="000C0219">
        <w:rPr>
          <w:rFonts w:asciiTheme="majorHAnsi" w:hAnsiTheme="majorHAnsi" w:cs="Verdana"/>
          <w:sz w:val="20"/>
          <w:szCs w:val="20"/>
        </w:rPr>
        <w:t xml:space="preserve"> </w:t>
      </w:r>
    </w:p>
    <w:p w14:paraId="731C17CF" w14:textId="77777777" w:rsidR="004E0D29" w:rsidRPr="000C0219" w:rsidRDefault="004E0D29" w:rsidP="004E0D2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sidRPr="000C0219">
        <w:rPr>
          <w:rFonts w:asciiTheme="majorHAnsi" w:hAnsiTheme="majorHAnsi"/>
          <w:sz w:val="20"/>
          <w:szCs w:val="20"/>
        </w:rPr>
        <w:t>In fact, the Inter-American Court has specifically held that the mere act of exercising a right through a legal entity does not necessarily exclude it from the protection of the Convention.</w:t>
      </w:r>
      <w:r w:rsidRPr="000C0219">
        <w:rPr>
          <w:rStyle w:val="FootnoteReference"/>
          <w:rFonts w:asciiTheme="majorHAnsi" w:hAnsiTheme="majorHAnsi"/>
          <w:sz w:val="20"/>
          <w:szCs w:val="20"/>
        </w:rPr>
        <w:footnoteReference w:id="12"/>
      </w:r>
      <w:r w:rsidRPr="000C0219">
        <w:rPr>
          <w:rFonts w:asciiTheme="majorHAnsi" w:hAnsiTheme="majorHAnsi"/>
          <w:sz w:val="20"/>
          <w:szCs w:val="20"/>
        </w:rPr>
        <w:t xml:space="preserve"> The Court has observed on this point that, “in general, the rights and obligations attributed to legal entities become the rights and obligations of the individuals that make them up or act in their stead or on their behalf.”</w:t>
      </w:r>
      <w:r w:rsidRPr="000C0219">
        <w:rPr>
          <w:rStyle w:val="FootnoteReference"/>
          <w:rFonts w:asciiTheme="majorHAnsi" w:hAnsiTheme="majorHAnsi"/>
          <w:sz w:val="20"/>
          <w:szCs w:val="20"/>
        </w:rPr>
        <w:footnoteReference w:id="13"/>
      </w:r>
      <w:r w:rsidRPr="000C0219">
        <w:rPr>
          <w:rFonts w:asciiTheme="majorHAnsi" w:hAnsiTheme="majorHAnsi"/>
          <w:sz w:val="20"/>
          <w:szCs w:val="20"/>
        </w:rPr>
        <w:t xml:space="preserve"> Similarly, the IACHR has found that “a system for the effective and material protection of human rights is obliged to examine whether in each concrete case, beyond formal appearances, the allegedly arbitrary acts that affected a legal person also had by extension a material or substantial effect on the human rights of the natural persons related to, associated with, or in any way connected to the legal person. If that were the case, and the other requirements for [the] admissibility of the petition were met, the Commission could not reject the case under the pretext that the violation […] affected the legal person.”</w:t>
      </w:r>
      <w:r w:rsidRPr="000C0219">
        <w:rPr>
          <w:rStyle w:val="FootnoteReference"/>
          <w:rFonts w:asciiTheme="majorHAnsi" w:hAnsiTheme="majorHAnsi"/>
          <w:sz w:val="20"/>
          <w:szCs w:val="20"/>
        </w:rPr>
        <w:footnoteReference w:id="14"/>
      </w:r>
    </w:p>
    <w:p w14:paraId="17CA5DB5" w14:textId="77777777" w:rsidR="004E0D29" w:rsidRPr="000C0219" w:rsidRDefault="004E0D29" w:rsidP="004E0D29">
      <w:pPr>
        <w:pStyle w:val="ListParagraph"/>
        <w:numPr>
          <w:ilvl w:val="0"/>
          <w:numId w:val="103"/>
        </w:numPr>
        <w:spacing w:before="240" w:after="240"/>
        <w:jc w:val="both"/>
        <w:rPr>
          <w:rFonts w:asciiTheme="majorHAnsi" w:hAnsiTheme="majorHAnsi" w:cs="Verdana"/>
          <w:sz w:val="20"/>
          <w:szCs w:val="20"/>
        </w:rPr>
      </w:pPr>
      <w:r w:rsidRPr="000C0219">
        <w:rPr>
          <w:rFonts w:asciiTheme="majorHAnsi" w:hAnsiTheme="majorHAnsi" w:cs="Verdana"/>
          <w:sz w:val="20"/>
          <w:szCs w:val="20"/>
        </w:rPr>
        <w:t xml:space="preserve">In particular, both the IACHR and the Inter-American Court have rendered decisions on various occasions regarding </w:t>
      </w:r>
      <w:r w:rsidRPr="000C0219">
        <w:rPr>
          <w:rFonts w:asciiTheme="majorHAnsi" w:hAnsiTheme="majorHAnsi"/>
          <w:sz w:val="20"/>
          <w:szCs w:val="20"/>
        </w:rPr>
        <w:t>the right to freedom of expression and its exercise through a legal entity.</w:t>
      </w:r>
      <w:r w:rsidRPr="000C0219">
        <w:rPr>
          <w:rStyle w:val="FootnoteReference"/>
          <w:rFonts w:asciiTheme="majorHAnsi" w:hAnsiTheme="majorHAnsi"/>
          <w:sz w:val="20"/>
          <w:szCs w:val="20"/>
        </w:rPr>
        <w:footnoteReference w:id="15"/>
      </w:r>
      <w:r w:rsidRPr="000C0219">
        <w:rPr>
          <w:rFonts w:asciiTheme="majorHAnsi" w:hAnsiTheme="majorHAnsi"/>
          <w:sz w:val="20"/>
          <w:szCs w:val="20"/>
        </w:rPr>
        <w:t xml:space="preserve"> The IACHR has observed that “these days, a significant amount of journalism is done via media outlets. These media outlets are, in effect, associations of persons who have come together to exercise steadily their freedom of expression. At the same time, it is currently very rare for a media outlet to not have the status of a legal person, meaning that restrictions on freedom of expression frequently take place through State actions that formally [affect] that legal person.”</w:t>
      </w:r>
      <w:r w:rsidRPr="000C0219">
        <w:rPr>
          <w:rStyle w:val="FootnoteReference"/>
          <w:rFonts w:asciiTheme="majorHAnsi" w:hAnsiTheme="majorHAnsi"/>
          <w:sz w:val="20"/>
          <w:szCs w:val="20"/>
        </w:rPr>
        <w:footnoteReference w:id="16"/>
      </w:r>
      <w:r w:rsidRPr="000C0219">
        <w:rPr>
          <w:rFonts w:asciiTheme="majorHAnsi" w:hAnsiTheme="majorHAnsi"/>
          <w:sz w:val="20"/>
          <w:szCs w:val="20"/>
        </w:rPr>
        <w:t xml:space="preserve"> Similarly, the Inter-American Court </w:t>
      </w:r>
      <w:r w:rsidRPr="000C0219">
        <w:rPr>
          <w:rFonts w:asciiTheme="majorHAnsi" w:hAnsiTheme="majorHAnsi" w:cs="Verdana"/>
          <w:sz w:val="20"/>
          <w:szCs w:val="20"/>
        </w:rPr>
        <w:t>has recognized that “media outlets serve as mechanisms for the exercise of the right to freedom of expression of those who use them as a means to disseminate their ideas and information,”</w:t>
      </w:r>
      <w:r w:rsidRPr="000C0219">
        <w:rPr>
          <w:rStyle w:val="FootnoteReference"/>
          <w:rFonts w:asciiTheme="majorHAnsi" w:hAnsiTheme="majorHAnsi" w:cs="Verdana"/>
          <w:sz w:val="20"/>
          <w:szCs w:val="20"/>
        </w:rPr>
        <w:footnoteReference w:id="17"/>
      </w:r>
      <w:r w:rsidRPr="000C0219">
        <w:rPr>
          <w:rFonts w:asciiTheme="majorHAnsi" w:hAnsiTheme="majorHAnsi" w:cs="Verdana"/>
          <w:sz w:val="20"/>
          <w:szCs w:val="20"/>
        </w:rPr>
        <w:t xml:space="preserve"> and has noted that restrictions to the freedom of expression of a media outlet can affect a “number of individuals, such as their shareholders or the journalists they employ, who </w:t>
      </w:r>
      <w:r w:rsidRPr="000C0219">
        <w:rPr>
          <w:rFonts w:asciiTheme="majorHAnsi" w:hAnsiTheme="majorHAnsi" w:cs="Verdana"/>
          <w:sz w:val="20"/>
          <w:szCs w:val="20"/>
        </w:rPr>
        <w:lastRenderedPageBreak/>
        <w:t>carry out acts of communication through [the media outlet] and whose rights can also be violated.”</w:t>
      </w:r>
      <w:r w:rsidRPr="000C0219">
        <w:rPr>
          <w:rStyle w:val="FootnoteReference"/>
          <w:rFonts w:asciiTheme="majorHAnsi" w:hAnsiTheme="majorHAnsi" w:cs="Verdana"/>
          <w:sz w:val="20"/>
          <w:szCs w:val="20"/>
        </w:rPr>
        <w:footnoteReference w:id="18"/>
      </w:r>
      <w:r w:rsidRPr="000C0219">
        <w:rPr>
          <w:rFonts w:asciiTheme="majorHAnsi" w:hAnsiTheme="majorHAnsi" w:cs="Times"/>
          <w:sz w:val="20"/>
          <w:szCs w:val="20"/>
        </w:rPr>
        <w:t xml:space="preserve"> In this regard, the IACHR has stated that “</w:t>
      </w:r>
      <w:r w:rsidRPr="000C0219">
        <w:rPr>
          <w:rFonts w:asciiTheme="majorHAnsi" w:hAnsiTheme="majorHAnsi"/>
          <w:sz w:val="20"/>
          <w:szCs w:val="20"/>
        </w:rPr>
        <w:t>journalists or, in the case of a television channel, those appearing on the screen, are not the only ones expressing themselves through media outlets. There are multiple roles within a media outlet in which a professional can contribute to the communicative mission of an organization and in this way exercise freedom of expression.”</w:t>
      </w:r>
      <w:r w:rsidRPr="000C0219">
        <w:rPr>
          <w:rStyle w:val="FootnoteReference"/>
          <w:rFonts w:asciiTheme="majorHAnsi" w:hAnsiTheme="majorHAnsi"/>
          <w:sz w:val="20"/>
          <w:szCs w:val="20"/>
        </w:rPr>
        <w:footnoteReference w:id="19"/>
      </w:r>
    </w:p>
    <w:p w14:paraId="4979A5D2" w14:textId="77777777" w:rsidR="004E0D29" w:rsidRPr="000C0219" w:rsidRDefault="004E0D29" w:rsidP="004E0D29">
      <w:pPr>
        <w:pStyle w:val="ListParagraph"/>
        <w:numPr>
          <w:ilvl w:val="0"/>
          <w:numId w:val="103"/>
        </w:numPr>
        <w:spacing w:before="240" w:after="240"/>
        <w:jc w:val="both"/>
        <w:rPr>
          <w:rFonts w:asciiTheme="majorHAnsi" w:hAnsiTheme="majorHAnsi" w:cs="Verdana"/>
          <w:sz w:val="20"/>
          <w:szCs w:val="20"/>
        </w:rPr>
      </w:pPr>
      <w:r w:rsidRPr="000C0219">
        <w:rPr>
          <w:rFonts w:asciiTheme="majorHAnsi" w:hAnsiTheme="majorHAnsi" w:cs="Times"/>
          <w:sz w:val="20"/>
          <w:szCs w:val="20"/>
        </w:rPr>
        <w:t xml:space="preserve">In these types of cases, </w:t>
      </w:r>
      <w:r w:rsidRPr="000C0219">
        <w:rPr>
          <w:rFonts w:asciiTheme="majorHAnsi" w:hAnsiTheme="majorHAnsi" w:cs="Times New Roman"/>
          <w:sz w:val="20"/>
          <w:szCs w:val="20"/>
        </w:rPr>
        <w:t>the IACHR and the Inter-American Court have established that to determine whether a government action that affected a media outlet as a legal entity also had, because of the connection between them, a certain and substantial negative impact on the freedom of expression of individuals, it is necessary to examine the role played by the alleged victims within the respective media organization and, in particular, the way in which they were contributing to the channel’s communications mission.</w:t>
      </w:r>
      <w:r w:rsidRPr="000C0219">
        <w:rPr>
          <w:rStyle w:val="FootnoteReference"/>
          <w:rFonts w:asciiTheme="majorHAnsi" w:hAnsiTheme="majorHAnsi"/>
          <w:sz w:val="20"/>
          <w:szCs w:val="20"/>
        </w:rPr>
        <w:footnoteReference w:id="20"/>
      </w:r>
      <w:r w:rsidRPr="000C0219">
        <w:rPr>
          <w:rFonts w:asciiTheme="majorHAnsi" w:hAnsiTheme="majorHAnsi" w:cs="Times New Roman"/>
          <w:sz w:val="20"/>
          <w:szCs w:val="20"/>
        </w:rPr>
        <w:t xml:space="preserve"> </w:t>
      </w:r>
      <w:r w:rsidRPr="000C0219">
        <w:rPr>
          <w:rFonts w:asciiTheme="majorHAnsi" w:hAnsiTheme="majorHAnsi"/>
          <w:sz w:val="20"/>
          <w:szCs w:val="20"/>
        </w:rPr>
        <w:t xml:space="preserve">In this regard, although the </w:t>
      </w:r>
      <w:r w:rsidRPr="000C0219">
        <w:rPr>
          <w:rFonts w:asciiTheme="majorHAnsi" w:hAnsiTheme="majorHAnsi"/>
          <w:bCs/>
          <w:sz w:val="20"/>
          <w:szCs w:val="20"/>
        </w:rPr>
        <w:t xml:space="preserve">licensee companies </w:t>
      </w:r>
      <w:proofErr w:type="spellStart"/>
      <w:r w:rsidRPr="000C0219">
        <w:rPr>
          <w:rFonts w:asciiTheme="majorHAnsi" w:hAnsiTheme="majorHAnsi"/>
          <w:bCs/>
          <w:i/>
          <w:sz w:val="20"/>
          <w:szCs w:val="20"/>
        </w:rPr>
        <w:t>Radiotelevisora</w:t>
      </w:r>
      <w:proofErr w:type="spellEnd"/>
      <w:r w:rsidRPr="000C0219">
        <w:rPr>
          <w:rFonts w:asciiTheme="majorHAnsi" w:hAnsiTheme="majorHAnsi"/>
          <w:bCs/>
          <w:i/>
          <w:sz w:val="20"/>
          <w:szCs w:val="20"/>
        </w:rPr>
        <w:t xml:space="preserve"> de México Norte S.A. de C.V.</w:t>
      </w:r>
      <w:r w:rsidRPr="000C0219">
        <w:rPr>
          <w:rFonts w:asciiTheme="majorHAnsi" w:hAnsiTheme="majorHAnsi"/>
          <w:bCs/>
          <w:sz w:val="20"/>
          <w:szCs w:val="20"/>
        </w:rPr>
        <w:t xml:space="preserve">, </w:t>
      </w:r>
      <w:r w:rsidRPr="000C0219">
        <w:rPr>
          <w:rFonts w:asciiTheme="majorHAnsi" w:hAnsiTheme="majorHAnsi"/>
          <w:bCs/>
          <w:i/>
          <w:sz w:val="20"/>
          <w:szCs w:val="20"/>
        </w:rPr>
        <w:t xml:space="preserve">Cadena </w:t>
      </w:r>
      <w:proofErr w:type="spellStart"/>
      <w:r w:rsidRPr="000C0219">
        <w:rPr>
          <w:rFonts w:asciiTheme="majorHAnsi" w:hAnsiTheme="majorHAnsi"/>
          <w:bCs/>
          <w:i/>
          <w:sz w:val="20"/>
          <w:szCs w:val="20"/>
        </w:rPr>
        <w:t>Televisora</w:t>
      </w:r>
      <w:proofErr w:type="spellEnd"/>
      <w:r w:rsidRPr="000C0219">
        <w:rPr>
          <w:rFonts w:asciiTheme="majorHAnsi" w:hAnsiTheme="majorHAnsi"/>
          <w:bCs/>
          <w:i/>
          <w:sz w:val="20"/>
          <w:szCs w:val="20"/>
        </w:rPr>
        <w:t xml:space="preserve"> del Norte S.A. de C.V.</w:t>
      </w:r>
      <w:r w:rsidRPr="000C0219">
        <w:rPr>
          <w:rFonts w:asciiTheme="majorHAnsi" w:hAnsiTheme="majorHAnsi"/>
          <w:bCs/>
          <w:sz w:val="20"/>
          <w:szCs w:val="20"/>
        </w:rPr>
        <w:t xml:space="preserve">, and </w:t>
      </w:r>
      <w:proofErr w:type="spellStart"/>
      <w:r w:rsidRPr="000C0219">
        <w:rPr>
          <w:rFonts w:asciiTheme="majorHAnsi" w:hAnsiTheme="majorHAnsi"/>
          <w:bCs/>
          <w:i/>
          <w:sz w:val="20"/>
          <w:szCs w:val="20"/>
        </w:rPr>
        <w:t>Televimex</w:t>
      </w:r>
      <w:proofErr w:type="spellEnd"/>
      <w:r w:rsidRPr="000C0219">
        <w:rPr>
          <w:rFonts w:asciiTheme="majorHAnsi" w:hAnsiTheme="majorHAnsi"/>
          <w:bCs/>
          <w:i/>
          <w:sz w:val="20"/>
          <w:szCs w:val="20"/>
        </w:rPr>
        <w:t xml:space="preserve"> S.A. de C.V</w:t>
      </w:r>
      <w:r w:rsidRPr="000C0219">
        <w:rPr>
          <w:rFonts w:asciiTheme="majorHAnsi" w:hAnsiTheme="majorHAnsi"/>
          <w:bCs/>
          <w:sz w:val="20"/>
          <w:szCs w:val="20"/>
        </w:rPr>
        <w:t>.</w:t>
      </w:r>
      <w:r w:rsidRPr="000C0219">
        <w:rPr>
          <w:rFonts w:asciiTheme="majorHAnsi" w:hAnsiTheme="majorHAnsi"/>
          <w:bCs/>
          <w:color w:val="auto"/>
          <w:sz w:val="20"/>
          <w:szCs w:val="20"/>
        </w:rPr>
        <w:t xml:space="preserve"> </w:t>
      </w:r>
      <w:r w:rsidRPr="000C0219">
        <w:rPr>
          <w:rFonts w:asciiTheme="majorHAnsi" w:hAnsiTheme="majorHAnsi"/>
          <w:sz w:val="20"/>
          <w:szCs w:val="20"/>
        </w:rPr>
        <w:t>cannot be considered the alleged victims, the issue that the IACHR must decide in this matter is whether the imposition of a subsequent penalty against a media outlet based on the publication of specific information may have affected the freedom of expression of its employees</w:t>
      </w:r>
      <w:r w:rsidRPr="000C0219">
        <w:rPr>
          <w:rFonts w:asciiTheme="majorHAnsi" w:hAnsiTheme="majorHAnsi"/>
          <w:bCs/>
          <w:sz w:val="20"/>
          <w:szCs w:val="20"/>
        </w:rPr>
        <w:t>.</w:t>
      </w:r>
      <w:r w:rsidRPr="000C0219">
        <w:rPr>
          <w:rFonts w:asciiTheme="majorHAnsi" w:hAnsiTheme="majorHAnsi"/>
          <w:sz w:val="20"/>
          <w:szCs w:val="20"/>
        </w:rPr>
        <w:t xml:space="preserve"> </w:t>
      </w:r>
    </w:p>
    <w:p w14:paraId="5ADB448D" w14:textId="77777777" w:rsidR="004E0D29" w:rsidRPr="000C0219" w:rsidRDefault="004E0D29" w:rsidP="004E0D2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0C0219">
        <w:rPr>
          <w:rFonts w:asciiTheme="majorHAnsi" w:hAnsiTheme="majorHAnsi"/>
          <w:bCs/>
          <w:sz w:val="20"/>
          <w:szCs w:val="20"/>
        </w:rPr>
        <w:t xml:space="preserve">The Commission observes that according to the petitioners’ allegations, which have not been disputed by the State, Alejandro Fernando Aguilera </w:t>
      </w:r>
      <w:proofErr w:type="spellStart"/>
      <w:r w:rsidRPr="000C0219">
        <w:rPr>
          <w:rFonts w:asciiTheme="majorHAnsi" w:hAnsiTheme="majorHAnsi"/>
          <w:bCs/>
          <w:sz w:val="20"/>
          <w:szCs w:val="20"/>
        </w:rPr>
        <w:t>Mendieta</w:t>
      </w:r>
      <w:proofErr w:type="spellEnd"/>
      <w:r w:rsidRPr="000C0219">
        <w:rPr>
          <w:rFonts w:asciiTheme="majorHAnsi" w:hAnsiTheme="majorHAnsi"/>
          <w:bCs/>
          <w:sz w:val="20"/>
          <w:szCs w:val="20"/>
        </w:rPr>
        <w:t xml:space="preserve">, Miguel </w:t>
      </w:r>
      <w:proofErr w:type="spellStart"/>
      <w:r w:rsidRPr="000C0219">
        <w:rPr>
          <w:rFonts w:asciiTheme="majorHAnsi" w:hAnsiTheme="majorHAnsi"/>
          <w:bCs/>
          <w:sz w:val="20"/>
          <w:szCs w:val="20"/>
        </w:rPr>
        <w:t>Ángel</w:t>
      </w:r>
      <w:proofErr w:type="spellEnd"/>
      <w:r w:rsidRPr="000C0219">
        <w:rPr>
          <w:rFonts w:asciiTheme="majorHAnsi" w:hAnsiTheme="majorHAnsi"/>
          <w:bCs/>
          <w:sz w:val="20"/>
          <w:szCs w:val="20"/>
        </w:rPr>
        <w:t xml:space="preserve"> </w:t>
      </w:r>
      <w:proofErr w:type="spellStart"/>
      <w:r w:rsidRPr="000C0219">
        <w:rPr>
          <w:rFonts w:asciiTheme="majorHAnsi" w:hAnsiTheme="majorHAnsi"/>
          <w:bCs/>
          <w:sz w:val="20"/>
          <w:szCs w:val="20"/>
        </w:rPr>
        <w:t>Diez</w:t>
      </w:r>
      <w:proofErr w:type="spellEnd"/>
      <w:r w:rsidRPr="000C0219">
        <w:rPr>
          <w:rFonts w:asciiTheme="majorHAnsi" w:hAnsiTheme="majorHAnsi"/>
          <w:bCs/>
          <w:sz w:val="20"/>
          <w:szCs w:val="20"/>
        </w:rPr>
        <w:t xml:space="preserve"> García, </w:t>
      </w:r>
      <w:proofErr w:type="spellStart"/>
      <w:r w:rsidRPr="000C0219">
        <w:rPr>
          <w:rFonts w:asciiTheme="majorHAnsi" w:hAnsiTheme="majorHAnsi"/>
          <w:bCs/>
          <w:sz w:val="20"/>
          <w:szCs w:val="20"/>
        </w:rPr>
        <w:t>Ángel</w:t>
      </w:r>
      <w:proofErr w:type="spellEnd"/>
      <w:r w:rsidRPr="000C0219">
        <w:rPr>
          <w:rFonts w:asciiTheme="majorHAnsi" w:hAnsiTheme="majorHAnsi"/>
          <w:bCs/>
          <w:sz w:val="20"/>
          <w:szCs w:val="20"/>
        </w:rPr>
        <w:t xml:space="preserve"> Israel Crespo Rueda, Miriam Villanueva Chiapas, and Félix José Araujo </w:t>
      </w:r>
      <w:proofErr w:type="spellStart"/>
      <w:r w:rsidRPr="000C0219">
        <w:rPr>
          <w:rFonts w:asciiTheme="majorHAnsi" w:hAnsiTheme="majorHAnsi"/>
          <w:bCs/>
          <w:sz w:val="20"/>
          <w:szCs w:val="20"/>
        </w:rPr>
        <w:t>Ramírez</w:t>
      </w:r>
      <w:proofErr w:type="spellEnd"/>
      <w:r w:rsidRPr="000C0219">
        <w:rPr>
          <w:rFonts w:asciiTheme="majorHAnsi" w:hAnsiTheme="majorHAnsi"/>
          <w:bCs/>
          <w:sz w:val="20"/>
          <w:szCs w:val="20"/>
        </w:rPr>
        <w:t xml:space="preserve"> were the individuals responsible for deciding to air the content disseminated by those media outlets and penalized by the Mexican authorities;  </w:t>
      </w:r>
      <w:r w:rsidRPr="000C0219">
        <w:rPr>
          <w:rFonts w:asciiTheme="majorHAnsi" w:hAnsiTheme="majorHAnsi"/>
          <w:sz w:val="20"/>
          <w:szCs w:val="20"/>
        </w:rPr>
        <w:t>they are also the people who were subsequently responsible for deciding what to air and what not to air in order to prevent future sanctions. In other words, they contributed directly to the communications mission of the media outlets</w:t>
      </w:r>
      <w:r w:rsidRPr="000C0219">
        <w:rPr>
          <w:rFonts w:asciiTheme="majorHAnsi" w:hAnsiTheme="majorHAnsi"/>
          <w:bCs/>
          <w:sz w:val="20"/>
          <w:szCs w:val="20"/>
        </w:rPr>
        <w:t xml:space="preserve">, by directing the production and airing of content, or indirectly, by providing essential services such as legal support. To that extent, </w:t>
      </w:r>
      <w:r w:rsidRPr="000C0219">
        <w:rPr>
          <w:rFonts w:asciiTheme="majorHAnsi" w:hAnsiTheme="majorHAnsi" w:cs="Univers"/>
          <w:sz w:val="20"/>
          <w:szCs w:val="20"/>
        </w:rPr>
        <w:t xml:space="preserve">the Commission </w:t>
      </w:r>
      <w:r w:rsidRPr="000C0219">
        <w:rPr>
          <w:rFonts w:asciiTheme="majorHAnsi" w:hAnsiTheme="majorHAnsi"/>
          <w:sz w:val="20"/>
          <w:szCs w:val="20"/>
        </w:rPr>
        <w:t>finds it plausible to suggest that in this case, given the role of these individuals as media executives, the penalties imposed against the outlets where they worked—which also stemmed from their programming decisions—could potentially affect their right to freedom of expression by virtue of their connection to the outlet</w:t>
      </w:r>
      <w:r w:rsidRPr="000C0219">
        <w:rPr>
          <w:rFonts w:asciiTheme="majorHAnsi" w:hAnsiTheme="majorHAnsi"/>
          <w:bCs/>
          <w:sz w:val="20"/>
          <w:szCs w:val="20"/>
        </w:rPr>
        <w:t>. The arguments and evidence about how these individuals exercised the rights allegedly violated through the respective media outlets will be analyzed specifically at the merits stage.</w:t>
      </w:r>
      <w:r w:rsidRPr="000C0219">
        <w:rPr>
          <w:rStyle w:val="FootnoteReference"/>
          <w:rFonts w:asciiTheme="majorHAnsi" w:hAnsiTheme="majorHAnsi"/>
          <w:sz w:val="20"/>
          <w:szCs w:val="20"/>
        </w:rPr>
        <w:footnoteReference w:id="21"/>
      </w:r>
      <w:r w:rsidRPr="000C0219">
        <w:rPr>
          <w:rFonts w:asciiTheme="majorHAnsi" w:hAnsiTheme="majorHAnsi"/>
          <w:bCs/>
          <w:sz w:val="20"/>
          <w:szCs w:val="20"/>
        </w:rPr>
        <w:t xml:space="preserve"> This is not the case in relation to</w:t>
      </w:r>
      <w:r w:rsidRPr="000C0219">
        <w:rPr>
          <w:rFonts w:asciiTheme="majorHAnsi" w:hAnsiTheme="majorHAnsi"/>
          <w:sz w:val="20"/>
          <w:szCs w:val="20"/>
        </w:rPr>
        <w:t xml:space="preserve"> Raquel Hidalgo </w:t>
      </w:r>
      <w:proofErr w:type="spellStart"/>
      <w:r w:rsidRPr="000C0219">
        <w:rPr>
          <w:rFonts w:asciiTheme="majorHAnsi" w:hAnsiTheme="majorHAnsi"/>
          <w:sz w:val="20"/>
          <w:szCs w:val="20"/>
        </w:rPr>
        <w:t>Márquez</w:t>
      </w:r>
      <w:proofErr w:type="spellEnd"/>
      <w:r w:rsidRPr="000C0219">
        <w:rPr>
          <w:rFonts w:asciiTheme="majorHAnsi" w:hAnsiTheme="majorHAnsi"/>
          <w:sz w:val="20"/>
          <w:szCs w:val="20"/>
        </w:rPr>
        <w:t xml:space="preserve">, who, it is alleged, was adversely affected by the sanctions in terms of her right as a Mexican citizen to receive information in election contexts. The IACHR finds that the petitioners failed to provide sufficient evidence of Raquel Hidalgo’s relationship with the penalized media outlets, the role she played in them, and the potential infringement of her human rights as a result of the facts of this case.  </w:t>
      </w:r>
    </w:p>
    <w:p w14:paraId="4A0C7F31" w14:textId="72B593BD" w:rsidR="004E0D29" w:rsidRPr="000C0219" w:rsidRDefault="004E0D29" w:rsidP="004E0D29">
      <w:pPr>
        <w:pStyle w:val="ListParagraph"/>
        <w:numPr>
          <w:ilvl w:val="0"/>
          <w:numId w:val="103"/>
        </w:numPr>
        <w:spacing w:before="240" w:after="240"/>
        <w:jc w:val="both"/>
        <w:rPr>
          <w:rFonts w:asciiTheme="majorHAnsi" w:hAnsiTheme="majorHAnsi"/>
          <w:bCs/>
          <w:sz w:val="20"/>
          <w:szCs w:val="20"/>
        </w:rPr>
      </w:pPr>
      <w:r w:rsidRPr="000C0219">
        <w:rPr>
          <w:rFonts w:asciiTheme="majorHAnsi" w:hAnsiTheme="majorHAnsi"/>
          <w:bCs/>
          <w:sz w:val="20"/>
          <w:szCs w:val="20"/>
        </w:rPr>
        <w:t xml:space="preserve">Based on the foregoing reasons, the IACHR finds that the alleged victims in this matter are: Alejandro Fernando Aguilera </w:t>
      </w:r>
      <w:proofErr w:type="spellStart"/>
      <w:r w:rsidRPr="000C0219">
        <w:rPr>
          <w:rFonts w:asciiTheme="majorHAnsi" w:hAnsiTheme="majorHAnsi"/>
          <w:bCs/>
          <w:sz w:val="20"/>
          <w:szCs w:val="20"/>
        </w:rPr>
        <w:t>Mendieta</w:t>
      </w:r>
      <w:proofErr w:type="spellEnd"/>
      <w:r w:rsidRPr="000C0219">
        <w:rPr>
          <w:rFonts w:asciiTheme="majorHAnsi" w:hAnsiTheme="majorHAnsi"/>
          <w:bCs/>
          <w:sz w:val="20"/>
          <w:szCs w:val="20"/>
        </w:rPr>
        <w:t xml:space="preserve">, Miguel </w:t>
      </w:r>
      <w:proofErr w:type="spellStart"/>
      <w:r w:rsidRPr="000C0219">
        <w:rPr>
          <w:rFonts w:asciiTheme="majorHAnsi" w:hAnsiTheme="majorHAnsi"/>
          <w:bCs/>
          <w:sz w:val="20"/>
          <w:szCs w:val="20"/>
        </w:rPr>
        <w:t>Ángel</w:t>
      </w:r>
      <w:proofErr w:type="spellEnd"/>
      <w:r w:rsidRPr="000C0219">
        <w:rPr>
          <w:rFonts w:asciiTheme="majorHAnsi" w:hAnsiTheme="majorHAnsi"/>
          <w:bCs/>
          <w:sz w:val="20"/>
          <w:szCs w:val="20"/>
        </w:rPr>
        <w:t xml:space="preserve"> </w:t>
      </w:r>
      <w:proofErr w:type="spellStart"/>
      <w:r w:rsidRPr="000C0219">
        <w:rPr>
          <w:rFonts w:asciiTheme="majorHAnsi" w:hAnsiTheme="majorHAnsi"/>
          <w:bCs/>
          <w:sz w:val="20"/>
          <w:szCs w:val="20"/>
        </w:rPr>
        <w:t>Diez</w:t>
      </w:r>
      <w:proofErr w:type="spellEnd"/>
      <w:r w:rsidRPr="000C0219">
        <w:rPr>
          <w:rFonts w:asciiTheme="majorHAnsi" w:hAnsiTheme="majorHAnsi"/>
          <w:bCs/>
          <w:sz w:val="20"/>
          <w:szCs w:val="20"/>
        </w:rPr>
        <w:t xml:space="preserve"> García, Miriam Villanueva Chiapas, and Félix José Araujo </w:t>
      </w:r>
      <w:proofErr w:type="spellStart"/>
      <w:r w:rsidRPr="000C0219">
        <w:rPr>
          <w:rFonts w:asciiTheme="majorHAnsi" w:hAnsiTheme="majorHAnsi"/>
          <w:bCs/>
          <w:sz w:val="20"/>
          <w:szCs w:val="20"/>
        </w:rPr>
        <w:t>Ramírez</w:t>
      </w:r>
      <w:proofErr w:type="spellEnd"/>
      <w:r w:rsidRPr="000C0219">
        <w:rPr>
          <w:rFonts w:asciiTheme="majorHAnsi" w:hAnsiTheme="majorHAnsi"/>
          <w:bCs/>
          <w:sz w:val="20"/>
          <w:szCs w:val="20"/>
        </w:rPr>
        <w:t>, individuals with respect to whom the State agreed to guarantee the rights enshrined in the ACHR.</w:t>
      </w:r>
      <w:r w:rsidRPr="000C0219">
        <w:rPr>
          <w:rFonts w:asciiTheme="majorHAnsi" w:hAnsiTheme="majorHAnsi"/>
          <w:sz w:val="20"/>
          <w:szCs w:val="20"/>
        </w:rPr>
        <w:t xml:space="preserve"> Therefore, the Commission concludes that it has competence </w:t>
      </w:r>
      <w:proofErr w:type="spellStart"/>
      <w:r w:rsidRPr="000C0219">
        <w:rPr>
          <w:rFonts w:asciiTheme="majorHAnsi" w:hAnsiTheme="majorHAnsi"/>
          <w:i/>
          <w:iCs/>
          <w:sz w:val="20"/>
          <w:szCs w:val="20"/>
        </w:rPr>
        <w:t>ratione</w:t>
      </w:r>
      <w:proofErr w:type="spellEnd"/>
      <w:r w:rsidRPr="000C0219">
        <w:rPr>
          <w:rFonts w:asciiTheme="majorHAnsi" w:hAnsiTheme="majorHAnsi"/>
          <w:i/>
          <w:iCs/>
          <w:sz w:val="20"/>
          <w:szCs w:val="20"/>
        </w:rPr>
        <w:t xml:space="preserve"> personae</w:t>
      </w:r>
      <w:r w:rsidRPr="000C0219">
        <w:rPr>
          <w:rFonts w:asciiTheme="majorHAnsi" w:hAnsiTheme="majorHAnsi"/>
          <w:sz w:val="20"/>
          <w:szCs w:val="20"/>
        </w:rPr>
        <w:t xml:space="preserve"> to examine the complaint referred to in this report. </w:t>
      </w:r>
    </w:p>
    <w:p w14:paraId="55505107" w14:textId="61FC9CE8" w:rsidR="00F621C3" w:rsidRPr="000C0219" w:rsidRDefault="004E0D29" w:rsidP="004E0D29">
      <w:pPr>
        <w:spacing w:before="240" w:after="240"/>
        <w:ind w:firstLine="720"/>
        <w:jc w:val="both"/>
        <w:rPr>
          <w:rFonts w:asciiTheme="majorHAnsi" w:hAnsiTheme="majorHAnsi"/>
          <w:b/>
          <w:sz w:val="20"/>
          <w:szCs w:val="20"/>
        </w:rPr>
      </w:pPr>
      <w:r w:rsidRPr="000C0219">
        <w:rPr>
          <w:rFonts w:asciiTheme="majorHAnsi" w:hAnsiTheme="majorHAnsi"/>
          <w:b/>
          <w:sz w:val="20"/>
          <w:szCs w:val="20"/>
        </w:rPr>
        <w:t xml:space="preserve">VII.     </w:t>
      </w:r>
      <w:r w:rsidR="001F1902" w:rsidRPr="000C0219">
        <w:rPr>
          <w:rFonts w:asciiTheme="majorHAnsi" w:hAnsiTheme="majorHAnsi"/>
          <w:b/>
          <w:sz w:val="20"/>
          <w:szCs w:val="20"/>
        </w:rPr>
        <w:t xml:space="preserve">ANALYSIS OF </w:t>
      </w:r>
      <w:r w:rsidR="00F621C3" w:rsidRPr="000C0219">
        <w:rPr>
          <w:rFonts w:asciiTheme="majorHAnsi" w:hAnsiTheme="majorHAnsi"/>
          <w:b/>
          <w:sz w:val="20"/>
          <w:szCs w:val="20"/>
        </w:rPr>
        <w:t xml:space="preserve">EXHAUSTION OF DOMESTIC REMEDIES AND TIMELINESS OF THE PETITION </w:t>
      </w:r>
    </w:p>
    <w:p w14:paraId="29A42A1F" w14:textId="77777777" w:rsidR="004E0D29" w:rsidRPr="000C0219" w:rsidRDefault="004E0D29" w:rsidP="004E0D29">
      <w:pPr>
        <w:pStyle w:val="ListParagraph"/>
        <w:widowControl w:val="0"/>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240"/>
        <w:jc w:val="both"/>
        <w:rPr>
          <w:rFonts w:asciiTheme="majorHAnsi" w:hAnsiTheme="majorHAnsi" w:cs="Arial"/>
          <w:sz w:val="20"/>
          <w:szCs w:val="20"/>
        </w:rPr>
      </w:pPr>
      <w:r w:rsidRPr="000C0219">
        <w:rPr>
          <w:rFonts w:asciiTheme="majorHAnsi" w:hAnsiTheme="majorHAnsi" w:cs="Verdana"/>
          <w:sz w:val="20"/>
          <w:szCs w:val="20"/>
        </w:rPr>
        <w:t xml:space="preserve">In this case, </w:t>
      </w:r>
      <w:r w:rsidRPr="000C0219">
        <w:rPr>
          <w:rFonts w:asciiTheme="majorHAnsi" w:hAnsiTheme="majorHAnsi"/>
          <w:sz w:val="20"/>
          <w:szCs w:val="20"/>
        </w:rPr>
        <w:t xml:space="preserve">the IACHR notes that on July 15, 2009, the IFE sanctioned the media outlets for the alleged dissemination of prohibited election advertising. The three companies appealed the decision, and </w:t>
      </w:r>
      <w:r w:rsidRPr="000C0219">
        <w:rPr>
          <w:rFonts w:asciiTheme="majorHAnsi" w:hAnsiTheme="majorHAnsi"/>
          <w:sz w:val="20"/>
          <w:szCs w:val="20"/>
        </w:rPr>
        <w:lastRenderedPageBreak/>
        <w:t>on August 26, 2009, the TRIFE</w:t>
      </w:r>
      <w:r w:rsidRPr="000C0219">
        <w:rPr>
          <w:rStyle w:val="FootnoteReference"/>
          <w:rFonts w:asciiTheme="majorHAnsi" w:hAnsiTheme="majorHAnsi"/>
          <w:sz w:val="20"/>
          <w:szCs w:val="20"/>
        </w:rPr>
        <w:t xml:space="preserve"> </w:t>
      </w:r>
      <w:r w:rsidRPr="000C0219">
        <w:rPr>
          <w:rStyle w:val="FootnoteReference"/>
          <w:rFonts w:asciiTheme="majorHAnsi" w:hAnsiTheme="majorHAnsi"/>
          <w:sz w:val="20"/>
          <w:szCs w:val="20"/>
          <w:vertAlign w:val="baseline"/>
        </w:rPr>
        <w:t xml:space="preserve">affirmed </w:t>
      </w:r>
      <w:r w:rsidRPr="000C0219">
        <w:rPr>
          <w:rFonts w:asciiTheme="majorHAnsi" w:hAnsiTheme="majorHAnsi"/>
          <w:sz w:val="20"/>
          <w:szCs w:val="20"/>
        </w:rPr>
        <w:t>the IFE’s decision. Therefore, the IACHR finds, and the State admits, that the media outlets</w:t>
      </w:r>
      <w:r w:rsidRPr="000C0219">
        <w:rPr>
          <w:rFonts w:asciiTheme="majorHAnsi" w:hAnsiTheme="majorHAnsi" w:cs="Verdana"/>
          <w:sz w:val="20"/>
          <w:szCs w:val="20"/>
        </w:rPr>
        <w:t xml:space="preserve"> filed and exhausted the available remedies to challenge the penalty that was imposed. </w:t>
      </w:r>
    </w:p>
    <w:p w14:paraId="19F0BDA8" w14:textId="77777777" w:rsidR="004E0D29" w:rsidRPr="000C0219" w:rsidRDefault="004E0D29" w:rsidP="004E0D29">
      <w:pPr>
        <w:pStyle w:val="ListParagraph"/>
        <w:widowControl w:val="0"/>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240"/>
        <w:jc w:val="both"/>
        <w:rPr>
          <w:rFonts w:asciiTheme="majorHAnsi" w:hAnsiTheme="majorHAnsi" w:cs="Times New Roman"/>
          <w:sz w:val="20"/>
          <w:szCs w:val="20"/>
          <w:vertAlign w:val="superscript"/>
          <w:lang w:eastAsia="en-US"/>
        </w:rPr>
      </w:pPr>
      <w:r w:rsidRPr="000C0219">
        <w:rPr>
          <w:rFonts w:asciiTheme="majorHAnsi" w:hAnsiTheme="majorHAnsi"/>
          <w:sz w:val="20"/>
          <w:szCs w:val="20"/>
        </w:rPr>
        <w:t xml:space="preserve">The State argues, nevertheless, that the alleged victims failed to exhaust the domestic remedies as individuals. The State asserts that the Electoral Tribunal of the Federal Judiciary can hear and decide challenges concerning acts and resolutions that violate the political electoral rights of citizens. Those remedies, it stresses, are recognized in Articles 42, 45, and 79 of the </w:t>
      </w:r>
      <w:r w:rsidRPr="000C0219">
        <w:rPr>
          <w:rFonts w:asciiTheme="majorHAnsi" w:hAnsiTheme="majorHAnsi"/>
          <w:iCs/>
          <w:sz w:val="20"/>
          <w:szCs w:val="20"/>
        </w:rPr>
        <w:t>General Law</w:t>
      </w:r>
      <w:r w:rsidRPr="000C0219">
        <w:rPr>
          <w:rFonts w:asciiTheme="majorHAnsi" w:hAnsiTheme="majorHAnsi"/>
          <w:sz w:val="20"/>
          <w:szCs w:val="20"/>
        </w:rPr>
        <w:t xml:space="preserve"> for the Settlement of </w:t>
      </w:r>
      <w:r w:rsidRPr="000C0219">
        <w:rPr>
          <w:rFonts w:asciiTheme="majorHAnsi" w:hAnsiTheme="majorHAnsi"/>
          <w:iCs/>
          <w:sz w:val="20"/>
          <w:szCs w:val="20"/>
        </w:rPr>
        <w:t>Electoral Disputes</w:t>
      </w:r>
      <w:r w:rsidRPr="000C0219">
        <w:rPr>
          <w:rFonts w:asciiTheme="majorHAnsi" w:hAnsiTheme="majorHAnsi"/>
          <w:sz w:val="20"/>
          <w:szCs w:val="20"/>
        </w:rPr>
        <w:t xml:space="preserve"> [</w:t>
      </w:r>
      <w:r w:rsidRPr="000C0219">
        <w:rPr>
          <w:rFonts w:asciiTheme="majorHAnsi" w:hAnsiTheme="majorHAnsi"/>
          <w:i/>
          <w:sz w:val="20"/>
          <w:szCs w:val="20"/>
        </w:rPr>
        <w:t xml:space="preserve">Ley General </w:t>
      </w:r>
      <w:proofErr w:type="gramStart"/>
      <w:r w:rsidRPr="000C0219">
        <w:rPr>
          <w:rFonts w:asciiTheme="majorHAnsi" w:hAnsiTheme="majorHAnsi"/>
          <w:i/>
          <w:sz w:val="20"/>
          <w:szCs w:val="20"/>
        </w:rPr>
        <w:t>del</w:t>
      </w:r>
      <w:proofErr w:type="gramEnd"/>
      <w:r w:rsidRPr="000C0219">
        <w:rPr>
          <w:rFonts w:asciiTheme="majorHAnsi" w:hAnsiTheme="majorHAnsi"/>
          <w:i/>
          <w:sz w:val="20"/>
          <w:szCs w:val="20"/>
        </w:rPr>
        <w:t xml:space="preserve"> Sistema de </w:t>
      </w:r>
      <w:proofErr w:type="spellStart"/>
      <w:r w:rsidRPr="000C0219">
        <w:rPr>
          <w:rFonts w:asciiTheme="majorHAnsi" w:hAnsiTheme="majorHAnsi"/>
          <w:i/>
          <w:sz w:val="20"/>
          <w:szCs w:val="20"/>
        </w:rPr>
        <w:t>Medios</w:t>
      </w:r>
      <w:proofErr w:type="spellEnd"/>
      <w:r w:rsidRPr="000C0219">
        <w:rPr>
          <w:rFonts w:asciiTheme="majorHAnsi" w:hAnsiTheme="majorHAnsi"/>
          <w:i/>
          <w:sz w:val="20"/>
          <w:szCs w:val="20"/>
        </w:rPr>
        <w:t xml:space="preserve"> de </w:t>
      </w:r>
      <w:proofErr w:type="spellStart"/>
      <w:r w:rsidRPr="000C0219">
        <w:rPr>
          <w:rFonts w:asciiTheme="majorHAnsi" w:hAnsiTheme="majorHAnsi"/>
          <w:i/>
          <w:sz w:val="20"/>
          <w:szCs w:val="20"/>
        </w:rPr>
        <w:t>Impugnación</w:t>
      </w:r>
      <w:proofErr w:type="spellEnd"/>
      <w:r w:rsidRPr="000C0219">
        <w:rPr>
          <w:rFonts w:asciiTheme="majorHAnsi" w:hAnsiTheme="majorHAnsi"/>
          <w:i/>
          <w:sz w:val="20"/>
          <w:szCs w:val="20"/>
        </w:rPr>
        <w:t xml:space="preserve"> </w:t>
      </w:r>
      <w:proofErr w:type="spellStart"/>
      <w:r w:rsidRPr="000C0219">
        <w:rPr>
          <w:rFonts w:asciiTheme="majorHAnsi" w:hAnsiTheme="majorHAnsi"/>
          <w:i/>
          <w:sz w:val="20"/>
          <w:szCs w:val="20"/>
        </w:rPr>
        <w:t>en</w:t>
      </w:r>
      <w:proofErr w:type="spellEnd"/>
      <w:r w:rsidRPr="000C0219">
        <w:rPr>
          <w:rFonts w:asciiTheme="majorHAnsi" w:hAnsiTheme="majorHAnsi"/>
          <w:i/>
          <w:sz w:val="20"/>
          <w:szCs w:val="20"/>
        </w:rPr>
        <w:t xml:space="preserve"> </w:t>
      </w:r>
      <w:proofErr w:type="spellStart"/>
      <w:r w:rsidRPr="000C0219">
        <w:rPr>
          <w:rFonts w:asciiTheme="majorHAnsi" w:hAnsiTheme="majorHAnsi"/>
          <w:i/>
          <w:sz w:val="20"/>
          <w:szCs w:val="20"/>
        </w:rPr>
        <w:t>materia</w:t>
      </w:r>
      <w:proofErr w:type="spellEnd"/>
      <w:r w:rsidRPr="000C0219">
        <w:rPr>
          <w:rFonts w:asciiTheme="majorHAnsi" w:hAnsiTheme="majorHAnsi"/>
          <w:i/>
          <w:sz w:val="20"/>
          <w:szCs w:val="20"/>
        </w:rPr>
        <w:t xml:space="preserve"> electoral</w:t>
      </w:r>
      <w:r w:rsidRPr="000C0219">
        <w:rPr>
          <w:rFonts w:asciiTheme="majorHAnsi" w:hAnsiTheme="majorHAnsi"/>
          <w:sz w:val="20"/>
          <w:szCs w:val="20"/>
        </w:rPr>
        <w:t xml:space="preserve">]. It further adds that Article 12 of the same law provides for the concept of “interested third party,” which would allow individuals to join the proceedings against the legal entity in order to ensure the protection of their political electoral rights as citizens.  </w:t>
      </w:r>
    </w:p>
    <w:p w14:paraId="553807B2" w14:textId="3056580E" w:rsidR="00E1064B" w:rsidRPr="000C0219" w:rsidRDefault="00E1064B" w:rsidP="00E1064B">
      <w:pPr>
        <w:pStyle w:val="ListParagraph"/>
        <w:widowControl w:val="0"/>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240"/>
        <w:jc w:val="both"/>
        <w:rPr>
          <w:rFonts w:asciiTheme="majorHAnsi" w:hAnsiTheme="majorHAnsi" w:cs="Times New Roman"/>
          <w:sz w:val="20"/>
          <w:szCs w:val="20"/>
          <w:vertAlign w:val="superscript"/>
          <w:lang w:eastAsia="en-US"/>
        </w:rPr>
      </w:pPr>
      <w:r w:rsidRPr="000C0219">
        <w:rPr>
          <w:rFonts w:asciiTheme="majorHAnsi" w:hAnsiTheme="majorHAnsi" w:cs="Times New Roman"/>
          <w:sz w:val="20"/>
          <w:szCs w:val="20"/>
          <w:lang w:eastAsia="en-US"/>
        </w:rPr>
        <w:t xml:space="preserve">The IACHR has understood that the fact that domestic remedies have been exhausted in the name of a </w:t>
      </w:r>
      <w:r w:rsidR="00FF14AD" w:rsidRPr="000C0219">
        <w:rPr>
          <w:rFonts w:asciiTheme="majorHAnsi" w:hAnsiTheme="majorHAnsi" w:cs="Times New Roman"/>
          <w:sz w:val="20"/>
          <w:szCs w:val="20"/>
          <w:lang w:eastAsia="en-US"/>
        </w:rPr>
        <w:t>legal entity</w:t>
      </w:r>
      <w:r w:rsidRPr="000C0219">
        <w:rPr>
          <w:rFonts w:asciiTheme="majorHAnsi" w:hAnsiTheme="majorHAnsi" w:cs="Times New Roman"/>
          <w:sz w:val="20"/>
          <w:szCs w:val="20"/>
          <w:lang w:eastAsia="en-US"/>
        </w:rPr>
        <w:t xml:space="preserve">, does not automatically exclude the possibility of ruling on the effects on the rights of natural persons as a consequence of acts or omissions that affect </w:t>
      </w:r>
      <w:r w:rsidR="00FF14AD" w:rsidRPr="000C0219">
        <w:rPr>
          <w:rFonts w:asciiTheme="majorHAnsi" w:hAnsiTheme="majorHAnsi" w:cs="Times New Roman"/>
          <w:sz w:val="20"/>
          <w:szCs w:val="20"/>
          <w:lang w:eastAsia="en-US"/>
        </w:rPr>
        <w:t>the legal entity</w:t>
      </w:r>
      <w:r w:rsidRPr="000C0219">
        <w:rPr>
          <w:rFonts w:asciiTheme="majorHAnsi" w:hAnsiTheme="majorHAnsi" w:cs="Times New Roman"/>
          <w:sz w:val="20"/>
          <w:szCs w:val="20"/>
          <w:lang w:eastAsia="en-US"/>
        </w:rPr>
        <w:t xml:space="preserve">. It is then necessary to evaluate, in each case, whether the natural person had - effectively and in front of the specific state act or omission - </w:t>
      </w:r>
      <w:r w:rsidR="00502BCB" w:rsidRPr="000C0219">
        <w:rPr>
          <w:rFonts w:asciiTheme="majorHAnsi" w:hAnsiTheme="majorHAnsi" w:cs="Times New Roman"/>
          <w:sz w:val="20"/>
          <w:szCs w:val="20"/>
          <w:lang w:eastAsia="en-US"/>
        </w:rPr>
        <w:t>the</w:t>
      </w:r>
      <w:r w:rsidRPr="000C0219">
        <w:rPr>
          <w:rFonts w:asciiTheme="majorHAnsi" w:hAnsiTheme="majorHAnsi" w:cs="Times New Roman"/>
          <w:sz w:val="20"/>
          <w:szCs w:val="20"/>
          <w:lang w:eastAsia="en-US"/>
        </w:rPr>
        <w:t xml:space="preserve"> re</w:t>
      </w:r>
      <w:r w:rsidR="00502BCB" w:rsidRPr="000C0219">
        <w:rPr>
          <w:rFonts w:asciiTheme="majorHAnsi" w:hAnsiTheme="majorHAnsi" w:cs="Times New Roman"/>
          <w:sz w:val="20"/>
          <w:szCs w:val="20"/>
          <w:lang w:eastAsia="en-US"/>
        </w:rPr>
        <w:t>medies</w:t>
      </w:r>
      <w:r w:rsidRPr="000C0219">
        <w:rPr>
          <w:rFonts w:asciiTheme="majorHAnsi" w:hAnsiTheme="majorHAnsi" w:cs="Times New Roman"/>
          <w:sz w:val="20"/>
          <w:szCs w:val="20"/>
          <w:lang w:eastAsia="en-US"/>
        </w:rPr>
        <w:t xml:space="preserve"> to claim as such the violation of their human rights. When judicial remedies could only be exhausted in the name of the legal entity, the Commission has paid special attention to th</w:t>
      </w:r>
      <w:r w:rsidR="00502BCB" w:rsidRPr="000C0219">
        <w:rPr>
          <w:rFonts w:asciiTheme="majorHAnsi" w:hAnsiTheme="majorHAnsi" w:cs="Times New Roman"/>
          <w:sz w:val="20"/>
          <w:szCs w:val="20"/>
          <w:lang w:eastAsia="en-US"/>
        </w:rPr>
        <w:t>e coincidence of arguments at a domestic</w:t>
      </w:r>
      <w:r w:rsidRPr="000C0219">
        <w:rPr>
          <w:rFonts w:asciiTheme="majorHAnsi" w:hAnsiTheme="majorHAnsi" w:cs="Times New Roman"/>
          <w:sz w:val="20"/>
          <w:szCs w:val="20"/>
          <w:lang w:eastAsia="en-US"/>
        </w:rPr>
        <w:t xml:space="preserve"> level with respect to those raised before the Commission.”</w:t>
      </w:r>
      <w:r w:rsidRPr="000C0219">
        <w:rPr>
          <w:rStyle w:val="FootnoteReference"/>
          <w:sz w:val="20"/>
          <w:szCs w:val="20"/>
        </w:rPr>
        <w:t xml:space="preserve"> </w:t>
      </w:r>
      <w:r w:rsidRPr="000C0219">
        <w:rPr>
          <w:rStyle w:val="FootnoteReference"/>
          <w:sz w:val="20"/>
          <w:szCs w:val="20"/>
          <w:lang w:val="es-ES"/>
        </w:rPr>
        <w:footnoteReference w:id="22"/>
      </w:r>
    </w:p>
    <w:p w14:paraId="6D46F42E" w14:textId="3AA5B7FF" w:rsidR="00FF14AD" w:rsidRPr="000C0219" w:rsidRDefault="007E5152" w:rsidP="00FF14AD">
      <w:pPr>
        <w:pStyle w:val="ListParagraph"/>
        <w:widowControl w:val="0"/>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240"/>
        <w:jc w:val="both"/>
        <w:rPr>
          <w:rFonts w:asciiTheme="majorHAnsi" w:hAnsiTheme="majorHAnsi" w:cs="Times New Roman"/>
          <w:sz w:val="20"/>
          <w:szCs w:val="20"/>
          <w:vertAlign w:val="superscript"/>
          <w:lang w:eastAsia="en-US"/>
        </w:rPr>
      </w:pPr>
      <w:r w:rsidRPr="000C0219">
        <w:rPr>
          <w:rFonts w:asciiTheme="majorHAnsi" w:hAnsiTheme="majorHAnsi" w:cs="Times"/>
          <w:sz w:val="20"/>
          <w:szCs w:val="20"/>
        </w:rPr>
        <w:t xml:space="preserve">In addition, the Inter-American Court of Human Rights has declared that, for </w:t>
      </w:r>
      <w:r w:rsidR="00FB5731" w:rsidRPr="000C0219">
        <w:rPr>
          <w:rFonts w:asciiTheme="majorHAnsi" w:hAnsiTheme="majorHAnsi" w:cs="Times"/>
          <w:sz w:val="20"/>
          <w:szCs w:val="20"/>
        </w:rPr>
        <w:t>the purpose</w:t>
      </w:r>
      <w:r w:rsidRPr="000C0219">
        <w:rPr>
          <w:rFonts w:asciiTheme="majorHAnsi" w:hAnsiTheme="majorHAnsi" w:cs="Times"/>
          <w:sz w:val="20"/>
          <w:szCs w:val="20"/>
        </w:rPr>
        <w:t xml:space="preserve"> of the admissibility of the petition, “</w:t>
      </w:r>
      <w:r w:rsidRPr="000C0219">
        <w:rPr>
          <w:rFonts w:asciiTheme="majorHAnsi" w:hAnsiTheme="majorHAnsi" w:cs="Verdana"/>
          <w:sz w:val="20"/>
          <w:szCs w:val="20"/>
        </w:rPr>
        <w:t>if it is proven that the remedy exhausted by the legal entity protects the individual rights of the natural persons who intend to avail themselves of the inter-American system, that remedy could be understood to be a suitable and effective remedy</w:t>
      </w:r>
      <w:r w:rsidR="00FB5731" w:rsidRPr="000C0219">
        <w:rPr>
          <w:rFonts w:asciiTheme="majorHAnsi" w:hAnsiTheme="majorHAnsi" w:cs="Verdana"/>
          <w:sz w:val="20"/>
          <w:szCs w:val="20"/>
        </w:rPr>
        <w:t>.</w:t>
      </w:r>
      <w:r w:rsidRPr="000C0219">
        <w:rPr>
          <w:rStyle w:val="FootnoteReference"/>
          <w:rFonts w:asciiTheme="majorHAnsi" w:hAnsiTheme="majorHAnsi" w:cs="Verdana"/>
          <w:sz w:val="20"/>
          <w:szCs w:val="20"/>
        </w:rPr>
        <w:footnoteReference w:id="23"/>
      </w:r>
      <w:r w:rsidRPr="000C0219">
        <w:rPr>
          <w:rFonts w:asciiTheme="majorHAnsi" w:hAnsiTheme="majorHAnsi" w:cs="Times"/>
          <w:sz w:val="20"/>
          <w:szCs w:val="20"/>
        </w:rPr>
        <w:t xml:space="preserve"> </w:t>
      </w:r>
      <w:r w:rsidR="004E0D29" w:rsidRPr="000C0219">
        <w:rPr>
          <w:rFonts w:asciiTheme="majorHAnsi" w:hAnsiTheme="majorHAnsi" w:cs="Times"/>
          <w:sz w:val="20"/>
          <w:szCs w:val="20"/>
        </w:rPr>
        <w:t>On this point, the Inter-American Court underscored that, in these types of matters, “</w:t>
      </w:r>
      <w:r w:rsidR="004E0D29" w:rsidRPr="000C0219">
        <w:rPr>
          <w:rFonts w:asciiTheme="majorHAnsi" w:hAnsiTheme="majorHAnsi" w:cs="Verdana"/>
          <w:sz w:val="20"/>
          <w:szCs w:val="20"/>
        </w:rPr>
        <w:t xml:space="preserve">domestic remedies must be understood to have been exhausted in compliance with Article 46.1.a) of the Convention when: </w:t>
      </w:r>
      <w:proofErr w:type="spellStart"/>
      <w:r w:rsidR="004E0D29" w:rsidRPr="000C0219">
        <w:rPr>
          <w:rFonts w:asciiTheme="majorHAnsi" w:hAnsiTheme="majorHAnsi" w:cs="Verdana"/>
          <w:sz w:val="20"/>
          <w:szCs w:val="20"/>
        </w:rPr>
        <w:t>i</w:t>
      </w:r>
      <w:proofErr w:type="spellEnd"/>
      <w:r w:rsidR="004E0D29" w:rsidRPr="000C0219">
        <w:rPr>
          <w:rFonts w:asciiTheme="majorHAnsi" w:hAnsiTheme="majorHAnsi" w:cs="Verdana"/>
          <w:sz w:val="20"/>
          <w:szCs w:val="20"/>
        </w:rPr>
        <w:t>) it is proven that the available, suitable, and effective remedies for the protection of an individual’s rights have been filed, regardless of whether they have been filed and decided in favor of a legal entity, and ii) it is demonstrated that the claims asserted by the legal entity in the domestic proceedings coincide with the alleged violations argued before the inter-American system.”</w:t>
      </w:r>
      <w:r w:rsidR="004E0D29" w:rsidRPr="000C0219">
        <w:rPr>
          <w:rStyle w:val="FootnoteReference"/>
          <w:rFonts w:asciiTheme="majorHAnsi" w:hAnsiTheme="majorHAnsi" w:cs="Verdana"/>
          <w:sz w:val="20"/>
          <w:szCs w:val="20"/>
        </w:rPr>
        <w:footnoteReference w:id="24"/>
      </w:r>
      <w:r w:rsidR="004E0D29" w:rsidRPr="000C0219">
        <w:rPr>
          <w:rFonts w:asciiTheme="majorHAnsi" w:hAnsiTheme="majorHAnsi" w:cs="Verdana"/>
          <w:sz w:val="20"/>
          <w:szCs w:val="20"/>
        </w:rPr>
        <w:t xml:space="preserve"> </w:t>
      </w:r>
    </w:p>
    <w:p w14:paraId="13488E90" w14:textId="2B9AE92B" w:rsidR="004035DE" w:rsidRPr="000C0219" w:rsidRDefault="00FF14AD" w:rsidP="004035DE">
      <w:pPr>
        <w:pStyle w:val="ListParagraph"/>
        <w:widowControl w:val="0"/>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240"/>
        <w:jc w:val="both"/>
        <w:rPr>
          <w:rFonts w:asciiTheme="majorHAnsi" w:eastAsia="Arial Unicode MS" w:hAnsiTheme="majorHAnsi" w:cs="Times New Roman"/>
          <w:color w:val="auto"/>
          <w:sz w:val="20"/>
          <w:szCs w:val="20"/>
          <w:lang w:eastAsia="en-US"/>
        </w:rPr>
      </w:pPr>
      <w:r w:rsidRPr="000C0219">
        <w:rPr>
          <w:rFonts w:asciiTheme="majorHAnsi" w:eastAsia="Arial Unicode MS" w:hAnsiTheme="majorHAnsi" w:cs="Times New Roman"/>
          <w:color w:val="auto"/>
          <w:sz w:val="20"/>
          <w:szCs w:val="20"/>
          <w:lang w:eastAsia="en-US"/>
        </w:rPr>
        <w:t>With regard to the remedies that the State argues that should be exhausted by the alleged victims in this case, the IACHR notes that according to Article 12, first paragraph, subparagraph c)</w:t>
      </w:r>
      <w:r w:rsidR="004035DE" w:rsidRPr="000C0219">
        <w:rPr>
          <w:rStyle w:val="FootnoteReference"/>
          <w:rFonts w:asciiTheme="majorHAnsi" w:hAnsiTheme="majorHAnsi"/>
          <w:sz w:val="20"/>
          <w:szCs w:val="20"/>
        </w:rPr>
        <w:t xml:space="preserve"> </w:t>
      </w:r>
      <w:r w:rsidR="004035DE" w:rsidRPr="000C0219">
        <w:rPr>
          <w:rStyle w:val="FootnoteReference"/>
          <w:rFonts w:asciiTheme="majorHAnsi" w:hAnsiTheme="majorHAnsi"/>
          <w:sz w:val="20"/>
          <w:szCs w:val="20"/>
          <w:lang w:val="es-ES"/>
        </w:rPr>
        <w:footnoteReference w:id="25"/>
      </w:r>
      <w:r w:rsidRPr="000C0219">
        <w:rPr>
          <w:rFonts w:asciiTheme="majorHAnsi" w:eastAsia="Arial Unicode MS" w:hAnsiTheme="majorHAnsi" w:cs="Times New Roman"/>
          <w:color w:val="auto"/>
          <w:sz w:val="20"/>
          <w:szCs w:val="20"/>
          <w:lang w:eastAsia="en-US"/>
        </w:rPr>
        <w:t xml:space="preserve">, of the </w:t>
      </w:r>
      <w:r w:rsidR="000C19A2" w:rsidRPr="000C0219">
        <w:rPr>
          <w:rFonts w:asciiTheme="majorHAnsi" w:hAnsiTheme="majorHAnsi"/>
          <w:sz w:val="20"/>
          <w:szCs w:val="20"/>
        </w:rPr>
        <w:t xml:space="preserve">General Law of the System of Means of </w:t>
      </w:r>
      <w:proofErr w:type="spellStart"/>
      <w:r w:rsidR="000C19A2" w:rsidRPr="000C0219">
        <w:rPr>
          <w:rFonts w:asciiTheme="majorHAnsi" w:hAnsiTheme="majorHAnsi"/>
          <w:sz w:val="20"/>
          <w:szCs w:val="20"/>
        </w:rPr>
        <w:t>Impugnment</w:t>
      </w:r>
      <w:proofErr w:type="spellEnd"/>
      <w:r w:rsidR="000C19A2" w:rsidRPr="000C0219">
        <w:rPr>
          <w:sz w:val="20"/>
          <w:szCs w:val="20"/>
        </w:rPr>
        <w:t xml:space="preserve"> in Electoral Matter </w:t>
      </w:r>
      <w:r w:rsidRPr="000C0219">
        <w:rPr>
          <w:rFonts w:asciiTheme="majorHAnsi" w:eastAsia="Arial Unicode MS" w:hAnsiTheme="majorHAnsi" w:cs="Times New Roman"/>
          <w:color w:val="auto"/>
          <w:sz w:val="20"/>
          <w:szCs w:val="20"/>
          <w:lang w:eastAsia="en-US"/>
        </w:rPr>
        <w:t>[</w:t>
      </w:r>
      <w:r w:rsidRPr="000C0219">
        <w:rPr>
          <w:rFonts w:asciiTheme="majorHAnsi" w:hAnsiTheme="majorHAnsi"/>
          <w:i/>
          <w:sz w:val="20"/>
          <w:szCs w:val="20"/>
        </w:rPr>
        <w:t xml:space="preserve">Ley General del Sistema de </w:t>
      </w:r>
      <w:proofErr w:type="spellStart"/>
      <w:r w:rsidRPr="000C0219">
        <w:rPr>
          <w:rFonts w:asciiTheme="majorHAnsi" w:hAnsiTheme="majorHAnsi"/>
          <w:i/>
          <w:sz w:val="20"/>
          <w:szCs w:val="20"/>
        </w:rPr>
        <w:t>Medios</w:t>
      </w:r>
      <w:proofErr w:type="spellEnd"/>
      <w:r w:rsidRPr="000C0219">
        <w:rPr>
          <w:rFonts w:asciiTheme="majorHAnsi" w:hAnsiTheme="majorHAnsi"/>
          <w:i/>
          <w:sz w:val="20"/>
          <w:szCs w:val="20"/>
        </w:rPr>
        <w:t xml:space="preserve"> de </w:t>
      </w:r>
      <w:proofErr w:type="spellStart"/>
      <w:r w:rsidRPr="000C0219">
        <w:rPr>
          <w:rFonts w:asciiTheme="majorHAnsi" w:hAnsiTheme="majorHAnsi"/>
          <w:i/>
          <w:sz w:val="20"/>
          <w:szCs w:val="20"/>
        </w:rPr>
        <w:t>Impugnación</w:t>
      </w:r>
      <w:proofErr w:type="spellEnd"/>
      <w:r w:rsidRPr="000C0219">
        <w:rPr>
          <w:rFonts w:asciiTheme="majorHAnsi" w:hAnsiTheme="majorHAnsi"/>
          <w:i/>
          <w:sz w:val="20"/>
          <w:szCs w:val="20"/>
        </w:rPr>
        <w:t xml:space="preserve"> </w:t>
      </w:r>
      <w:proofErr w:type="spellStart"/>
      <w:r w:rsidRPr="000C0219">
        <w:rPr>
          <w:rFonts w:asciiTheme="majorHAnsi" w:hAnsiTheme="majorHAnsi"/>
          <w:i/>
          <w:sz w:val="20"/>
          <w:szCs w:val="20"/>
        </w:rPr>
        <w:t>en</w:t>
      </w:r>
      <w:proofErr w:type="spellEnd"/>
      <w:r w:rsidRPr="000C0219">
        <w:rPr>
          <w:rFonts w:asciiTheme="majorHAnsi" w:hAnsiTheme="majorHAnsi"/>
          <w:i/>
          <w:sz w:val="20"/>
          <w:szCs w:val="20"/>
        </w:rPr>
        <w:t xml:space="preserve"> Materia Electoral</w:t>
      </w:r>
      <w:r w:rsidRPr="000C0219">
        <w:rPr>
          <w:rFonts w:asciiTheme="majorHAnsi" w:hAnsiTheme="majorHAnsi"/>
          <w:sz w:val="20"/>
          <w:szCs w:val="20"/>
        </w:rPr>
        <w:t>]</w:t>
      </w:r>
      <w:r w:rsidRPr="000C0219">
        <w:rPr>
          <w:rFonts w:asciiTheme="majorHAnsi" w:eastAsia="Arial Unicode MS" w:hAnsiTheme="majorHAnsi" w:cs="Times New Roman"/>
          <w:color w:val="auto"/>
          <w:sz w:val="20"/>
          <w:szCs w:val="20"/>
          <w:lang w:eastAsia="en-US"/>
        </w:rPr>
        <w:t xml:space="preserve"> (LGSMIME), a “citizen” could be part of an electoral dispute procedure as "interested third party" when he has a “[l]</w:t>
      </w:r>
      <w:proofErr w:type="spellStart"/>
      <w:r w:rsidRPr="000C0219">
        <w:rPr>
          <w:rFonts w:asciiTheme="majorHAnsi" w:eastAsia="Arial Unicode MS" w:hAnsiTheme="majorHAnsi" w:cs="Times New Roman"/>
          <w:color w:val="auto"/>
          <w:sz w:val="20"/>
          <w:szCs w:val="20"/>
          <w:lang w:eastAsia="en-US"/>
        </w:rPr>
        <w:t>egitimate</w:t>
      </w:r>
      <w:proofErr w:type="spellEnd"/>
      <w:r w:rsidRPr="000C0219">
        <w:rPr>
          <w:rFonts w:asciiTheme="majorHAnsi" w:eastAsia="Arial Unicode MS" w:hAnsiTheme="majorHAnsi" w:cs="Times New Roman"/>
          <w:color w:val="auto"/>
          <w:sz w:val="20"/>
          <w:szCs w:val="20"/>
          <w:lang w:eastAsia="en-US"/>
        </w:rPr>
        <w:t xml:space="preserve"> interest in the case derived from a right incompatible with the one intended by the actor.” Likewise, it observes that, according to article 79</w:t>
      </w:r>
      <w:r w:rsidR="004035DE" w:rsidRPr="000C0219">
        <w:rPr>
          <w:rStyle w:val="FootnoteReference"/>
          <w:rFonts w:asciiTheme="majorHAnsi" w:hAnsiTheme="majorHAnsi"/>
          <w:sz w:val="20"/>
          <w:szCs w:val="20"/>
          <w:lang w:val="es-ES"/>
        </w:rPr>
        <w:footnoteReference w:id="26"/>
      </w:r>
      <w:r w:rsidR="004035DE" w:rsidRPr="000C0219">
        <w:rPr>
          <w:rFonts w:asciiTheme="majorHAnsi" w:hAnsiTheme="majorHAnsi"/>
          <w:sz w:val="20"/>
          <w:szCs w:val="20"/>
        </w:rPr>
        <w:t xml:space="preserve"> </w:t>
      </w:r>
      <w:r w:rsidRPr="000C0219">
        <w:rPr>
          <w:rFonts w:asciiTheme="majorHAnsi" w:eastAsia="Arial Unicode MS" w:hAnsiTheme="majorHAnsi" w:cs="Times New Roman"/>
          <w:color w:val="auto"/>
          <w:sz w:val="20"/>
          <w:szCs w:val="20"/>
          <w:lang w:eastAsia="en-US"/>
        </w:rPr>
        <w:t xml:space="preserve">of the LGSMIME, the legal </w:t>
      </w:r>
      <w:r w:rsidRPr="000C0219">
        <w:rPr>
          <w:rFonts w:asciiTheme="majorHAnsi" w:eastAsia="Arial Unicode MS" w:hAnsiTheme="majorHAnsi" w:cs="Times New Roman"/>
          <w:color w:val="auto"/>
          <w:sz w:val="20"/>
          <w:szCs w:val="20"/>
          <w:lang w:eastAsia="en-US"/>
        </w:rPr>
        <w:lastRenderedPageBreak/>
        <w:t>procedure for the protection of the political-electoral rights “will only proceed when the citizen by himself and individually or through his legal representatives, makes use of presumed violations to their rights to vote and be voted in popular elections, to associate individually and freely to participate in a peaceful way in political affairs and to affiliate freely and individually with political parties.” Article 80</w:t>
      </w:r>
      <w:r w:rsidR="004035DE" w:rsidRPr="000C0219">
        <w:rPr>
          <w:rStyle w:val="FootnoteReference"/>
          <w:rFonts w:asciiTheme="majorHAnsi" w:hAnsiTheme="majorHAnsi"/>
          <w:sz w:val="20"/>
          <w:szCs w:val="20"/>
          <w:lang w:val="es-ES"/>
        </w:rPr>
        <w:footnoteReference w:id="27"/>
      </w:r>
      <w:r w:rsidRPr="000C0219">
        <w:rPr>
          <w:rFonts w:asciiTheme="majorHAnsi" w:eastAsia="Arial Unicode MS" w:hAnsiTheme="majorHAnsi" w:cs="Times New Roman"/>
          <w:color w:val="auto"/>
          <w:sz w:val="20"/>
          <w:szCs w:val="20"/>
          <w:lang w:eastAsia="en-US"/>
        </w:rPr>
        <w:t>, in turn, establishes that this legal procedure could be promoted by cit</w:t>
      </w:r>
      <w:r w:rsidR="004035DE" w:rsidRPr="000C0219">
        <w:rPr>
          <w:rFonts w:asciiTheme="majorHAnsi" w:eastAsia="Arial Unicode MS" w:hAnsiTheme="majorHAnsi" w:cs="Times New Roman"/>
          <w:color w:val="auto"/>
          <w:sz w:val="20"/>
          <w:szCs w:val="20"/>
          <w:lang w:eastAsia="en-US"/>
        </w:rPr>
        <w:t>izens when “</w:t>
      </w:r>
      <w:r w:rsidRPr="000C0219">
        <w:rPr>
          <w:rFonts w:asciiTheme="majorHAnsi" w:eastAsia="Arial Unicode MS" w:hAnsiTheme="majorHAnsi" w:cs="Times New Roman"/>
          <w:color w:val="auto"/>
          <w:sz w:val="20"/>
          <w:szCs w:val="20"/>
          <w:lang w:eastAsia="en-US"/>
        </w:rPr>
        <w:t>an act or resolution of the authority is in violation of any other political-electoral rights refer</w:t>
      </w:r>
      <w:r w:rsidR="004035DE" w:rsidRPr="000C0219">
        <w:rPr>
          <w:rFonts w:asciiTheme="majorHAnsi" w:eastAsia="Arial Unicode MS" w:hAnsiTheme="majorHAnsi" w:cs="Times New Roman"/>
          <w:color w:val="auto"/>
          <w:sz w:val="20"/>
          <w:szCs w:val="20"/>
          <w:lang w:eastAsia="en-US"/>
        </w:rPr>
        <w:t>red to in the previous article.”</w:t>
      </w:r>
    </w:p>
    <w:p w14:paraId="65F9DE4D" w14:textId="63CCD9DA" w:rsidR="004035DE" w:rsidRPr="000C0219" w:rsidRDefault="004035DE" w:rsidP="004035DE">
      <w:pPr>
        <w:pStyle w:val="ListParagraph"/>
        <w:widowControl w:val="0"/>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240"/>
        <w:jc w:val="both"/>
        <w:rPr>
          <w:rFonts w:asciiTheme="majorHAnsi" w:eastAsia="Arial Unicode MS" w:hAnsiTheme="majorHAnsi" w:cs="Times New Roman"/>
          <w:color w:val="auto"/>
          <w:sz w:val="20"/>
          <w:szCs w:val="20"/>
          <w:lang w:eastAsia="en-US"/>
        </w:rPr>
      </w:pPr>
      <w:r w:rsidRPr="000C0219">
        <w:rPr>
          <w:rFonts w:asciiTheme="majorHAnsi" w:eastAsia="Arial Unicode MS" w:hAnsiTheme="majorHAnsi" w:cs="Times New Roman"/>
          <w:color w:val="auto"/>
          <w:sz w:val="20"/>
          <w:szCs w:val="20"/>
          <w:lang w:eastAsia="en-US"/>
        </w:rPr>
        <w:t>The Commission observes that it is not clear from the reading of this regulation that the alleged victims were procedurally qualified to file them or that they would be effective in redressing the violations of the right to freedom of expression and the principle of legality alleged in the present case. The figure of interested third party is limited to those who support “a right incompatible with the one intended by the actor,” which would not apply in this case. The alleged victims have not alleged the violation of political-electoral rights linked to the right to elect and be elected, which would prevent them from bringing a legal procedure for the protection of those rights, in accordance with the</w:t>
      </w:r>
      <w:r w:rsidR="00346F28" w:rsidRPr="000C0219">
        <w:rPr>
          <w:rFonts w:asciiTheme="majorHAnsi" w:eastAsia="Arial Unicode MS" w:hAnsiTheme="majorHAnsi" w:cs="Times New Roman"/>
          <w:color w:val="auto"/>
          <w:sz w:val="20"/>
          <w:szCs w:val="20"/>
          <w:lang w:eastAsia="en-US"/>
        </w:rPr>
        <w:t xml:space="preserve"> situations</w:t>
      </w:r>
      <w:r w:rsidRPr="000C0219">
        <w:rPr>
          <w:rFonts w:asciiTheme="majorHAnsi" w:eastAsia="Arial Unicode MS" w:hAnsiTheme="majorHAnsi" w:cs="Times New Roman"/>
          <w:color w:val="auto"/>
          <w:sz w:val="20"/>
          <w:szCs w:val="20"/>
          <w:lang w:eastAsia="en-US"/>
        </w:rPr>
        <w:t xml:space="preserve"> of the legislation. The State also failed to present sufficient and relevant elements to demonstrate that, in accordance with practice and jurisprudence, these remedies could have been declared admissible and effective. The judgments of the electoral tribunals presented to the IACHR also do not demonstrate that the regulations cited have been interpreted in such a way as to include the type of claims of the alleged victims. In this regard, the Commission reiterates that a State that alleges </w:t>
      </w:r>
      <w:r w:rsidR="000D6902" w:rsidRPr="000C0219">
        <w:rPr>
          <w:rFonts w:asciiTheme="majorHAnsi" w:eastAsia="Arial Unicode MS" w:hAnsiTheme="majorHAnsi" w:cs="Times New Roman"/>
          <w:color w:val="auto"/>
          <w:sz w:val="20"/>
          <w:szCs w:val="20"/>
          <w:lang w:eastAsia="en-US"/>
        </w:rPr>
        <w:t>the lack of exhaustion of these</w:t>
      </w:r>
      <w:r w:rsidRPr="000C0219">
        <w:rPr>
          <w:rFonts w:asciiTheme="majorHAnsi" w:eastAsia="Arial Unicode MS" w:hAnsiTheme="majorHAnsi" w:cs="Times New Roman"/>
          <w:color w:val="auto"/>
          <w:sz w:val="20"/>
          <w:szCs w:val="20"/>
          <w:lang w:eastAsia="en-US"/>
        </w:rPr>
        <w:t xml:space="preserve"> remedies is obliged to prove that </w:t>
      </w:r>
      <w:r w:rsidR="000D6902" w:rsidRPr="000C0219">
        <w:rPr>
          <w:rFonts w:asciiTheme="majorHAnsi" w:eastAsia="Arial Unicode MS" w:hAnsiTheme="majorHAnsi" w:cs="Times New Roman"/>
          <w:color w:val="auto"/>
          <w:sz w:val="20"/>
          <w:szCs w:val="20"/>
          <w:lang w:eastAsia="en-US"/>
        </w:rPr>
        <w:t xml:space="preserve">there are </w:t>
      </w:r>
      <w:r w:rsidRPr="000C0219">
        <w:rPr>
          <w:rFonts w:asciiTheme="majorHAnsi" w:eastAsia="Arial Unicode MS" w:hAnsiTheme="majorHAnsi" w:cs="Times New Roman"/>
          <w:color w:val="auto"/>
          <w:sz w:val="20"/>
          <w:szCs w:val="20"/>
          <w:lang w:eastAsia="en-US"/>
        </w:rPr>
        <w:t>domestic remedies not yet exhausted and that they are effective</w:t>
      </w:r>
      <w:r w:rsidR="005D22D5" w:rsidRPr="000C0219">
        <w:rPr>
          <w:rFonts w:asciiTheme="majorHAnsi" w:eastAsia="Arial Unicode MS" w:hAnsiTheme="majorHAnsi" w:cs="Times New Roman"/>
          <w:color w:val="auto"/>
          <w:sz w:val="20"/>
          <w:szCs w:val="20"/>
          <w:lang w:eastAsia="en-US"/>
        </w:rPr>
        <w:t>.</w:t>
      </w:r>
      <w:r w:rsidR="00152A6D" w:rsidRPr="000C0219">
        <w:rPr>
          <w:rStyle w:val="FootnoteReference"/>
          <w:rFonts w:cs="Arial"/>
          <w:sz w:val="20"/>
          <w:szCs w:val="20"/>
          <w:lang w:val="es-ES_tradnl"/>
        </w:rPr>
        <w:footnoteReference w:id="28"/>
      </w:r>
      <w:r w:rsidRPr="000C0219">
        <w:rPr>
          <w:rFonts w:asciiTheme="majorHAnsi" w:eastAsia="Arial Unicode MS" w:hAnsiTheme="majorHAnsi" w:cs="Times New Roman"/>
          <w:color w:val="auto"/>
          <w:sz w:val="20"/>
          <w:szCs w:val="20"/>
          <w:lang w:eastAsia="en-US"/>
        </w:rPr>
        <w:t xml:space="preserve"> Although the Inter-American Court of Human Rights has stated that it cannot be </w:t>
      </w:r>
      <w:r w:rsidR="00E61966" w:rsidRPr="000C0219">
        <w:rPr>
          <w:rFonts w:asciiTheme="majorHAnsi" w:eastAsia="Arial Unicode MS" w:hAnsiTheme="majorHAnsi" w:cs="Times New Roman"/>
          <w:color w:val="auto"/>
          <w:sz w:val="20"/>
          <w:szCs w:val="20"/>
          <w:lang w:eastAsia="en-US"/>
        </w:rPr>
        <w:t xml:space="preserve">rashly presumed </w:t>
      </w:r>
      <w:r w:rsidRPr="000C0219">
        <w:rPr>
          <w:rFonts w:asciiTheme="majorHAnsi" w:eastAsia="Arial Unicode MS" w:hAnsiTheme="majorHAnsi" w:cs="Times New Roman"/>
          <w:color w:val="auto"/>
          <w:sz w:val="20"/>
          <w:szCs w:val="20"/>
          <w:lang w:eastAsia="en-US"/>
        </w:rPr>
        <w:t>that a State Party to the Convention has failed to comply with its obligation to provide effective domestic remedies</w:t>
      </w:r>
      <w:r w:rsidR="005D22D5" w:rsidRPr="000C0219">
        <w:rPr>
          <w:rFonts w:asciiTheme="majorHAnsi" w:eastAsia="Arial Unicode MS" w:hAnsiTheme="majorHAnsi" w:cs="Times New Roman"/>
          <w:color w:val="auto"/>
          <w:sz w:val="20"/>
          <w:szCs w:val="20"/>
          <w:lang w:eastAsia="en-US"/>
        </w:rPr>
        <w:t>,</w:t>
      </w:r>
      <w:r w:rsidR="00152A6D" w:rsidRPr="000C0219">
        <w:rPr>
          <w:rStyle w:val="FootnoteReference"/>
          <w:sz w:val="20"/>
          <w:szCs w:val="20"/>
          <w:lang w:val="es-ES_tradnl"/>
        </w:rPr>
        <w:footnoteReference w:id="29"/>
      </w:r>
      <w:r w:rsidRPr="000C0219">
        <w:rPr>
          <w:rFonts w:asciiTheme="majorHAnsi" w:eastAsia="Arial Unicode MS" w:hAnsiTheme="majorHAnsi" w:cs="Times New Roman"/>
          <w:color w:val="auto"/>
          <w:sz w:val="20"/>
          <w:szCs w:val="20"/>
          <w:lang w:eastAsia="en-US"/>
        </w:rPr>
        <w:t xml:space="preserve"> the availability and </w:t>
      </w:r>
      <w:r w:rsidR="00152A6D" w:rsidRPr="000C0219">
        <w:rPr>
          <w:rFonts w:asciiTheme="majorHAnsi" w:eastAsia="Arial Unicode MS" w:hAnsiTheme="majorHAnsi" w:cs="Times New Roman"/>
          <w:color w:val="auto"/>
          <w:sz w:val="20"/>
          <w:szCs w:val="20"/>
          <w:lang w:eastAsia="en-US"/>
        </w:rPr>
        <w:t>effectiveness of these remedies</w:t>
      </w:r>
      <w:r w:rsidRPr="000C0219">
        <w:rPr>
          <w:rFonts w:asciiTheme="majorHAnsi" w:eastAsia="Arial Unicode MS" w:hAnsiTheme="majorHAnsi" w:cs="Times New Roman"/>
          <w:color w:val="auto"/>
          <w:sz w:val="20"/>
          <w:szCs w:val="20"/>
          <w:lang w:eastAsia="en-US"/>
        </w:rPr>
        <w:t>, including its sc</w:t>
      </w:r>
      <w:r w:rsidR="00152A6D" w:rsidRPr="000C0219">
        <w:rPr>
          <w:rFonts w:asciiTheme="majorHAnsi" w:eastAsia="Arial Unicode MS" w:hAnsiTheme="majorHAnsi" w:cs="Times New Roman"/>
          <w:color w:val="auto"/>
          <w:sz w:val="20"/>
          <w:szCs w:val="20"/>
          <w:lang w:eastAsia="en-US"/>
        </w:rPr>
        <w:t>ope, application and r</w:t>
      </w:r>
      <w:r w:rsidRPr="000C0219">
        <w:rPr>
          <w:rFonts w:asciiTheme="majorHAnsi" w:eastAsia="Arial Unicode MS" w:hAnsiTheme="majorHAnsi" w:cs="Times New Roman"/>
          <w:color w:val="auto"/>
          <w:sz w:val="20"/>
          <w:szCs w:val="20"/>
          <w:lang w:eastAsia="en-US"/>
        </w:rPr>
        <w:t xml:space="preserve">easonable </w:t>
      </w:r>
      <w:r w:rsidR="00152A6D" w:rsidRPr="000C0219">
        <w:rPr>
          <w:rFonts w:asciiTheme="majorHAnsi" w:eastAsia="Arial Unicode MS" w:hAnsiTheme="majorHAnsi" w:cs="Times New Roman"/>
          <w:color w:val="auto"/>
          <w:sz w:val="20"/>
          <w:szCs w:val="20"/>
          <w:lang w:eastAsia="en-US"/>
        </w:rPr>
        <w:t xml:space="preserve">prospects of success, </w:t>
      </w:r>
      <w:r w:rsidRPr="000C0219">
        <w:rPr>
          <w:rFonts w:asciiTheme="majorHAnsi" w:eastAsia="Arial Unicode MS" w:hAnsiTheme="majorHAnsi" w:cs="Times New Roman"/>
          <w:color w:val="auto"/>
          <w:sz w:val="20"/>
          <w:szCs w:val="20"/>
          <w:lang w:eastAsia="en-US"/>
        </w:rPr>
        <w:t>must be clear enough in the legislation and confirmed in practice.</w:t>
      </w:r>
      <w:r w:rsidRPr="000C0219">
        <w:rPr>
          <w:rStyle w:val="FootnoteReference"/>
          <w:sz w:val="20"/>
          <w:szCs w:val="20"/>
          <w:lang w:val="es-ES"/>
        </w:rPr>
        <w:footnoteReference w:id="30"/>
      </w:r>
      <w:r w:rsidRPr="000C0219">
        <w:rPr>
          <w:sz w:val="20"/>
          <w:szCs w:val="20"/>
        </w:rPr>
        <w:t xml:space="preserve">  </w:t>
      </w:r>
    </w:p>
    <w:p w14:paraId="362B5551" w14:textId="71554B1D" w:rsidR="004E0D29" w:rsidRPr="000C0219" w:rsidRDefault="007E5152" w:rsidP="004E0D2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sidRPr="000C0219">
        <w:rPr>
          <w:rFonts w:asciiTheme="majorHAnsi" w:hAnsiTheme="majorHAnsi"/>
          <w:sz w:val="20"/>
          <w:szCs w:val="20"/>
        </w:rPr>
        <w:t>In any case, t</w:t>
      </w:r>
      <w:r w:rsidR="004E0D29" w:rsidRPr="000C0219">
        <w:rPr>
          <w:rFonts w:asciiTheme="majorHAnsi" w:hAnsiTheme="majorHAnsi"/>
          <w:sz w:val="20"/>
          <w:szCs w:val="20"/>
        </w:rPr>
        <w:t xml:space="preserve">he Commission finds that </w:t>
      </w:r>
      <w:r w:rsidR="004E0D29" w:rsidRPr="000C0219">
        <w:rPr>
          <w:rFonts w:asciiTheme="majorHAnsi" w:hAnsiTheme="majorHAnsi"/>
          <w:bCs/>
          <w:sz w:val="20"/>
          <w:szCs w:val="20"/>
        </w:rPr>
        <w:t xml:space="preserve">Alejandro Fernando Aguilera </w:t>
      </w:r>
      <w:proofErr w:type="spellStart"/>
      <w:r w:rsidR="004E0D29" w:rsidRPr="000C0219">
        <w:rPr>
          <w:rFonts w:asciiTheme="majorHAnsi" w:hAnsiTheme="majorHAnsi"/>
          <w:bCs/>
          <w:sz w:val="20"/>
          <w:szCs w:val="20"/>
        </w:rPr>
        <w:t>Mendieta</w:t>
      </w:r>
      <w:proofErr w:type="spellEnd"/>
      <w:r w:rsidR="004E0D29" w:rsidRPr="000C0219">
        <w:rPr>
          <w:rFonts w:asciiTheme="majorHAnsi" w:hAnsiTheme="majorHAnsi"/>
          <w:bCs/>
          <w:sz w:val="20"/>
          <w:szCs w:val="20"/>
        </w:rPr>
        <w:t xml:space="preserve">, Miguel </w:t>
      </w:r>
      <w:proofErr w:type="spellStart"/>
      <w:r w:rsidR="004E0D29" w:rsidRPr="000C0219">
        <w:rPr>
          <w:rFonts w:asciiTheme="majorHAnsi" w:hAnsiTheme="majorHAnsi"/>
          <w:bCs/>
          <w:sz w:val="20"/>
          <w:szCs w:val="20"/>
        </w:rPr>
        <w:t>Ángel</w:t>
      </w:r>
      <w:proofErr w:type="spellEnd"/>
      <w:r w:rsidR="004E0D29" w:rsidRPr="000C0219">
        <w:rPr>
          <w:rFonts w:asciiTheme="majorHAnsi" w:hAnsiTheme="majorHAnsi"/>
          <w:bCs/>
          <w:sz w:val="20"/>
          <w:szCs w:val="20"/>
        </w:rPr>
        <w:t xml:space="preserve"> </w:t>
      </w:r>
      <w:proofErr w:type="spellStart"/>
      <w:r w:rsidR="004E0D29" w:rsidRPr="000C0219">
        <w:rPr>
          <w:rFonts w:asciiTheme="majorHAnsi" w:hAnsiTheme="majorHAnsi"/>
          <w:bCs/>
          <w:sz w:val="20"/>
          <w:szCs w:val="20"/>
        </w:rPr>
        <w:t>Diez</w:t>
      </w:r>
      <w:proofErr w:type="spellEnd"/>
      <w:r w:rsidR="004E0D29" w:rsidRPr="000C0219">
        <w:rPr>
          <w:rFonts w:asciiTheme="majorHAnsi" w:hAnsiTheme="majorHAnsi"/>
          <w:bCs/>
          <w:sz w:val="20"/>
          <w:szCs w:val="20"/>
        </w:rPr>
        <w:t xml:space="preserve"> García, Miriam Villanueva Chiapas, and Félix José Araujo </w:t>
      </w:r>
      <w:proofErr w:type="spellStart"/>
      <w:r w:rsidR="004E0D29" w:rsidRPr="000C0219">
        <w:rPr>
          <w:rFonts w:asciiTheme="majorHAnsi" w:hAnsiTheme="majorHAnsi"/>
          <w:bCs/>
          <w:sz w:val="20"/>
          <w:szCs w:val="20"/>
        </w:rPr>
        <w:t>Ramírez</w:t>
      </w:r>
      <w:proofErr w:type="spellEnd"/>
      <w:r w:rsidR="004E0D29" w:rsidRPr="000C0219">
        <w:rPr>
          <w:rFonts w:asciiTheme="majorHAnsi" w:hAnsiTheme="majorHAnsi"/>
          <w:bCs/>
          <w:sz w:val="20"/>
          <w:szCs w:val="20"/>
        </w:rPr>
        <w:t>,</w:t>
      </w:r>
      <w:r w:rsidR="004E0D29" w:rsidRPr="000C0219">
        <w:rPr>
          <w:rFonts w:asciiTheme="majorHAnsi" w:hAnsiTheme="majorHAnsi"/>
          <w:sz w:val="20"/>
          <w:szCs w:val="20"/>
        </w:rPr>
        <w:t xml:space="preserve"> as executives of </w:t>
      </w:r>
      <w:proofErr w:type="spellStart"/>
      <w:r w:rsidR="004E0D29" w:rsidRPr="000C0219">
        <w:rPr>
          <w:rFonts w:asciiTheme="majorHAnsi" w:hAnsiTheme="majorHAnsi"/>
          <w:bCs/>
          <w:i/>
          <w:sz w:val="20"/>
          <w:szCs w:val="20"/>
        </w:rPr>
        <w:t>Radiotelevisora</w:t>
      </w:r>
      <w:proofErr w:type="spellEnd"/>
      <w:r w:rsidR="004E0D29" w:rsidRPr="000C0219">
        <w:rPr>
          <w:rFonts w:asciiTheme="majorHAnsi" w:hAnsiTheme="majorHAnsi"/>
          <w:bCs/>
          <w:i/>
          <w:sz w:val="20"/>
          <w:szCs w:val="20"/>
        </w:rPr>
        <w:t xml:space="preserve"> de México Norte S.A. de C.V.</w:t>
      </w:r>
      <w:r w:rsidR="004E0D29" w:rsidRPr="000C0219">
        <w:rPr>
          <w:rFonts w:asciiTheme="majorHAnsi" w:hAnsiTheme="majorHAnsi"/>
          <w:bCs/>
          <w:sz w:val="20"/>
          <w:szCs w:val="20"/>
        </w:rPr>
        <w:t xml:space="preserve">, </w:t>
      </w:r>
      <w:r w:rsidR="004E0D29" w:rsidRPr="000C0219">
        <w:rPr>
          <w:rFonts w:asciiTheme="majorHAnsi" w:hAnsiTheme="majorHAnsi"/>
          <w:bCs/>
          <w:i/>
          <w:sz w:val="20"/>
          <w:szCs w:val="20"/>
        </w:rPr>
        <w:t xml:space="preserve">Cadena </w:t>
      </w:r>
      <w:proofErr w:type="spellStart"/>
      <w:r w:rsidR="004E0D29" w:rsidRPr="000C0219">
        <w:rPr>
          <w:rFonts w:asciiTheme="majorHAnsi" w:hAnsiTheme="majorHAnsi"/>
          <w:bCs/>
          <w:i/>
          <w:sz w:val="20"/>
          <w:szCs w:val="20"/>
        </w:rPr>
        <w:t>Televisora</w:t>
      </w:r>
      <w:proofErr w:type="spellEnd"/>
      <w:r w:rsidR="004E0D29" w:rsidRPr="000C0219">
        <w:rPr>
          <w:rFonts w:asciiTheme="majorHAnsi" w:hAnsiTheme="majorHAnsi"/>
          <w:bCs/>
          <w:i/>
          <w:sz w:val="20"/>
          <w:szCs w:val="20"/>
        </w:rPr>
        <w:t xml:space="preserve"> del Norte S.A. de C.V.</w:t>
      </w:r>
      <w:r w:rsidR="004E0D29" w:rsidRPr="000C0219">
        <w:rPr>
          <w:rFonts w:asciiTheme="majorHAnsi" w:hAnsiTheme="majorHAnsi"/>
          <w:bCs/>
          <w:sz w:val="20"/>
          <w:szCs w:val="20"/>
        </w:rPr>
        <w:t xml:space="preserve">, and </w:t>
      </w:r>
      <w:proofErr w:type="spellStart"/>
      <w:r w:rsidR="004E0D29" w:rsidRPr="000C0219">
        <w:rPr>
          <w:rFonts w:asciiTheme="majorHAnsi" w:hAnsiTheme="majorHAnsi"/>
          <w:bCs/>
          <w:i/>
          <w:sz w:val="20"/>
          <w:szCs w:val="20"/>
        </w:rPr>
        <w:t>Televimex</w:t>
      </w:r>
      <w:proofErr w:type="spellEnd"/>
      <w:r w:rsidR="004E0D29" w:rsidRPr="000C0219">
        <w:rPr>
          <w:rFonts w:asciiTheme="majorHAnsi" w:hAnsiTheme="majorHAnsi"/>
          <w:bCs/>
          <w:i/>
          <w:sz w:val="20"/>
          <w:szCs w:val="20"/>
        </w:rPr>
        <w:t xml:space="preserve"> S.A. de C.V</w:t>
      </w:r>
      <w:r w:rsidR="004E0D29" w:rsidRPr="000C0219">
        <w:rPr>
          <w:rFonts w:asciiTheme="majorHAnsi" w:hAnsiTheme="majorHAnsi"/>
          <w:bCs/>
          <w:sz w:val="20"/>
          <w:szCs w:val="20"/>
        </w:rPr>
        <w:t xml:space="preserve">. exhausted the remedies provided under Mexican law to challenge the penalties imposed against those media outlets. </w:t>
      </w:r>
      <w:r w:rsidR="004E0D29" w:rsidRPr="000C0219">
        <w:rPr>
          <w:rFonts w:asciiTheme="majorHAnsi" w:hAnsiTheme="majorHAnsi"/>
          <w:sz w:val="20"/>
          <w:szCs w:val="20"/>
        </w:rPr>
        <w:t>Although those domestic remedies were exhausted on behalf of the companies, the issue of the possible violation of freedom of expression and principle of legality was raised in the domestic proceedings before the IFE and decided by the TRIFE.</w:t>
      </w:r>
      <w:r w:rsidR="004E0D29" w:rsidRPr="000C0219">
        <w:rPr>
          <w:rStyle w:val="FootnoteReference"/>
          <w:rFonts w:asciiTheme="majorHAnsi" w:hAnsiTheme="majorHAnsi"/>
          <w:sz w:val="20"/>
          <w:szCs w:val="20"/>
        </w:rPr>
        <w:footnoteReference w:id="31"/>
      </w:r>
      <w:r w:rsidR="004E0D29" w:rsidRPr="000C0219">
        <w:rPr>
          <w:rFonts w:asciiTheme="majorHAnsi" w:hAnsiTheme="majorHAnsi"/>
          <w:sz w:val="20"/>
          <w:szCs w:val="20"/>
        </w:rPr>
        <w:t xml:space="preserve"> In this regard, the claims asserted in the case that was exhausted at the domestic level coincide with those presented to the IACHR. The Commission therefore finds that the remedies of the national legal system were exhausted in accordance with Article 46(1) (a) of the American Convention.</w:t>
      </w:r>
    </w:p>
    <w:p w14:paraId="05415C74" w14:textId="7D899987" w:rsidR="00F621C3" w:rsidRPr="000C0219" w:rsidRDefault="004E0D29" w:rsidP="004E0D29">
      <w:pPr>
        <w:pStyle w:val="ListParagraph"/>
        <w:widowControl w:val="0"/>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autoSpaceDE w:val="0"/>
        <w:autoSpaceDN w:val="0"/>
        <w:adjustRightInd w:val="0"/>
        <w:spacing w:before="240" w:after="240"/>
        <w:jc w:val="both"/>
        <w:rPr>
          <w:rFonts w:asciiTheme="majorHAnsi" w:hAnsiTheme="majorHAnsi"/>
          <w:sz w:val="20"/>
          <w:szCs w:val="20"/>
        </w:rPr>
      </w:pPr>
      <w:r w:rsidRPr="000C0219">
        <w:rPr>
          <w:rFonts w:asciiTheme="majorHAnsi" w:hAnsiTheme="majorHAnsi"/>
          <w:sz w:val="20"/>
          <w:szCs w:val="20"/>
        </w:rPr>
        <w:lastRenderedPageBreak/>
        <w:t>In relation to the timeliness of the petition, the final decision that ended the proceedings at the national level was issued by the TRIFE on August 26, 2009, and the petition was filed on February 26, 2010. Accordingly, the Commission notes that it meets the requirements of</w:t>
      </w:r>
      <w:r w:rsidR="001A5AF7" w:rsidRPr="000C0219">
        <w:rPr>
          <w:rFonts w:asciiTheme="majorHAnsi" w:hAnsiTheme="majorHAnsi"/>
          <w:sz w:val="20"/>
          <w:szCs w:val="20"/>
        </w:rPr>
        <w:t xml:space="preserve"> Article</w:t>
      </w:r>
      <w:r w:rsidRPr="000C0219">
        <w:rPr>
          <w:rFonts w:asciiTheme="majorHAnsi" w:hAnsiTheme="majorHAnsi"/>
          <w:sz w:val="20"/>
          <w:szCs w:val="20"/>
        </w:rPr>
        <w:t xml:space="preserve"> 46.1.b) of the American Convention</w:t>
      </w:r>
      <w:r w:rsidR="001A5AF7" w:rsidRPr="000C0219">
        <w:rPr>
          <w:rFonts w:asciiTheme="majorHAnsi" w:hAnsiTheme="majorHAnsi"/>
          <w:sz w:val="20"/>
          <w:szCs w:val="20"/>
        </w:rPr>
        <w:t>.</w:t>
      </w:r>
    </w:p>
    <w:p w14:paraId="378478A0" w14:textId="2B576929" w:rsidR="00F621C3" w:rsidRPr="000C0219" w:rsidRDefault="004E0D29" w:rsidP="00F621C3">
      <w:pPr>
        <w:pStyle w:val="ListParagraph"/>
        <w:spacing w:before="240" w:after="240"/>
        <w:jc w:val="both"/>
        <w:rPr>
          <w:rFonts w:asciiTheme="majorHAnsi" w:hAnsiTheme="majorHAnsi"/>
          <w:b/>
          <w:sz w:val="20"/>
          <w:szCs w:val="20"/>
        </w:rPr>
      </w:pPr>
      <w:r w:rsidRPr="000C0219">
        <w:rPr>
          <w:rFonts w:asciiTheme="majorHAnsi" w:hAnsiTheme="majorHAnsi"/>
          <w:b/>
          <w:bCs/>
          <w:sz w:val="20"/>
          <w:szCs w:val="20"/>
        </w:rPr>
        <w:t>VIII.</w:t>
      </w:r>
      <w:r w:rsidR="00F621C3" w:rsidRPr="000C0219">
        <w:rPr>
          <w:rFonts w:asciiTheme="majorHAnsi" w:hAnsiTheme="majorHAnsi"/>
          <w:b/>
          <w:bCs/>
          <w:sz w:val="20"/>
          <w:szCs w:val="20"/>
        </w:rPr>
        <w:tab/>
      </w:r>
      <w:r w:rsidR="001F1902" w:rsidRPr="000C0219">
        <w:rPr>
          <w:rFonts w:asciiTheme="majorHAnsi" w:hAnsiTheme="majorHAnsi"/>
          <w:b/>
          <w:bCs/>
          <w:sz w:val="20"/>
          <w:szCs w:val="20"/>
        </w:rPr>
        <w:t xml:space="preserve">ANALYSIS OF </w:t>
      </w:r>
      <w:r w:rsidR="00F621C3" w:rsidRPr="000C0219">
        <w:rPr>
          <w:rFonts w:asciiTheme="majorHAnsi" w:hAnsiTheme="majorHAnsi"/>
          <w:b/>
          <w:bCs/>
          <w:sz w:val="20"/>
          <w:szCs w:val="20"/>
        </w:rPr>
        <w:t>COLORABLE CLAIM</w:t>
      </w:r>
    </w:p>
    <w:p w14:paraId="02D19EDB" w14:textId="77777777" w:rsidR="004E0D29" w:rsidRPr="000C0219" w:rsidRDefault="004E0D29" w:rsidP="004E0D2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0C0219">
        <w:rPr>
          <w:rFonts w:asciiTheme="majorHAnsi" w:hAnsiTheme="majorHAnsi"/>
          <w:sz w:val="20"/>
          <w:szCs w:val="20"/>
        </w:rPr>
        <w:t xml:space="preserve">Based on the legal and factual elements presented by the parties and the nature of the matter brought before it, </w:t>
      </w:r>
      <w:r w:rsidRPr="000C0219">
        <w:rPr>
          <w:rFonts w:asciiTheme="majorHAnsi" w:hAnsiTheme="majorHAnsi"/>
          <w:sz w:val="20"/>
          <w:szCs w:val="20"/>
          <w:bdr w:val="none" w:sz="0" w:space="0" w:color="auto" w:frame="1"/>
        </w:rPr>
        <w:t>the Commission has decided that it will examine the possible violations of</w:t>
      </w:r>
      <w:r w:rsidRPr="000C0219">
        <w:rPr>
          <w:rFonts w:asciiTheme="majorHAnsi" w:hAnsiTheme="majorHAnsi"/>
          <w:sz w:val="20"/>
          <w:szCs w:val="20"/>
        </w:rPr>
        <w:t xml:space="preserve"> Articles 8, 9, 13 and 25 of the ACHR in relation to Article 1.1 and 2 thereof, with respect to </w:t>
      </w:r>
      <w:r w:rsidRPr="000C0219">
        <w:rPr>
          <w:rFonts w:asciiTheme="majorHAnsi" w:hAnsiTheme="majorHAnsi"/>
          <w:bCs/>
          <w:sz w:val="20"/>
          <w:szCs w:val="20"/>
        </w:rPr>
        <w:t xml:space="preserve">Alejandro Fernando Aguilera </w:t>
      </w:r>
      <w:proofErr w:type="spellStart"/>
      <w:r w:rsidRPr="000C0219">
        <w:rPr>
          <w:rFonts w:asciiTheme="majorHAnsi" w:hAnsiTheme="majorHAnsi"/>
          <w:bCs/>
          <w:sz w:val="20"/>
          <w:szCs w:val="20"/>
        </w:rPr>
        <w:t>Mendieta</w:t>
      </w:r>
      <w:proofErr w:type="spellEnd"/>
      <w:r w:rsidRPr="000C0219">
        <w:rPr>
          <w:rFonts w:asciiTheme="majorHAnsi" w:hAnsiTheme="majorHAnsi"/>
          <w:bCs/>
          <w:sz w:val="20"/>
          <w:szCs w:val="20"/>
        </w:rPr>
        <w:t xml:space="preserve">, Miguel </w:t>
      </w:r>
      <w:proofErr w:type="spellStart"/>
      <w:r w:rsidRPr="000C0219">
        <w:rPr>
          <w:rFonts w:asciiTheme="majorHAnsi" w:hAnsiTheme="majorHAnsi"/>
          <w:bCs/>
          <w:sz w:val="20"/>
          <w:szCs w:val="20"/>
        </w:rPr>
        <w:t>Ángel</w:t>
      </w:r>
      <w:proofErr w:type="spellEnd"/>
      <w:r w:rsidRPr="000C0219">
        <w:rPr>
          <w:rFonts w:asciiTheme="majorHAnsi" w:hAnsiTheme="majorHAnsi"/>
          <w:bCs/>
          <w:sz w:val="20"/>
          <w:szCs w:val="20"/>
        </w:rPr>
        <w:t xml:space="preserve"> </w:t>
      </w:r>
      <w:proofErr w:type="spellStart"/>
      <w:r w:rsidRPr="000C0219">
        <w:rPr>
          <w:rFonts w:asciiTheme="majorHAnsi" w:hAnsiTheme="majorHAnsi"/>
          <w:bCs/>
          <w:sz w:val="20"/>
          <w:szCs w:val="20"/>
        </w:rPr>
        <w:t>Diez</w:t>
      </w:r>
      <w:proofErr w:type="spellEnd"/>
      <w:r w:rsidRPr="000C0219">
        <w:rPr>
          <w:rFonts w:asciiTheme="majorHAnsi" w:hAnsiTheme="majorHAnsi"/>
          <w:bCs/>
          <w:sz w:val="20"/>
          <w:szCs w:val="20"/>
        </w:rPr>
        <w:t xml:space="preserve"> García, </w:t>
      </w:r>
      <w:proofErr w:type="spellStart"/>
      <w:r w:rsidRPr="000C0219">
        <w:rPr>
          <w:rFonts w:asciiTheme="majorHAnsi" w:hAnsiTheme="majorHAnsi"/>
          <w:sz w:val="20"/>
          <w:szCs w:val="20"/>
        </w:rPr>
        <w:t>Ángel</w:t>
      </w:r>
      <w:proofErr w:type="spellEnd"/>
      <w:r w:rsidRPr="000C0219">
        <w:rPr>
          <w:rFonts w:asciiTheme="majorHAnsi" w:hAnsiTheme="majorHAnsi"/>
          <w:sz w:val="20"/>
          <w:szCs w:val="20"/>
        </w:rPr>
        <w:t xml:space="preserve"> Israel Crespo Rueda, </w:t>
      </w:r>
      <w:r w:rsidRPr="000C0219">
        <w:rPr>
          <w:rFonts w:asciiTheme="majorHAnsi" w:hAnsiTheme="majorHAnsi"/>
          <w:bCs/>
          <w:sz w:val="20"/>
          <w:szCs w:val="20"/>
        </w:rPr>
        <w:t xml:space="preserve">Miriam Villanueva Chiapas, and Félix José Araujo </w:t>
      </w:r>
      <w:proofErr w:type="spellStart"/>
      <w:r w:rsidRPr="000C0219">
        <w:rPr>
          <w:rFonts w:asciiTheme="majorHAnsi" w:hAnsiTheme="majorHAnsi"/>
          <w:bCs/>
          <w:sz w:val="20"/>
          <w:szCs w:val="20"/>
        </w:rPr>
        <w:t>Ramírez</w:t>
      </w:r>
      <w:proofErr w:type="spellEnd"/>
      <w:r w:rsidRPr="000C0219">
        <w:rPr>
          <w:rFonts w:asciiTheme="majorHAnsi" w:hAnsiTheme="majorHAnsi"/>
          <w:bCs/>
          <w:sz w:val="20"/>
          <w:szCs w:val="20"/>
        </w:rPr>
        <w:t>, at the merits stage.</w:t>
      </w:r>
    </w:p>
    <w:p w14:paraId="70146B96" w14:textId="76A88A72" w:rsidR="00F621C3" w:rsidRPr="000C0219" w:rsidRDefault="004E0D29" w:rsidP="004E0D2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0C0219">
        <w:rPr>
          <w:rFonts w:asciiTheme="majorHAnsi" w:hAnsiTheme="majorHAnsi"/>
          <w:sz w:val="20"/>
          <w:szCs w:val="20"/>
        </w:rPr>
        <w:t>With respect to the petitioners’ allegation related to the violations of Articles IV and XXVI of the American Declaration, the</w:t>
      </w:r>
      <w:r w:rsidRPr="000C0219">
        <w:rPr>
          <w:rFonts w:asciiTheme="majorHAnsi" w:hAnsiTheme="majorHAnsi"/>
          <w:bCs/>
          <w:sz w:val="20"/>
          <w:szCs w:val="20"/>
        </w:rPr>
        <w:t xml:space="preserve"> IACHR finds that the right to freedom of expression and due process are protected in </w:t>
      </w:r>
      <w:r w:rsidRPr="000C0219">
        <w:rPr>
          <w:rFonts w:asciiTheme="majorHAnsi" w:hAnsiTheme="majorHAnsi" w:cs="Tahoma"/>
          <w:sz w:val="20"/>
          <w:szCs w:val="20"/>
        </w:rPr>
        <w:t>Articles 13 and 8 of the American Convention, and therefore it is unnecessary to refer to violations of the American Declaration in this case</w:t>
      </w:r>
      <w:r w:rsidRPr="000C0219">
        <w:rPr>
          <w:rFonts w:asciiTheme="majorHAnsi" w:hAnsiTheme="majorHAnsi"/>
          <w:sz w:val="20"/>
          <w:szCs w:val="20"/>
        </w:rPr>
        <w:t>.</w:t>
      </w:r>
    </w:p>
    <w:p w14:paraId="5A70550C" w14:textId="58F51CBF" w:rsidR="00F621C3" w:rsidRPr="000C0219" w:rsidRDefault="004E0D29" w:rsidP="00F621C3">
      <w:pPr>
        <w:pStyle w:val="ListParagraph"/>
        <w:spacing w:before="240" w:after="240"/>
        <w:jc w:val="both"/>
        <w:rPr>
          <w:rFonts w:asciiTheme="majorHAnsi" w:hAnsiTheme="majorHAnsi"/>
          <w:b/>
          <w:bCs/>
          <w:sz w:val="20"/>
          <w:szCs w:val="20"/>
        </w:rPr>
      </w:pPr>
      <w:r w:rsidRPr="000C0219">
        <w:rPr>
          <w:rFonts w:asciiTheme="majorHAnsi" w:hAnsiTheme="majorHAnsi"/>
          <w:b/>
          <w:bCs/>
          <w:sz w:val="20"/>
          <w:szCs w:val="20"/>
        </w:rPr>
        <w:t>IX</w:t>
      </w:r>
      <w:r w:rsidR="00F621C3" w:rsidRPr="000C0219">
        <w:rPr>
          <w:rFonts w:asciiTheme="majorHAnsi" w:hAnsiTheme="majorHAnsi"/>
          <w:b/>
          <w:bCs/>
          <w:sz w:val="20"/>
          <w:szCs w:val="20"/>
        </w:rPr>
        <w:t xml:space="preserve">. </w:t>
      </w:r>
      <w:r w:rsidR="00F621C3" w:rsidRPr="000C0219">
        <w:rPr>
          <w:rFonts w:asciiTheme="majorHAnsi" w:hAnsiTheme="majorHAnsi"/>
          <w:b/>
          <w:bCs/>
          <w:sz w:val="20"/>
          <w:szCs w:val="20"/>
        </w:rPr>
        <w:tab/>
        <w:t>DECISION</w:t>
      </w:r>
    </w:p>
    <w:p w14:paraId="76C7E6D5" w14:textId="77777777" w:rsidR="004E0D29" w:rsidRPr="000C0219" w:rsidRDefault="004E0D29" w:rsidP="004E0D2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0C0219">
        <w:rPr>
          <w:rFonts w:asciiTheme="majorHAnsi" w:hAnsiTheme="majorHAnsi"/>
          <w:sz w:val="20"/>
          <w:szCs w:val="20"/>
        </w:rPr>
        <w:t xml:space="preserve">To find the instant petition admissible in relation to </w:t>
      </w:r>
      <w:r w:rsidRPr="000C0219">
        <w:rPr>
          <w:rFonts w:asciiTheme="majorHAnsi" w:hAnsiTheme="majorHAnsi"/>
          <w:bCs/>
          <w:sz w:val="20"/>
          <w:szCs w:val="20"/>
        </w:rPr>
        <w:t xml:space="preserve">Alejandro Fernando Aguilera </w:t>
      </w:r>
      <w:proofErr w:type="spellStart"/>
      <w:r w:rsidRPr="000C0219">
        <w:rPr>
          <w:rFonts w:asciiTheme="majorHAnsi" w:hAnsiTheme="majorHAnsi"/>
          <w:bCs/>
          <w:sz w:val="20"/>
          <w:szCs w:val="20"/>
        </w:rPr>
        <w:t>Mendieta</w:t>
      </w:r>
      <w:proofErr w:type="spellEnd"/>
      <w:r w:rsidRPr="000C0219">
        <w:rPr>
          <w:rFonts w:asciiTheme="majorHAnsi" w:hAnsiTheme="majorHAnsi"/>
          <w:bCs/>
          <w:sz w:val="20"/>
          <w:szCs w:val="20"/>
        </w:rPr>
        <w:t xml:space="preserve">, Miguel </w:t>
      </w:r>
      <w:proofErr w:type="spellStart"/>
      <w:r w:rsidRPr="000C0219">
        <w:rPr>
          <w:rFonts w:asciiTheme="majorHAnsi" w:hAnsiTheme="majorHAnsi"/>
          <w:bCs/>
          <w:sz w:val="20"/>
          <w:szCs w:val="20"/>
        </w:rPr>
        <w:t>Ángel</w:t>
      </w:r>
      <w:proofErr w:type="spellEnd"/>
      <w:r w:rsidRPr="000C0219">
        <w:rPr>
          <w:rFonts w:asciiTheme="majorHAnsi" w:hAnsiTheme="majorHAnsi"/>
          <w:bCs/>
          <w:sz w:val="20"/>
          <w:szCs w:val="20"/>
        </w:rPr>
        <w:t xml:space="preserve"> </w:t>
      </w:r>
      <w:proofErr w:type="spellStart"/>
      <w:r w:rsidRPr="000C0219">
        <w:rPr>
          <w:rFonts w:asciiTheme="majorHAnsi" w:hAnsiTheme="majorHAnsi"/>
          <w:bCs/>
          <w:sz w:val="20"/>
          <w:szCs w:val="20"/>
        </w:rPr>
        <w:t>Diez</w:t>
      </w:r>
      <w:proofErr w:type="spellEnd"/>
      <w:r w:rsidRPr="000C0219">
        <w:rPr>
          <w:rFonts w:asciiTheme="majorHAnsi" w:hAnsiTheme="majorHAnsi"/>
          <w:bCs/>
          <w:sz w:val="20"/>
          <w:szCs w:val="20"/>
        </w:rPr>
        <w:t xml:space="preserve"> García, </w:t>
      </w:r>
      <w:proofErr w:type="spellStart"/>
      <w:r w:rsidRPr="000C0219">
        <w:rPr>
          <w:rFonts w:asciiTheme="majorHAnsi" w:hAnsiTheme="majorHAnsi"/>
          <w:sz w:val="20"/>
          <w:szCs w:val="20"/>
        </w:rPr>
        <w:t>Ángel</w:t>
      </w:r>
      <w:proofErr w:type="spellEnd"/>
      <w:r w:rsidRPr="000C0219">
        <w:rPr>
          <w:rFonts w:asciiTheme="majorHAnsi" w:hAnsiTheme="majorHAnsi"/>
          <w:sz w:val="20"/>
          <w:szCs w:val="20"/>
        </w:rPr>
        <w:t xml:space="preserve"> Israel Crespo Rueda</w:t>
      </w:r>
      <w:r w:rsidRPr="000C0219">
        <w:rPr>
          <w:rFonts w:asciiTheme="majorHAnsi" w:hAnsiTheme="majorHAnsi"/>
          <w:bCs/>
          <w:sz w:val="20"/>
          <w:szCs w:val="20"/>
        </w:rPr>
        <w:t xml:space="preserve">, Miriam Villanueva Chiapas, and Félix José Araujo </w:t>
      </w:r>
      <w:proofErr w:type="spellStart"/>
      <w:r w:rsidRPr="000C0219">
        <w:rPr>
          <w:rFonts w:asciiTheme="majorHAnsi" w:hAnsiTheme="majorHAnsi"/>
          <w:bCs/>
          <w:sz w:val="20"/>
          <w:szCs w:val="20"/>
        </w:rPr>
        <w:t>Ramírez</w:t>
      </w:r>
      <w:proofErr w:type="spellEnd"/>
      <w:r w:rsidRPr="000C0219">
        <w:rPr>
          <w:rFonts w:asciiTheme="majorHAnsi" w:hAnsiTheme="majorHAnsi"/>
          <w:sz w:val="20"/>
          <w:szCs w:val="20"/>
        </w:rPr>
        <w:t>;</w:t>
      </w:r>
    </w:p>
    <w:p w14:paraId="6DEF6739" w14:textId="77777777" w:rsidR="004E0D29" w:rsidRPr="000C0219" w:rsidRDefault="004E0D29" w:rsidP="004E0D29">
      <w:pPr>
        <w:pStyle w:val="ListParagraph"/>
        <w:numPr>
          <w:ilvl w:val="0"/>
          <w:numId w:val="105"/>
        </w:numPr>
        <w:jc w:val="both"/>
        <w:rPr>
          <w:rFonts w:asciiTheme="majorHAnsi" w:eastAsia="Arial Unicode MS" w:hAnsiTheme="majorHAnsi" w:cs="Times New Roman"/>
          <w:color w:val="auto"/>
          <w:sz w:val="20"/>
          <w:szCs w:val="20"/>
          <w:lang w:eastAsia="en-US"/>
        </w:rPr>
      </w:pPr>
      <w:r w:rsidRPr="000C0219">
        <w:rPr>
          <w:rFonts w:asciiTheme="majorHAnsi" w:eastAsia="Arial Unicode MS" w:hAnsiTheme="majorHAnsi" w:cs="Times New Roman"/>
          <w:color w:val="auto"/>
          <w:sz w:val="20"/>
          <w:szCs w:val="20"/>
          <w:lang w:eastAsia="en-US"/>
        </w:rPr>
        <w:t xml:space="preserve">To find the instant petition inadmissible in relation to </w:t>
      </w:r>
      <w:r w:rsidRPr="000C0219">
        <w:rPr>
          <w:rFonts w:asciiTheme="majorHAnsi" w:hAnsiTheme="majorHAnsi"/>
          <w:color w:val="auto"/>
          <w:sz w:val="20"/>
          <w:szCs w:val="20"/>
        </w:rPr>
        <w:t xml:space="preserve">Raquel Hidalgo </w:t>
      </w:r>
      <w:proofErr w:type="spellStart"/>
      <w:r w:rsidRPr="000C0219">
        <w:rPr>
          <w:rFonts w:asciiTheme="majorHAnsi" w:hAnsiTheme="majorHAnsi"/>
          <w:color w:val="auto"/>
          <w:sz w:val="20"/>
          <w:szCs w:val="20"/>
        </w:rPr>
        <w:t>Márquez</w:t>
      </w:r>
      <w:proofErr w:type="spellEnd"/>
      <w:r w:rsidRPr="000C0219">
        <w:rPr>
          <w:rFonts w:asciiTheme="majorHAnsi" w:hAnsiTheme="majorHAnsi"/>
          <w:color w:val="auto"/>
          <w:sz w:val="20"/>
          <w:szCs w:val="20"/>
        </w:rPr>
        <w:t xml:space="preserve">, </w:t>
      </w:r>
      <w:proofErr w:type="spellStart"/>
      <w:r w:rsidRPr="000C0219">
        <w:rPr>
          <w:rFonts w:asciiTheme="majorHAnsi" w:hAnsiTheme="majorHAnsi"/>
          <w:i/>
          <w:color w:val="auto"/>
          <w:sz w:val="20"/>
          <w:szCs w:val="20"/>
        </w:rPr>
        <w:t>Ra</w:t>
      </w:r>
      <w:r w:rsidRPr="000C0219">
        <w:rPr>
          <w:rFonts w:asciiTheme="majorHAnsi" w:hAnsiTheme="majorHAnsi"/>
          <w:bCs/>
          <w:i/>
          <w:color w:val="auto"/>
          <w:sz w:val="20"/>
          <w:szCs w:val="20"/>
        </w:rPr>
        <w:t>diotelevisora</w:t>
      </w:r>
      <w:proofErr w:type="spellEnd"/>
      <w:r w:rsidRPr="000C0219">
        <w:rPr>
          <w:rFonts w:asciiTheme="majorHAnsi" w:hAnsiTheme="majorHAnsi"/>
          <w:bCs/>
          <w:i/>
          <w:color w:val="auto"/>
          <w:sz w:val="20"/>
          <w:szCs w:val="20"/>
        </w:rPr>
        <w:t xml:space="preserve"> </w:t>
      </w:r>
      <w:r w:rsidRPr="000C0219">
        <w:rPr>
          <w:rFonts w:asciiTheme="majorHAnsi" w:hAnsiTheme="majorHAnsi"/>
          <w:bCs/>
          <w:i/>
          <w:sz w:val="20"/>
          <w:szCs w:val="20"/>
        </w:rPr>
        <w:t>de México Norte S.A. de C.V.</w:t>
      </w:r>
      <w:r w:rsidRPr="000C0219">
        <w:rPr>
          <w:rFonts w:asciiTheme="majorHAnsi" w:hAnsiTheme="majorHAnsi"/>
          <w:bCs/>
          <w:sz w:val="20"/>
          <w:szCs w:val="20"/>
        </w:rPr>
        <w:t xml:space="preserve">, </w:t>
      </w:r>
      <w:r w:rsidRPr="000C0219">
        <w:rPr>
          <w:rFonts w:asciiTheme="majorHAnsi" w:hAnsiTheme="majorHAnsi"/>
          <w:bCs/>
          <w:i/>
          <w:sz w:val="20"/>
          <w:szCs w:val="20"/>
        </w:rPr>
        <w:t xml:space="preserve">Cadena </w:t>
      </w:r>
      <w:proofErr w:type="spellStart"/>
      <w:r w:rsidRPr="000C0219">
        <w:rPr>
          <w:rFonts w:asciiTheme="majorHAnsi" w:hAnsiTheme="majorHAnsi"/>
          <w:bCs/>
          <w:i/>
          <w:sz w:val="20"/>
          <w:szCs w:val="20"/>
        </w:rPr>
        <w:t>Televisora</w:t>
      </w:r>
      <w:proofErr w:type="spellEnd"/>
      <w:r w:rsidRPr="000C0219">
        <w:rPr>
          <w:rFonts w:asciiTheme="majorHAnsi" w:hAnsiTheme="majorHAnsi"/>
          <w:bCs/>
          <w:i/>
          <w:sz w:val="20"/>
          <w:szCs w:val="20"/>
        </w:rPr>
        <w:t xml:space="preserve"> del Norte S.A. de C.V.</w:t>
      </w:r>
      <w:r w:rsidRPr="000C0219">
        <w:rPr>
          <w:rFonts w:asciiTheme="majorHAnsi" w:hAnsiTheme="majorHAnsi"/>
          <w:bCs/>
          <w:sz w:val="20"/>
          <w:szCs w:val="20"/>
        </w:rPr>
        <w:t xml:space="preserve">, and </w:t>
      </w:r>
      <w:proofErr w:type="spellStart"/>
      <w:r w:rsidRPr="000C0219">
        <w:rPr>
          <w:rFonts w:asciiTheme="majorHAnsi" w:hAnsiTheme="majorHAnsi"/>
          <w:bCs/>
          <w:i/>
          <w:sz w:val="20"/>
          <w:szCs w:val="20"/>
        </w:rPr>
        <w:t>Televimex</w:t>
      </w:r>
      <w:proofErr w:type="spellEnd"/>
      <w:r w:rsidRPr="000C0219">
        <w:rPr>
          <w:rFonts w:asciiTheme="majorHAnsi" w:hAnsiTheme="majorHAnsi"/>
          <w:bCs/>
          <w:i/>
          <w:sz w:val="20"/>
          <w:szCs w:val="20"/>
        </w:rPr>
        <w:t xml:space="preserve"> S.A. de C.V</w:t>
      </w:r>
      <w:r w:rsidRPr="000C0219">
        <w:rPr>
          <w:rFonts w:asciiTheme="majorHAnsi" w:hAnsiTheme="majorHAnsi"/>
          <w:bCs/>
          <w:sz w:val="20"/>
          <w:szCs w:val="20"/>
        </w:rPr>
        <w:t>.</w:t>
      </w:r>
      <w:r w:rsidRPr="000C0219">
        <w:rPr>
          <w:rFonts w:asciiTheme="majorHAnsi" w:eastAsia="Arial Unicode MS" w:hAnsiTheme="majorHAnsi" w:cs="Times New Roman"/>
          <w:color w:val="auto"/>
          <w:sz w:val="20"/>
          <w:szCs w:val="20"/>
          <w:lang w:eastAsia="en-US"/>
        </w:rPr>
        <w:t>;</w:t>
      </w:r>
    </w:p>
    <w:p w14:paraId="1457DAA3" w14:textId="77777777" w:rsidR="004E0D29" w:rsidRPr="000C0219" w:rsidRDefault="004E0D29" w:rsidP="004E0D29">
      <w:pPr>
        <w:pStyle w:val="ListParagraph"/>
        <w:jc w:val="both"/>
        <w:rPr>
          <w:rFonts w:asciiTheme="majorHAnsi" w:eastAsia="Arial Unicode MS" w:hAnsiTheme="majorHAnsi" w:cs="Times New Roman"/>
          <w:color w:val="auto"/>
          <w:sz w:val="20"/>
          <w:szCs w:val="20"/>
          <w:lang w:eastAsia="en-US"/>
        </w:rPr>
      </w:pPr>
    </w:p>
    <w:p w14:paraId="096B6C78" w14:textId="77777777" w:rsidR="004E0D29" w:rsidRPr="000C0219" w:rsidRDefault="004E0D29" w:rsidP="004E0D2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C0219">
        <w:rPr>
          <w:rFonts w:asciiTheme="majorHAnsi" w:hAnsiTheme="majorHAnsi"/>
          <w:sz w:val="20"/>
          <w:szCs w:val="20"/>
        </w:rPr>
        <w:t>To find the instant petition admissible in relation to Articles 8, 9, 13, and 25 of the American Convention in connection with Articles 1.1 and 2 thereof</w:t>
      </w:r>
      <w:r w:rsidRPr="000C0219">
        <w:rPr>
          <w:rFonts w:ascii="Cambria" w:hAnsi="Cambria"/>
          <w:sz w:val="20"/>
          <w:szCs w:val="20"/>
          <w:bdr w:val="none" w:sz="0" w:space="0" w:color="auto" w:frame="1"/>
        </w:rPr>
        <w:t>; and</w:t>
      </w:r>
    </w:p>
    <w:p w14:paraId="404EE6E2" w14:textId="17E808B6" w:rsidR="004E0D29" w:rsidRPr="000C0219" w:rsidRDefault="004E0D29" w:rsidP="00BA474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0C0219">
        <w:rPr>
          <w:rFonts w:asciiTheme="majorHAnsi" w:hAnsiTheme="majorHAnsi"/>
          <w:sz w:val="20"/>
          <w:szCs w:val="20"/>
        </w:rPr>
        <w:t>To notify the parties of this decision;</w:t>
      </w:r>
      <w:r w:rsidR="00BA474D" w:rsidRPr="000C0219">
        <w:rPr>
          <w:rFonts w:asciiTheme="majorHAnsi" w:hAnsiTheme="majorHAnsi"/>
          <w:sz w:val="20"/>
          <w:szCs w:val="20"/>
        </w:rPr>
        <w:t xml:space="preserve"> t</w:t>
      </w:r>
      <w:r w:rsidRPr="000C0219">
        <w:rPr>
          <w:rFonts w:asciiTheme="majorHAnsi" w:hAnsiTheme="majorHAnsi"/>
          <w:sz w:val="20"/>
          <w:szCs w:val="20"/>
        </w:rPr>
        <w:t>o continue with the analysis on the merits; and</w:t>
      </w:r>
      <w:r w:rsidR="00BA474D" w:rsidRPr="000C0219">
        <w:rPr>
          <w:rFonts w:asciiTheme="majorHAnsi" w:hAnsiTheme="majorHAnsi"/>
          <w:sz w:val="20"/>
          <w:szCs w:val="20"/>
        </w:rPr>
        <w:t xml:space="preserve"> t</w:t>
      </w:r>
      <w:r w:rsidRPr="000C0219">
        <w:rPr>
          <w:rFonts w:asciiTheme="majorHAnsi" w:hAnsiTheme="majorHAnsi"/>
          <w:sz w:val="20"/>
          <w:szCs w:val="20"/>
        </w:rPr>
        <w:t>o publish this decision and include it in its Annual Report to the General Assembly of the Organization of American States.</w:t>
      </w:r>
    </w:p>
    <w:p w14:paraId="1C6AA622" w14:textId="17D296CD" w:rsidR="00F621C3" w:rsidRPr="000B6B7A" w:rsidRDefault="00424BBB" w:rsidP="00424BBB">
      <w:pPr>
        <w:pStyle w:val="ListParagraph"/>
        <w:suppressAutoHyphens/>
        <w:spacing w:before="240" w:after="240"/>
        <w:ind w:left="0"/>
        <w:jc w:val="both"/>
        <w:rPr>
          <w:rFonts w:asciiTheme="majorHAnsi" w:hAnsiTheme="majorHAnsi"/>
          <w:sz w:val="20"/>
          <w:szCs w:val="20"/>
        </w:rPr>
      </w:pPr>
      <w:r>
        <w:rPr>
          <w:rFonts w:asciiTheme="majorHAnsi" w:hAnsiTheme="majorHAnsi"/>
          <w:sz w:val="20"/>
          <w:szCs w:val="20"/>
        </w:rPr>
        <w:tab/>
      </w:r>
      <w:r w:rsidRPr="00424BBB">
        <w:rPr>
          <w:rFonts w:asciiTheme="majorHAnsi" w:hAnsiTheme="majorHAnsi"/>
          <w:sz w:val="20"/>
          <w:szCs w:val="20"/>
        </w:rPr>
        <w:t>Done and signed in the cit</w:t>
      </w:r>
      <w:r>
        <w:rPr>
          <w:rFonts w:asciiTheme="majorHAnsi" w:hAnsiTheme="majorHAnsi"/>
          <w:sz w:val="20"/>
          <w:szCs w:val="20"/>
        </w:rPr>
        <w:t>y of Washington, D.C., on the 5</w:t>
      </w:r>
      <w:r w:rsidRPr="00424BBB">
        <w:rPr>
          <w:rFonts w:asciiTheme="majorHAnsi" w:hAnsiTheme="majorHAnsi"/>
          <w:sz w:val="20"/>
          <w:szCs w:val="20"/>
          <w:vertAlign w:val="superscript"/>
        </w:rPr>
        <w:t>th</w:t>
      </w:r>
      <w:r>
        <w:rPr>
          <w:rFonts w:asciiTheme="majorHAnsi" w:hAnsiTheme="majorHAnsi"/>
          <w:sz w:val="20"/>
          <w:szCs w:val="20"/>
        </w:rPr>
        <w:t xml:space="preserve"> </w:t>
      </w:r>
      <w:r w:rsidRPr="00424BBB">
        <w:rPr>
          <w:rFonts w:asciiTheme="majorHAnsi" w:hAnsiTheme="majorHAnsi"/>
          <w:sz w:val="20"/>
          <w:szCs w:val="20"/>
        </w:rPr>
        <w:t xml:space="preserve">day of the month of </w:t>
      </w:r>
      <w:r>
        <w:rPr>
          <w:rFonts w:asciiTheme="majorHAnsi" w:hAnsiTheme="majorHAnsi"/>
          <w:sz w:val="20"/>
          <w:szCs w:val="20"/>
        </w:rPr>
        <w:t>May</w:t>
      </w:r>
      <w:r w:rsidRPr="00424BBB">
        <w:rPr>
          <w:rFonts w:asciiTheme="majorHAnsi" w:hAnsiTheme="majorHAnsi"/>
          <w:sz w:val="20"/>
          <w:szCs w:val="20"/>
        </w:rPr>
        <w:t>, 2018. (Signed):  Margarette May Macaulay, President; Esmeralda E. Arosemena Bernal de Troitiño, First Vice President; Luis Ernesto Vargas Silva, Second Vice President; Francisco José Eguiguren Praeli</w:t>
      </w:r>
      <w:r>
        <w:rPr>
          <w:rFonts w:asciiTheme="majorHAnsi" w:hAnsiTheme="majorHAnsi"/>
          <w:sz w:val="20"/>
          <w:szCs w:val="20"/>
        </w:rPr>
        <w:t xml:space="preserve"> (abstention)</w:t>
      </w:r>
      <w:r w:rsidRPr="00424BBB">
        <w:rPr>
          <w:rFonts w:asciiTheme="majorHAnsi" w:hAnsiTheme="majorHAnsi"/>
          <w:sz w:val="20"/>
          <w:szCs w:val="20"/>
        </w:rPr>
        <w:t>, Antonia Urrejola, and Flávia Piovesan,  Commissioners.</w:t>
      </w:r>
    </w:p>
    <w:p w14:paraId="2122B46A"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771CB" w14:textId="77777777" w:rsidR="00A0786C" w:rsidRDefault="00A0786C" w:rsidP="00036A8A">
      <w:r>
        <w:separator/>
      </w:r>
    </w:p>
  </w:endnote>
  <w:endnote w:type="continuationSeparator" w:id="0">
    <w:p w14:paraId="49EFA201" w14:textId="77777777" w:rsidR="00A0786C" w:rsidRDefault="00A0786C"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B96F2" w14:textId="77777777" w:rsidR="00154E32" w:rsidRDefault="00154E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154E32">
          <w:rPr>
            <w:noProof/>
            <w:sz w:val="16"/>
          </w:rPr>
          <w:t>10</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09D4A" w14:textId="77777777" w:rsidR="00A0786C" w:rsidRPr="00036A8A" w:rsidRDefault="00A0786C"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13A6BD71" w14:textId="77777777" w:rsidR="00A0786C" w:rsidRPr="00036A8A" w:rsidRDefault="00A0786C" w:rsidP="00036A8A">
      <w:pPr>
        <w:rPr>
          <w:rFonts w:asciiTheme="majorHAnsi" w:hAnsiTheme="majorHAnsi"/>
          <w:sz w:val="16"/>
          <w:szCs w:val="16"/>
        </w:rPr>
      </w:pPr>
      <w:r w:rsidRPr="00036A8A">
        <w:rPr>
          <w:rFonts w:asciiTheme="majorHAnsi" w:hAnsiTheme="majorHAnsi"/>
          <w:sz w:val="16"/>
          <w:szCs w:val="16"/>
        </w:rPr>
        <w:separator/>
      </w:r>
    </w:p>
    <w:p w14:paraId="7EBE502B" w14:textId="77777777" w:rsidR="00A0786C" w:rsidRPr="00036A8A" w:rsidRDefault="00A0786C"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08C72A18" w14:textId="77777777" w:rsidR="00A0786C" w:rsidRPr="0093441A" w:rsidRDefault="00A0786C"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48D99CE2" w14:textId="77777777" w:rsidR="004E0D29" w:rsidRPr="000C0219" w:rsidRDefault="004E0D29" w:rsidP="005D22D5">
      <w:pPr>
        <w:pStyle w:val="NoSpacing"/>
        <w:ind w:firstLine="720"/>
        <w:jc w:val="both"/>
        <w:rPr>
          <w:rFonts w:asciiTheme="majorHAnsi" w:hAnsiTheme="majorHAnsi"/>
          <w:sz w:val="16"/>
          <w:szCs w:val="16"/>
        </w:rPr>
      </w:pPr>
      <w:r w:rsidRPr="000C0219">
        <w:rPr>
          <w:rStyle w:val="FootnoteReference"/>
          <w:rFonts w:asciiTheme="majorHAnsi" w:hAnsiTheme="majorHAnsi"/>
          <w:sz w:val="16"/>
          <w:szCs w:val="16"/>
        </w:rPr>
        <w:footnoteRef/>
      </w:r>
      <w:r w:rsidRPr="000C0219">
        <w:rPr>
          <w:rFonts w:asciiTheme="majorHAnsi" w:hAnsiTheme="majorHAnsi"/>
          <w:sz w:val="16"/>
          <w:szCs w:val="16"/>
        </w:rPr>
        <w:t xml:space="preserve"> Miguel </w:t>
      </w:r>
      <w:proofErr w:type="spellStart"/>
      <w:r w:rsidRPr="000C0219">
        <w:rPr>
          <w:rFonts w:asciiTheme="majorHAnsi" w:hAnsiTheme="majorHAnsi"/>
          <w:sz w:val="16"/>
          <w:szCs w:val="16"/>
        </w:rPr>
        <w:t>Ángel</w:t>
      </w:r>
      <w:proofErr w:type="spellEnd"/>
      <w:r w:rsidRPr="000C0219">
        <w:rPr>
          <w:rFonts w:asciiTheme="majorHAnsi" w:hAnsiTheme="majorHAnsi"/>
          <w:sz w:val="16"/>
          <w:szCs w:val="16"/>
        </w:rPr>
        <w:t xml:space="preserve"> </w:t>
      </w:r>
      <w:proofErr w:type="spellStart"/>
      <w:r w:rsidRPr="000C0219">
        <w:rPr>
          <w:rFonts w:asciiTheme="majorHAnsi" w:hAnsiTheme="majorHAnsi"/>
          <w:sz w:val="16"/>
          <w:szCs w:val="16"/>
        </w:rPr>
        <w:t>Diez</w:t>
      </w:r>
      <w:proofErr w:type="spellEnd"/>
      <w:r w:rsidRPr="000C0219">
        <w:rPr>
          <w:rFonts w:asciiTheme="majorHAnsi" w:hAnsiTheme="majorHAnsi"/>
          <w:sz w:val="16"/>
          <w:szCs w:val="16"/>
        </w:rPr>
        <w:t xml:space="preserve"> García, </w:t>
      </w:r>
      <w:proofErr w:type="spellStart"/>
      <w:r w:rsidRPr="000C0219">
        <w:rPr>
          <w:rFonts w:asciiTheme="majorHAnsi" w:hAnsiTheme="majorHAnsi"/>
          <w:sz w:val="16"/>
          <w:szCs w:val="16"/>
        </w:rPr>
        <w:t>Ángel</w:t>
      </w:r>
      <w:proofErr w:type="spellEnd"/>
      <w:r w:rsidRPr="000C0219">
        <w:rPr>
          <w:rFonts w:asciiTheme="majorHAnsi" w:hAnsiTheme="majorHAnsi"/>
          <w:sz w:val="16"/>
          <w:szCs w:val="16"/>
        </w:rPr>
        <w:t xml:space="preserve"> Israel Crespo Rueda, Miriam Villanueva Chiapas, Félix José Araujo </w:t>
      </w:r>
      <w:proofErr w:type="spellStart"/>
      <w:r w:rsidRPr="000C0219">
        <w:rPr>
          <w:rFonts w:asciiTheme="majorHAnsi" w:hAnsiTheme="majorHAnsi"/>
          <w:sz w:val="16"/>
          <w:szCs w:val="16"/>
        </w:rPr>
        <w:t>Ramírez</w:t>
      </w:r>
      <w:proofErr w:type="spellEnd"/>
      <w:r w:rsidRPr="000C0219">
        <w:rPr>
          <w:rFonts w:asciiTheme="majorHAnsi" w:hAnsiTheme="majorHAnsi"/>
          <w:sz w:val="16"/>
          <w:szCs w:val="16"/>
        </w:rPr>
        <w:t xml:space="preserve">, Raquel Hidalgo </w:t>
      </w:r>
      <w:proofErr w:type="spellStart"/>
      <w:r w:rsidRPr="000C0219">
        <w:rPr>
          <w:rFonts w:asciiTheme="majorHAnsi" w:hAnsiTheme="majorHAnsi"/>
          <w:sz w:val="16"/>
          <w:szCs w:val="16"/>
        </w:rPr>
        <w:t>Márquez</w:t>
      </w:r>
      <w:proofErr w:type="spellEnd"/>
      <w:r w:rsidRPr="000C0219">
        <w:rPr>
          <w:rFonts w:asciiTheme="majorHAnsi" w:hAnsiTheme="majorHAnsi"/>
          <w:sz w:val="16"/>
          <w:szCs w:val="16"/>
        </w:rPr>
        <w:t xml:space="preserve">, </w:t>
      </w:r>
      <w:proofErr w:type="spellStart"/>
      <w:r w:rsidRPr="000C0219">
        <w:rPr>
          <w:rFonts w:asciiTheme="majorHAnsi" w:hAnsiTheme="majorHAnsi"/>
          <w:sz w:val="16"/>
          <w:szCs w:val="16"/>
        </w:rPr>
        <w:t>Radiotelevisora</w:t>
      </w:r>
      <w:proofErr w:type="spellEnd"/>
      <w:r w:rsidRPr="000C0219">
        <w:rPr>
          <w:rFonts w:asciiTheme="majorHAnsi" w:hAnsiTheme="majorHAnsi"/>
          <w:sz w:val="16"/>
          <w:szCs w:val="16"/>
        </w:rPr>
        <w:t xml:space="preserve"> de México Norte S.A. de C.V., Cadena </w:t>
      </w:r>
      <w:proofErr w:type="spellStart"/>
      <w:r w:rsidRPr="000C0219">
        <w:rPr>
          <w:rFonts w:asciiTheme="majorHAnsi" w:hAnsiTheme="majorHAnsi"/>
          <w:sz w:val="16"/>
          <w:szCs w:val="16"/>
        </w:rPr>
        <w:t>Televisora</w:t>
      </w:r>
      <w:proofErr w:type="spellEnd"/>
      <w:r w:rsidRPr="000C0219">
        <w:rPr>
          <w:rFonts w:asciiTheme="majorHAnsi" w:hAnsiTheme="majorHAnsi"/>
          <w:sz w:val="16"/>
          <w:szCs w:val="16"/>
        </w:rPr>
        <w:t xml:space="preserve"> del Norte S.A. de C.V., and </w:t>
      </w:r>
      <w:proofErr w:type="spellStart"/>
      <w:r w:rsidRPr="000C0219">
        <w:rPr>
          <w:rFonts w:asciiTheme="majorHAnsi" w:hAnsiTheme="majorHAnsi"/>
          <w:sz w:val="16"/>
          <w:szCs w:val="16"/>
        </w:rPr>
        <w:t>Televimex</w:t>
      </w:r>
      <w:proofErr w:type="spellEnd"/>
      <w:r w:rsidRPr="000C0219">
        <w:rPr>
          <w:rFonts w:asciiTheme="majorHAnsi" w:hAnsiTheme="majorHAnsi"/>
          <w:sz w:val="16"/>
          <w:szCs w:val="16"/>
        </w:rPr>
        <w:t xml:space="preserve"> S.A. de C.V.</w:t>
      </w:r>
    </w:p>
  </w:footnote>
  <w:footnote w:id="3">
    <w:p w14:paraId="09085195" w14:textId="2DDBFCB0" w:rsidR="004E0D29" w:rsidRPr="000C0219" w:rsidRDefault="004E0D29" w:rsidP="005D22D5">
      <w:pPr>
        <w:pStyle w:val="NoSpacing"/>
        <w:ind w:firstLine="720"/>
        <w:jc w:val="both"/>
        <w:rPr>
          <w:rFonts w:asciiTheme="majorHAnsi" w:hAnsiTheme="majorHAnsi"/>
          <w:sz w:val="16"/>
          <w:szCs w:val="16"/>
        </w:rPr>
      </w:pPr>
      <w:r w:rsidRPr="000C0219">
        <w:rPr>
          <w:rStyle w:val="FootnoteReference"/>
          <w:rFonts w:asciiTheme="majorHAnsi" w:hAnsiTheme="majorHAnsi"/>
          <w:sz w:val="16"/>
          <w:szCs w:val="16"/>
        </w:rPr>
        <w:footnoteRef/>
      </w:r>
      <w:r w:rsidRPr="000C0219">
        <w:rPr>
          <w:rFonts w:asciiTheme="majorHAnsi" w:hAnsiTheme="majorHAnsi"/>
          <w:sz w:val="16"/>
          <w:szCs w:val="16"/>
        </w:rPr>
        <w:t xml:space="preserve"> In accordance with Article 17.2.</w:t>
      </w:r>
      <w:proofErr w:type="spellStart"/>
      <w:r w:rsidRPr="000C0219">
        <w:rPr>
          <w:rFonts w:asciiTheme="majorHAnsi" w:hAnsiTheme="majorHAnsi"/>
          <w:sz w:val="16"/>
          <w:szCs w:val="16"/>
        </w:rPr>
        <w:t>a</w:t>
      </w:r>
      <w:proofErr w:type="spellEnd"/>
      <w:r w:rsidRPr="000C0219">
        <w:rPr>
          <w:rFonts w:asciiTheme="majorHAnsi" w:hAnsiTheme="majorHAnsi"/>
          <w:sz w:val="16"/>
          <w:szCs w:val="16"/>
        </w:rPr>
        <w:t xml:space="preserve"> of the Rules of Procedure of the Commission, Commissioner </w:t>
      </w:r>
      <w:r w:rsidR="007E5152" w:rsidRPr="000C0219">
        <w:rPr>
          <w:rFonts w:asciiTheme="majorHAnsi" w:hAnsiTheme="majorHAnsi"/>
          <w:sz w:val="16"/>
          <w:szCs w:val="16"/>
        </w:rPr>
        <w:t>Joel Hernández García</w:t>
      </w:r>
      <w:r w:rsidRPr="000C0219">
        <w:rPr>
          <w:rFonts w:asciiTheme="majorHAnsi" w:hAnsiTheme="majorHAnsi"/>
          <w:sz w:val="16"/>
          <w:szCs w:val="16"/>
        </w:rPr>
        <w:t>, a Mexican national, did not take part in the debate or decision of this matter.</w:t>
      </w:r>
    </w:p>
  </w:footnote>
  <w:footnote w:id="4">
    <w:p w14:paraId="73B0504D" w14:textId="77777777" w:rsidR="004E0D29" w:rsidRPr="000C0219" w:rsidRDefault="004E0D29" w:rsidP="005D22D5">
      <w:pPr>
        <w:pStyle w:val="NoSpacing"/>
        <w:ind w:firstLine="720"/>
        <w:jc w:val="both"/>
        <w:rPr>
          <w:rFonts w:asciiTheme="majorHAnsi" w:hAnsiTheme="majorHAnsi"/>
          <w:sz w:val="16"/>
          <w:szCs w:val="16"/>
        </w:rPr>
      </w:pPr>
      <w:r w:rsidRPr="000C0219">
        <w:rPr>
          <w:rStyle w:val="FootnoteReference"/>
          <w:rFonts w:asciiTheme="majorHAnsi" w:hAnsiTheme="majorHAnsi"/>
          <w:sz w:val="16"/>
          <w:szCs w:val="16"/>
        </w:rPr>
        <w:footnoteRef/>
      </w:r>
      <w:r w:rsidRPr="000C0219">
        <w:rPr>
          <w:rFonts w:asciiTheme="majorHAnsi" w:hAnsiTheme="majorHAnsi"/>
          <w:sz w:val="16"/>
          <w:szCs w:val="16"/>
        </w:rPr>
        <w:t xml:space="preserve"> Hereinafter “ACHR” or “American Convention.” </w:t>
      </w:r>
    </w:p>
  </w:footnote>
  <w:footnote w:id="5">
    <w:p w14:paraId="4E0592AE" w14:textId="46339794" w:rsidR="004E0D29" w:rsidRPr="000C0219" w:rsidRDefault="004E0D29" w:rsidP="005D22D5">
      <w:pPr>
        <w:pStyle w:val="NoSpacing"/>
        <w:ind w:firstLine="720"/>
        <w:jc w:val="both"/>
        <w:rPr>
          <w:rFonts w:asciiTheme="majorHAnsi" w:hAnsiTheme="majorHAnsi"/>
          <w:sz w:val="16"/>
          <w:szCs w:val="16"/>
        </w:rPr>
      </w:pPr>
      <w:r w:rsidRPr="000C0219">
        <w:rPr>
          <w:rStyle w:val="FootnoteReference"/>
          <w:rFonts w:asciiTheme="majorHAnsi" w:hAnsiTheme="majorHAnsi"/>
          <w:sz w:val="16"/>
          <w:szCs w:val="16"/>
        </w:rPr>
        <w:footnoteRef/>
      </w:r>
      <w:r w:rsidR="00EA5823" w:rsidRPr="000C0219">
        <w:rPr>
          <w:rFonts w:asciiTheme="majorHAnsi" w:hAnsiTheme="majorHAnsi"/>
          <w:sz w:val="16"/>
          <w:szCs w:val="16"/>
        </w:rPr>
        <w:t xml:space="preserve"> Hereinafter “American Declaration.”</w:t>
      </w:r>
      <w:r w:rsidRPr="000C0219">
        <w:rPr>
          <w:rFonts w:asciiTheme="majorHAnsi" w:hAnsiTheme="majorHAnsi"/>
          <w:sz w:val="16"/>
          <w:szCs w:val="16"/>
        </w:rPr>
        <w:t xml:space="preserve"> </w:t>
      </w:r>
    </w:p>
  </w:footnote>
  <w:footnote w:id="6">
    <w:p w14:paraId="6F51BDAF" w14:textId="5F4755E7" w:rsidR="00653EA6" w:rsidRPr="000C0219" w:rsidRDefault="00653EA6" w:rsidP="005D22D5">
      <w:pPr>
        <w:pStyle w:val="NoSpacing"/>
        <w:ind w:firstLine="720"/>
        <w:jc w:val="both"/>
        <w:rPr>
          <w:rFonts w:asciiTheme="majorHAnsi" w:hAnsiTheme="majorHAnsi"/>
          <w:sz w:val="16"/>
          <w:szCs w:val="16"/>
        </w:rPr>
      </w:pPr>
      <w:r w:rsidRPr="000C0219">
        <w:rPr>
          <w:rStyle w:val="FootnoteReference"/>
          <w:rFonts w:asciiTheme="majorHAnsi" w:hAnsiTheme="majorHAnsi"/>
          <w:sz w:val="16"/>
          <w:szCs w:val="16"/>
        </w:rPr>
        <w:footnoteRef/>
      </w:r>
      <w:r w:rsidRPr="000C0219">
        <w:rPr>
          <w:rFonts w:asciiTheme="majorHAnsi" w:hAnsiTheme="majorHAnsi"/>
          <w:sz w:val="16"/>
          <w:szCs w:val="16"/>
        </w:rPr>
        <w:t xml:space="preserve"> The observations </w:t>
      </w:r>
      <w:r w:rsidR="00321AFD" w:rsidRPr="000C0219">
        <w:rPr>
          <w:rFonts w:asciiTheme="majorHAnsi" w:hAnsiTheme="majorHAnsi"/>
          <w:sz w:val="16"/>
          <w:szCs w:val="16"/>
        </w:rPr>
        <w:t>submitted</w:t>
      </w:r>
      <w:r w:rsidRPr="000C0219">
        <w:rPr>
          <w:rFonts w:asciiTheme="majorHAnsi" w:hAnsiTheme="majorHAnsi"/>
          <w:sz w:val="16"/>
          <w:szCs w:val="16"/>
        </w:rPr>
        <w:t xml:space="preserve"> by each party were duly transmitted to the opposing party.</w:t>
      </w:r>
    </w:p>
  </w:footnote>
  <w:footnote w:id="7">
    <w:p w14:paraId="0E06D718" w14:textId="21D9C198" w:rsidR="004E0D29" w:rsidRPr="000C0219" w:rsidRDefault="004E0D29" w:rsidP="005D22D5">
      <w:pPr>
        <w:pStyle w:val="NoSpacing"/>
        <w:ind w:firstLine="720"/>
        <w:jc w:val="both"/>
        <w:rPr>
          <w:rFonts w:asciiTheme="majorHAnsi" w:hAnsiTheme="majorHAnsi"/>
          <w:sz w:val="16"/>
          <w:szCs w:val="16"/>
        </w:rPr>
      </w:pPr>
      <w:r w:rsidRPr="000C0219">
        <w:rPr>
          <w:rStyle w:val="FootnoteReference"/>
          <w:rFonts w:asciiTheme="majorHAnsi" w:hAnsiTheme="majorHAnsi"/>
          <w:sz w:val="16"/>
          <w:szCs w:val="16"/>
        </w:rPr>
        <w:footnoteRef/>
      </w:r>
      <w:r w:rsidRPr="000C0219">
        <w:rPr>
          <w:rFonts w:asciiTheme="majorHAnsi" w:hAnsiTheme="majorHAnsi"/>
          <w:sz w:val="16"/>
          <w:szCs w:val="16"/>
        </w:rPr>
        <w:t xml:space="preserve"> Constitution of the United Mexican States, Article 41, Paragraph 2(VI) and Article 99; </w:t>
      </w:r>
      <w:r w:rsidR="00802A5F" w:rsidRPr="000C0219">
        <w:rPr>
          <w:rFonts w:asciiTheme="majorHAnsi" w:hAnsiTheme="majorHAnsi"/>
          <w:sz w:val="16"/>
          <w:szCs w:val="16"/>
        </w:rPr>
        <w:t xml:space="preserve">General Law of the System of Means of </w:t>
      </w:r>
      <w:proofErr w:type="spellStart"/>
      <w:r w:rsidR="00802A5F" w:rsidRPr="000C0219">
        <w:rPr>
          <w:rFonts w:asciiTheme="majorHAnsi" w:hAnsiTheme="majorHAnsi"/>
          <w:sz w:val="16"/>
          <w:szCs w:val="16"/>
        </w:rPr>
        <w:t>Impugnment</w:t>
      </w:r>
      <w:proofErr w:type="spellEnd"/>
      <w:r w:rsidRPr="000C0219">
        <w:rPr>
          <w:rFonts w:asciiTheme="majorHAnsi" w:hAnsiTheme="majorHAnsi"/>
          <w:sz w:val="16"/>
          <w:szCs w:val="16"/>
        </w:rPr>
        <w:t>, Articles 12, 17. 4, 45, and 79.</w:t>
      </w:r>
    </w:p>
  </w:footnote>
  <w:footnote w:id="8">
    <w:p w14:paraId="17DFF445" w14:textId="0D272F95" w:rsidR="004E0D29" w:rsidRPr="000C0219" w:rsidRDefault="004E0D29" w:rsidP="005D22D5">
      <w:pPr>
        <w:pStyle w:val="NoSpacing"/>
        <w:ind w:firstLine="720"/>
        <w:jc w:val="both"/>
        <w:rPr>
          <w:rFonts w:asciiTheme="majorHAnsi" w:hAnsiTheme="majorHAnsi"/>
          <w:sz w:val="16"/>
          <w:szCs w:val="16"/>
          <w:lang w:val="es-ES"/>
        </w:rPr>
      </w:pPr>
      <w:r w:rsidRPr="000C0219">
        <w:rPr>
          <w:rStyle w:val="FootnoteReference"/>
          <w:rFonts w:asciiTheme="majorHAnsi" w:hAnsiTheme="majorHAnsi"/>
          <w:sz w:val="16"/>
          <w:szCs w:val="16"/>
        </w:rPr>
        <w:footnoteRef/>
      </w:r>
      <w:r w:rsidRPr="000C0219">
        <w:rPr>
          <w:rFonts w:asciiTheme="majorHAnsi" w:hAnsiTheme="majorHAnsi"/>
          <w:sz w:val="16"/>
          <w:szCs w:val="16"/>
        </w:rPr>
        <w:t xml:space="preserve"> </w:t>
      </w:r>
      <w:r w:rsidR="00802A5F" w:rsidRPr="000C0219">
        <w:rPr>
          <w:rFonts w:asciiTheme="majorHAnsi" w:hAnsiTheme="majorHAnsi"/>
          <w:sz w:val="16"/>
          <w:szCs w:val="16"/>
        </w:rPr>
        <w:t xml:space="preserve">IACHR. Report No. 72/11, Petition 1164-05, Admissibility, William Gómez Vargas, Costa Rica, March 31, 2011, Para. 32; also </w:t>
      </w:r>
      <w:r w:rsidR="005D22D5" w:rsidRPr="000C0219">
        <w:rPr>
          <w:rStyle w:val="Strong"/>
          <w:rFonts w:asciiTheme="majorHAnsi" w:hAnsiTheme="majorHAnsi"/>
          <w:b w:val="0"/>
          <w:color w:val="000000"/>
          <w:sz w:val="16"/>
          <w:szCs w:val="16"/>
          <w:shd w:val="clear" w:color="auto" w:fill="FFFFFF"/>
        </w:rPr>
        <w:t>I/A Court H.R.,</w:t>
      </w:r>
      <w:r w:rsidR="00802A5F" w:rsidRPr="000C0219">
        <w:rPr>
          <w:rFonts w:asciiTheme="majorHAnsi" w:hAnsiTheme="majorHAnsi"/>
          <w:sz w:val="16"/>
          <w:szCs w:val="16"/>
        </w:rPr>
        <w:t xml:space="preserve"> </w:t>
      </w:r>
      <w:r w:rsidR="00802A5F" w:rsidRPr="000C0219">
        <w:rPr>
          <w:rFonts w:asciiTheme="majorHAnsi" w:hAnsiTheme="majorHAnsi"/>
          <w:i/>
          <w:sz w:val="16"/>
          <w:szCs w:val="16"/>
        </w:rPr>
        <w:t xml:space="preserve">Case </w:t>
      </w:r>
      <w:proofErr w:type="spellStart"/>
      <w:r w:rsidR="00802A5F" w:rsidRPr="000C0219">
        <w:rPr>
          <w:rFonts w:asciiTheme="majorHAnsi" w:hAnsiTheme="majorHAnsi"/>
          <w:i/>
          <w:sz w:val="16"/>
          <w:szCs w:val="16"/>
        </w:rPr>
        <w:t>Granier</w:t>
      </w:r>
      <w:proofErr w:type="spellEnd"/>
      <w:r w:rsidR="00802A5F" w:rsidRPr="000C0219">
        <w:rPr>
          <w:rFonts w:asciiTheme="majorHAnsi" w:hAnsiTheme="majorHAnsi"/>
          <w:i/>
          <w:sz w:val="16"/>
          <w:szCs w:val="16"/>
        </w:rPr>
        <w:t xml:space="preserve"> and others (Radio Caracas Television) v. Venezuela</w:t>
      </w:r>
      <w:r w:rsidR="00802A5F" w:rsidRPr="000C0219">
        <w:rPr>
          <w:rFonts w:asciiTheme="majorHAnsi" w:hAnsiTheme="majorHAnsi"/>
          <w:sz w:val="16"/>
          <w:szCs w:val="16"/>
        </w:rPr>
        <w:t xml:space="preserve">. Preliminary Exceptions, Merits, Reparations and Costs. Judgment of June 22, 2015. Series C, No. 293, Para. 19 and 146; and </w:t>
      </w:r>
      <w:r w:rsidR="005D22D5" w:rsidRPr="000C0219">
        <w:rPr>
          <w:rStyle w:val="Strong"/>
          <w:rFonts w:asciiTheme="majorHAnsi" w:hAnsiTheme="majorHAnsi"/>
          <w:b w:val="0"/>
          <w:color w:val="000000"/>
          <w:sz w:val="16"/>
          <w:szCs w:val="16"/>
          <w:shd w:val="clear" w:color="auto" w:fill="FFFFFF"/>
        </w:rPr>
        <w:t>I/A Court H.R.</w:t>
      </w:r>
      <w:r w:rsidR="00802A5F" w:rsidRPr="000C0219">
        <w:rPr>
          <w:rFonts w:asciiTheme="majorHAnsi" w:hAnsiTheme="majorHAnsi"/>
          <w:b/>
          <w:sz w:val="16"/>
          <w:szCs w:val="16"/>
        </w:rPr>
        <w:t xml:space="preserve">, </w:t>
      </w:r>
      <w:r w:rsidR="00802A5F" w:rsidRPr="000C0219">
        <w:rPr>
          <w:rFonts w:asciiTheme="majorHAnsi" w:hAnsiTheme="majorHAnsi"/>
          <w:sz w:val="16"/>
          <w:szCs w:val="16"/>
        </w:rPr>
        <w:t xml:space="preserve">Advisory Opinion 22/16. Entitlement of legal entities to hold rights under the Inter-American Human Rights System (interpretation and scope of Article 1.2 in relation to articles 1.1, 8, 11.2, 13, 16, 21, 24, 25, 29, 30, 44, 46 and 62.3 of the American Convention on Human Rights, in addition to article 8.1.a and b of the Protocol of San Salvador). </w:t>
      </w:r>
      <w:proofErr w:type="spellStart"/>
      <w:r w:rsidR="00802A5F" w:rsidRPr="000C0219">
        <w:rPr>
          <w:rFonts w:asciiTheme="majorHAnsi" w:hAnsiTheme="majorHAnsi"/>
          <w:sz w:val="16"/>
          <w:szCs w:val="16"/>
          <w:lang w:val="es-ES"/>
        </w:rPr>
        <w:t>February</w:t>
      </w:r>
      <w:proofErr w:type="spellEnd"/>
      <w:r w:rsidR="00802A5F" w:rsidRPr="000C0219">
        <w:rPr>
          <w:rFonts w:asciiTheme="majorHAnsi" w:hAnsiTheme="majorHAnsi"/>
          <w:sz w:val="16"/>
          <w:szCs w:val="16"/>
          <w:lang w:val="es-ES"/>
        </w:rPr>
        <w:t xml:space="preserve"> 22, 2016. Para. 70.</w:t>
      </w:r>
    </w:p>
  </w:footnote>
  <w:footnote w:id="9">
    <w:p w14:paraId="266BB37A" w14:textId="040EC8D4" w:rsidR="007E5152" w:rsidRPr="000C0219" w:rsidRDefault="007E5152" w:rsidP="005D22D5">
      <w:pPr>
        <w:pStyle w:val="NoSpacing"/>
        <w:ind w:firstLine="720"/>
        <w:jc w:val="both"/>
        <w:rPr>
          <w:rFonts w:asciiTheme="majorHAnsi" w:hAnsiTheme="majorHAnsi"/>
          <w:sz w:val="16"/>
          <w:szCs w:val="16"/>
        </w:rPr>
      </w:pPr>
      <w:r w:rsidRPr="000C0219">
        <w:rPr>
          <w:rStyle w:val="FootnoteReference"/>
          <w:rFonts w:asciiTheme="majorHAnsi" w:hAnsiTheme="majorHAnsi"/>
          <w:sz w:val="16"/>
          <w:szCs w:val="16"/>
        </w:rPr>
        <w:footnoteRef/>
      </w:r>
      <w:r w:rsidRPr="000C0219">
        <w:rPr>
          <w:rFonts w:asciiTheme="majorHAnsi" w:hAnsiTheme="majorHAnsi"/>
          <w:sz w:val="16"/>
          <w:szCs w:val="16"/>
        </w:rPr>
        <w:t xml:space="preserve"> </w:t>
      </w:r>
      <w:r w:rsidR="00802A5F" w:rsidRPr="000C0219">
        <w:rPr>
          <w:rFonts w:asciiTheme="majorHAnsi" w:hAnsiTheme="majorHAnsi"/>
          <w:sz w:val="16"/>
          <w:szCs w:val="16"/>
        </w:rPr>
        <w:t>IACHR, Report No,</w:t>
      </w:r>
      <w:r w:rsidRPr="000C0219">
        <w:rPr>
          <w:rFonts w:asciiTheme="majorHAnsi" w:hAnsiTheme="majorHAnsi"/>
          <w:sz w:val="16"/>
          <w:szCs w:val="16"/>
        </w:rPr>
        <w:t xml:space="preserve"> </w:t>
      </w:r>
      <w:r w:rsidR="00802A5F" w:rsidRPr="000C0219">
        <w:rPr>
          <w:rFonts w:asciiTheme="majorHAnsi" w:hAnsiTheme="majorHAnsi" w:cs="Tahoma"/>
          <w:sz w:val="16"/>
          <w:szCs w:val="16"/>
        </w:rPr>
        <w:t>122/10</w:t>
      </w:r>
      <w:r w:rsidRPr="000C0219">
        <w:rPr>
          <w:rFonts w:asciiTheme="majorHAnsi" w:hAnsiTheme="majorHAnsi"/>
          <w:sz w:val="16"/>
          <w:szCs w:val="16"/>
        </w:rPr>
        <w:t xml:space="preserve">, </w:t>
      </w:r>
      <w:r w:rsidR="00802A5F" w:rsidRPr="000C0219">
        <w:rPr>
          <w:rFonts w:asciiTheme="majorHAnsi" w:hAnsiTheme="majorHAnsi" w:cs="Tahoma"/>
          <w:sz w:val="16"/>
          <w:szCs w:val="16"/>
        </w:rPr>
        <w:t>Petition</w:t>
      </w:r>
      <w:r w:rsidRPr="000C0219">
        <w:rPr>
          <w:rFonts w:asciiTheme="majorHAnsi" w:hAnsiTheme="majorHAnsi" w:cs="Tahoma"/>
          <w:sz w:val="16"/>
          <w:szCs w:val="16"/>
        </w:rPr>
        <w:t xml:space="preserve"> 475-00,</w:t>
      </w:r>
      <w:r w:rsidR="00802A5F" w:rsidRPr="000C0219">
        <w:rPr>
          <w:rFonts w:asciiTheme="majorHAnsi" w:hAnsiTheme="majorHAnsi" w:cs="Tahoma"/>
          <w:sz w:val="16"/>
          <w:szCs w:val="16"/>
        </w:rPr>
        <w:t xml:space="preserve"> Admissibility,</w:t>
      </w:r>
      <w:r w:rsidRPr="000C0219">
        <w:rPr>
          <w:rFonts w:asciiTheme="majorHAnsi" w:hAnsiTheme="majorHAnsi" w:cs="Tahoma"/>
          <w:sz w:val="16"/>
          <w:szCs w:val="16"/>
        </w:rPr>
        <w:t xml:space="preserve"> Carlos Arturo Betancourt Estrada </w:t>
      </w:r>
      <w:r w:rsidR="00D05533" w:rsidRPr="000C0219">
        <w:rPr>
          <w:rFonts w:asciiTheme="majorHAnsi" w:hAnsiTheme="majorHAnsi" w:cs="Tahoma"/>
          <w:sz w:val="16"/>
          <w:szCs w:val="16"/>
        </w:rPr>
        <w:t>and others</w:t>
      </w:r>
      <w:r w:rsidRPr="000C0219">
        <w:rPr>
          <w:rFonts w:asciiTheme="majorHAnsi" w:hAnsiTheme="majorHAnsi" w:cs="Tahoma"/>
          <w:sz w:val="16"/>
          <w:szCs w:val="16"/>
        </w:rPr>
        <w:t>, Colombia,</w:t>
      </w:r>
      <w:r w:rsidR="00D05533" w:rsidRPr="000C0219">
        <w:rPr>
          <w:rFonts w:asciiTheme="majorHAnsi" w:hAnsiTheme="majorHAnsi" w:cs="Tahoma"/>
          <w:sz w:val="16"/>
          <w:szCs w:val="16"/>
        </w:rPr>
        <w:t xml:space="preserve"> October</w:t>
      </w:r>
      <w:r w:rsidRPr="000C0219">
        <w:rPr>
          <w:rFonts w:asciiTheme="majorHAnsi" w:hAnsiTheme="majorHAnsi" w:cs="Tahoma"/>
          <w:sz w:val="16"/>
          <w:szCs w:val="16"/>
        </w:rPr>
        <w:t xml:space="preserve"> </w:t>
      </w:r>
      <w:r w:rsidR="00D05533" w:rsidRPr="000C0219">
        <w:rPr>
          <w:rFonts w:asciiTheme="majorHAnsi" w:hAnsiTheme="majorHAnsi" w:cs="Tahoma"/>
          <w:sz w:val="16"/>
          <w:szCs w:val="16"/>
        </w:rPr>
        <w:t>23, 2010</w:t>
      </w:r>
      <w:r w:rsidRPr="000C0219">
        <w:rPr>
          <w:rFonts w:asciiTheme="majorHAnsi" w:hAnsiTheme="majorHAnsi" w:cs="Tahoma"/>
          <w:sz w:val="16"/>
          <w:szCs w:val="16"/>
        </w:rPr>
        <w:t>.</w:t>
      </w:r>
      <w:r w:rsidR="00D05533" w:rsidRPr="000C0219">
        <w:rPr>
          <w:rFonts w:asciiTheme="majorHAnsi" w:hAnsiTheme="majorHAnsi" w:cs="Tahoma"/>
          <w:sz w:val="16"/>
          <w:szCs w:val="16"/>
        </w:rPr>
        <w:t xml:space="preserve"> Para.</w:t>
      </w:r>
      <w:r w:rsidRPr="000C0219">
        <w:rPr>
          <w:rFonts w:asciiTheme="majorHAnsi" w:hAnsiTheme="majorHAnsi" w:cs="Tahoma"/>
          <w:sz w:val="16"/>
          <w:szCs w:val="16"/>
        </w:rPr>
        <w:t xml:space="preserve"> 29</w:t>
      </w:r>
      <w:r w:rsidR="005D22D5" w:rsidRPr="000C0219">
        <w:rPr>
          <w:rFonts w:asciiTheme="majorHAnsi" w:hAnsiTheme="majorHAnsi" w:cs="Tahoma"/>
          <w:sz w:val="16"/>
          <w:szCs w:val="16"/>
        </w:rPr>
        <w:t>.</w:t>
      </w:r>
    </w:p>
  </w:footnote>
  <w:footnote w:id="10">
    <w:p w14:paraId="05AACADE" w14:textId="3902FCD9" w:rsidR="004E0D29" w:rsidRPr="000C0219" w:rsidRDefault="004E0D29" w:rsidP="005D22D5">
      <w:pPr>
        <w:pStyle w:val="NoSpacing"/>
        <w:ind w:firstLine="720"/>
        <w:jc w:val="both"/>
        <w:rPr>
          <w:rFonts w:asciiTheme="majorHAnsi" w:hAnsiTheme="majorHAnsi"/>
          <w:sz w:val="16"/>
          <w:szCs w:val="16"/>
        </w:rPr>
      </w:pPr>
      <w:r w:rsidRPr="000C0219">
        <w:rPr>
          <w:rStyle w:val="FootnoteReference"/>
          <w:rFonts w:asciiTheme="majorHAnsi" w:hAnsiTheme="majorHAnsi"/>
          <w:sz w:val="16"/>
          <w:szCs w:val="16"/>
        </w:rPr>
        <w:footnoteRef/>
      </w:r>
      <w:r w:rsidR="005D22D5" w:rsidRPr="000C0219">
        <w:rPr>
          <w:rStyle w:val="Strong"/>
          <w:rFonts w:asciiTheme="majorHAnsi" w:hAnsiTheme="majorHAnsi"/>
          <w:b w:val="0"/>
          <w:color w:val="000000"/>
          <w:sz w:val="16"/>
          <w:szCs w:val="16"/>
          <w:shd w:val="clear" w:color="auto" w:fill="FFFFFF"/>
        </w:rPr>
        <w:t>I/A Court H.R.,</w:t>
      </w:r>
      <w:r w:rsidR="00D05533" w:rsidRPr="000C0219">
        <w:rPr>
          <w:rFonts w:asciiTheme="majorHAnsi" w:hAnsiTheme="majorHAnsi"/>
          <w:sz w:val="16"/>
          <w:szCs w:val="16"/>
        </w:rPr>
        <w:t xml:space="preserve"> </w:t>
      </w:r>
      <w:r w:rsidR="00D05533" w:rsidRPr="000C0219">
        <w:rPr>
          <w:rFonts w:asciiTheme="majorHAnsi" w:hAnsiTheme="majorHAnsi"/>
          <w:i/>
          <w:sz w:val="16"/>
          <w:szCs w:val="16"/>
        </w:rPr>
        <w:t xml:space="preserve">Case </w:t>
      </w:r>
      <w:proofErr w:type="spellStart"/>
      <w:r w:rsidR="00D05533" w:rsidRPr="000C0219">
        <w:rPr>
          <w:rFonts w:asciiTheme="majorHAnsi" w:hAnsiTheme="majorHAnsi"/>
          <w:i/>
          <w:sz w:val="16"/>
          <w:szCs w:val="16"/>
        </w:rPr>
        <w:t>Granier</w:t>
      </w:r>
      <w:proofErr w:type="spellEnd"/>
      <w:r w:rsidR="00D05533" w:rsidRPr="000C0219">
        <w:rPr>
          <w:rFonts w:asciiTheme="majorHAnsi" w:hAnsiTheme="majorHAnsi"/>
          <w:i/>
          <w:sz w:val="16"/>
          <w:szCs w:val="16"/>
        </w:rPr>
        <w:t xml:space="preserve"> and others (Radio Caracas Television) v. Venezuela</w:t>
      </w:r>
      <w:r w:rsidR="00D05533" w:rsidRPr="000C0219">
        <w:rPr>
          <w:rFonts w:asciiTheme="majorHAnsi" w:hAnsiTheme="majorHAnsi"/>
          <w:sz w:val="16"/>
          <w:szCs w:val="16"/>
        </w:rPr>
        <w:t xml:space="preserve">. Preliminary Exceptions, Merits, Reparations and Costs. Judgment of June 22, 2015. Series C, No. 293, Para. 107 and 146; and </w:t>
      </w:r>
      <w:r w:rsidR="005D22D5" w:rsidRPr="000C0219">
        <w:rPr>
          <w:rStyle w:val="Strong"/>
          <w:rFonts w:asciiTheme="majorHAnsi" w:hAnsiTheme="majorHAnsi"/>
          <w:b w:val="0"/>
          <w:color w:val="000000"/>
          <w:sz w:val="16"/>
          <w:szCs w:val="16"/>
          <w:shd w:val="clear" w:color="auto" w:fill="FFFFFF"/>
        </w:rPr>
        <w:t>I/A Court H.R.,</w:t>
      </w:r>
      <w:r w:rsidR="00D05533" w:rsidRPr="000C0219">
        <w:rPr>
          <w:rFonts w:asciiTheme="majorHAnsi" w:hAnsiTheme="majorHAnsi"/>
          <w:sz w:val="16"/>
          <w:szCs w:val="16"/>
        </w:rPr>
        <w:t xml:space="preserve"> Advisory Opinion 22/16. Entitlement of legal entities to hold rights under the Inter-American Human Rights System (interpretation and scope of Article 1.2 in relation to articles 1.1, 8, 11.2, 13, 16, 21, 24, 25, 29, 30, 44, 46 and 62.3 of the American Convention on Human Rights, in addition to article 8.1.a and b of the Protocol of San Salvador). February 22, 2016. Para. 70. See also IACHR, Report No. 72/11, Petition 1164-05, Admissibility, William Gómez Vargas, Costa Rica, March 31, 2011, Para. 32, and IACHR, Report No. 67/01, Case 11.859, </w:t>
      </w:r>
      <w:proofErr w:type="spellStart"/>
      <w:r w:rsidR="00D05533" w:rsidRPr="000C0219">
        <w:rPr>
          <w:rFonts w:asciiTheme="majorHAnsi" w:hAnsiTheme="majorHAnsi"/>
          <w:iCs/>
          <w:sz w:val="16"/>
          <w:szCs w:val="16"/>
        </w:rPr>
        <w:t>Tomás</w:t>
      </w:r>
      <w:proofErr w:type="spellEnd"/>
      <w:r w:rsidR="00D05533" w:rsidRPr="000C0219">
        <w:rPr>
          <w:rFonts w:asciiTheme="majorHAnsi" w:hAnsiTheme="majorHAnsi"/>
          <w:iCs/>
          <w:sz w:val="16"/>
          <w:szCs w:val="16"/>
        </w:rPr>
        <w:t xml:space="preserve"> Enrique </w:t>
      </w:r>
      <w:proofErr w:type="spellStart"/>
      <w:r w:rsidR="00D05533" w:rsidRPr="000C0219">
        <w:rPr>
          <w:rFonts w:asciiTheme="majorHAnsi" w:hAnsiTheme="majorHAnsi"/>
          <w:iCs/>
          <w:sz w:val="16"/>
          <w:szCs w:val="16"/>
        </w:rPr>
        <w:t>Carvallo</w:t>
      </w:r>
      <w:proofErr w:type="spellEnd"/>
      <w:r w:rsidR="00D05533" w:rsidRPr="000C0219">
        <w:rPr>
          <w:rFonts w:asciiTheme="majorHAnsi" w:hAnsiTheme="majorHAnsi"/>
          <w:iCs/>
          <w:sz w:val="16"/>
          <w:szCs w:val="16"/>
        </w:rPr>
        <w:t xml:space="preserve"> Quintana</w:t>
      </w:r>
      <w:r w:rsidR="00D05533" w:rsidRPr="000C0219">
        <w:rPr>
          <w:rFonts w:asciiTheme="majorHAnsi" w:hAnsiTheme="majorHAnsi"/>
          <w:sz w:val="16"/>
          <w:szCs w:val="16"/>
        </w:rPr>
        <w:t xml:space="preserve">, Argentina, June 14, 2001, Para. 54. </w:t>
      </w:r>
    </w:p>
  </w:footnote>
  <w:footnote w:id="11">
    <w:p w14:paraId="04356B49" w14:textId="7D0DDEE2" w:rsidR="004E0D29" w:rsidRPr="000C0219" w:rsidRDefault="004E0D29" w:rsidP="005D22D5">
      <w:pPr>
        <w:pStyle w:val="NoSpacing"/>
        <w:ind w:firstLine="720"/>
        <w:jc w:val="both"/>
        <w:rPr>
          <w:rFonts w:asciiTheme="majorHAnsi" w:hAnsiTheme="majorHAnsi"/>
          <w:b/>
          <w:sz w:val="16"/>
          <w:szCs w:val="16"/>
        </w:rPr>
      </w:pPr>
      <w:r w:rsidRPr="000C0219">
        <w:rPr>
          <w:rStyle w:val="FootnoteReference"/>
          <w:rFonts w:asciiTheme="majorHAnsi" w:hAnsiTheme="majorHAnsi"/>
          <w:sz w:val="16"/>
          <w:szCs w:val="16"/>
        </w:rPr>
        <w:footnoteRef/>
      </w:r>
      <w:r w:rsidRPr="000C0219">
        <w:rPr>
          <w:rFonts w:asciiTheme="majorHAnsi" w:hAnsiTheme="majorHAnsi"/>
          <w:sz w:val="16"/>
          <w:szCs w:val="16"/>
        </w:rPr>
        <w:t xml:space="preserve"> </w:t>
      </w:r>
      <w:r w:rsidR="005D22D5" w:rsidRPr="000C0219">
        <w:rPr>
          <w:rStyle w:val="Strong"/>
          <w:rFonts w:asciiTheme="majorHAnsi" w:hAnsiTheme="majorHAnsi"/>
          <w:b w:val="0"/>
          <w:color w:val="000000"/>
          <w:sz w:val="16"/>
          <w:szCs w:val="16"/>
          <w:shd w:val="clear" w:color="auto" w:fill="FFFFFF"/>
        </w:rPr>
        <w:t>I/A Court H.R.,</w:t>
      </w:r>
      <w:r w:rsidR="00D05533" w:rsidRPr="000C0219">
        <w:rPr>
          <w:rFonts w:asciiTheme="majorHAnsi" w:hAnsiTheme="majorHAnsi"/>
          <w:sz w:val="16"/>
          <w:szCs w:val="16"/>
        </w:rPr>
        <w:t xml:space="preserve"> </w:t>
      </w:r>
      <w:r w:rsidR="00D05533" w:rsidRPr="000C0219">
        <w:rPr>
          <w:rFonts w:asciiTheme="majorHAnsi" w:hAnsiTheme="majorHAnsi"/>
          <w:i/>
          <w:sz w:val="16"/>
          <w:szCs w:val="16"/>
        </w:rPr>
        <w:t xml:space="preserve">Case </w:t>
      </w:r>
      <w:proofErr w:type="spellStart"/>
      <w:r w:rsidR="00D05533" w:rsidRPr="000C0219">
        <w:rPr>
          <w:rFonts w:asciiTheme="majorHAnsi" w:hAnsiTheme="majorHAnsi"/>
          <w:i/>
          <w:sz w:val="16"/>
          <w:szCs w:val="16"/>
        </w:rPr>
        <w:t>Granier</w:t>
      </w:r>
      <w:proofErr w:type="spellEnd"/>
      <w:r w:rsidR="00D05533" w:rsidRPr="000C0219">
        <w:rPr>
          <w:rFonts w:asciiTheme="majorHAnsi" w:hAnsiTheme="majorHAnsi"/>
          <w:i/>
          <w:sz w:val="16"/>
          <w:szCs w:val="16"/>
        </w:rPr>
        <w:t xml:space="preserve"> and others (Radio Caracas Television) v. Venezuela</w:t>
      </w:r>
      <w:r w:rsidR="00D05533" w:rsidRPr="000C0219">
        <w:rPr>
          <w:rFonts w:asciiTheme="majorHAnsi" w:hAnsiTheme="majorHAnsi"/>
          <w:sz w:val="16"/>
          <w:szCs w:val="16"/>
        </w:rPr>
        <w:t xml:space="preserve">. Preliminary Exceptions, Merits, Reparations and Costs. Judgment of June 22, 2015. Series C, No. 293, Para. 146; </w:t>
      </w:r>
      <w:r w:rsidR="005D22D5" w:rsidRPr="000C0219">
        <w:rPr>
          <w:rStyle w:val="Strong"/>
          <w:rFonts w:asciiTheme="majorHAnsi" w:hAnsiTheme="majorHAnsi"/>
          <w:b w:val="0"/>
          <w:color w:val="000000"/>
          <w:sz w:val="16"/>
          <w:szCs w:val="16"/>
          <w:shd w:val="clear" w:color="auto" w:fill="FFFFFF"/>
        </w:rPr>
        <w:t>I/A Court H.R.,</w:t>
      </w:r>
      <w:r w:rsidR="00D05533" w:rsidRPr="000C0219">
        <w:rPr>
          <w:rFonts w:asciiTheme="majorHAnsi" w:hAnsiTheme="majorHAnsi"/>
          <w:sz w:val="16"/>
          <w:szCs w:val="16"/>
        </w:rPr>
        <w:t xml:space="preserve"> </w:t>
      </w:r>
      <w:r w:rsidR="00D05533" w:rsidRPr="000C0219">
        <w:rPr>
          <w:rFonts w:asciiTheme="majorHAnsi" w:hAnsiTheme="majorHAnsi"/>
          <w:i/>
          <w:sz w:val="16"/>
          <w:szCs w:val="16"/>
        </w:rPr>
        <w:t>Case Cantos v. Argentina</w:t>
      </w:r>
      <w:r w:rsidR="00D05533" w:rsidRPr="000C0219">
        <w:rPr>
          <w:rFonts w:asciiTheme="majorHAnsi" w:hAnsiTheme="majorHAnsi"/>
          <w:sz w:val="16"/>
          <w:szCs w:val="16"/>
        </w:rPr>
        <w:t xml:space="preserve">. Preliminary Exceptions. Judgment of September 7, 2001. Series C, No. 85, Para. 27 and 29; IACHR. </w:t>
      </w:r>
      <w:r w:rsidR="00D05533" w:rsidRPr="000C0219">
        <w:rPr>
          <w:rFonts w:asciiTheme="majorHAnsi" w:hAnsiTheme="majorHAnsi"/>
          <w:i/>
          <w:sz w:val="16"/>
          <w:szCs w:val="16"/>
        </w:rPr>
        <w:t xml:space="preserve">Case </w:t>
      </w:r>
      <w:proofErr w:type="spellStart"/>
      <w:r w:rsidR="00D05533" w:rsidRPr="000C0219">
        <w:rPr>
          <w:rFonts w:asciiTheme="majorHAnsi" w:hAnsiTheme="majorHAnsi"/>
          <w:i/>
          <w:sz w:val="16"/>
          <w:szCs w:val="16"/>
        </w:rPr>
        <w:t>Perozo</w:t>
      </w:r>
      <w:proofErr w:type="spellEnd"/>
      <w:r w:rsidR="00D05533" w:rsidRPr="000C0219">
        <w:rPr>
          <w:rFonts w:asciiTheme="majorHAnsi" w:hAnsiTheme="majorHAnsi"/>
          <w:i/>
          <w:sz w:val="16"/>
          <w:szCs w:val="16"/>
        </w:rPr>
        <w:t xml:space="preserve"> and others v. Venezuela</w:t>
      </w:r>
      <w:r w:rsidR="00D05533" w:rsidRPr="000C0219">
        <w:rPr>
          <w:rFonts w:asciiTheme="majorHAnsi" w:hAnsiTheme="majorHAnsi"/>
          <w:sz w:val="16"/>
          <w:szCs w:val="16"/>
        </w:rPr>
        <w:t xml:space="preserve">. Preliminary Exceptions, Merits, Reparations and Costs. Judgment of January 28, 2009. Series C, No. 195. Para. 399, and </w:t>
      </w:r>
      <w:r w:rsidR="005D22D5" w:rsidRPr="000C0219">
        <w:rPr>
          <w:rStyle w:val="Strong"/>
          <w:rFonts w:asciiTheme="majorHAnsi" w:hAnsiTheme="majorHAnsi"/>
          <w:b w:val="0"/>
          <w:color w:val="000000"/>
          <w:sz w:val="16"/>
          <w:szCs w:val="16"/>
          <w:shd w:val="clear" w:color="auto" w:fill="FFFFFF"/>
        </w:rPr>
        <w:t>I/A Court H.R.,</w:t>
      </w:r>
      <w:r w:rsidR="00D05533" w:rsidRPr="000C0219">
        <w:rPr>
          <w:rFonts w:asciiTheme="majorHAnsi" w:hAnsiTheme="majorHAnsi"/>
          <w:sz w:val="16"/>
          <w:szCs w:val="16"/>
        </w:rPr>
        <w:t xml:space="preserve"> Advisory Opinion 22/16. Entitlement of legal entities to hold rights under the Inter-American Human Rights System (interpretation and scope of Article 1.2, in relation to articles 1.1, 8, 11.2, 13, 16, 21, 24, 25, 29, 30, 44, 46 and 62.3 of the American Convention on Human Rights, in addition to article 8.1.a and b of the Protocol of San Salvador). February 22, 2016. Para. 70. See also IACHR, Report No. 72/11, Petition 1164-05, Admissibility, William Gómez Vargas, Costa Rica, March 31, 2011, Para. 32, and IACHR, Report No. 67/01, Case 11.859, </w:t>
      </w:r>
      <w:proofErr w:type="spellStart"/>
      <w:r w:rsidR="00D05533" w:rsidRPr="000C0219">
        <w:rPr>
          <w:rFonts w:asciiTheme="majorHAnsi" w:hAnsiTheme="majorHAnsi"/>
          <w:iCs/>
          <w:sz w:val="16"/>
          <w:szCs w:val="16"/>
        </w:rPr>
        <w:t>Tomás</w:t>
      </w:r>
      <w:proofErr w:type="spellEnd"/>
      <w:r w:rsidR="00D05533" w:rsidRPr="000C0219">
        <w:rPr>
          <w:rFonts w:asciiTheme="majorHAnsi" w:hAnsiTheme="majorHAnsi"/>
          <w:iCs/>
          <w:sz w:val="16"/>
          <w:szCs w:val="16"/>
        </w:rPr>
        <w:t xml:space="preserve"> Enrique </w:t>
      </w:r>
      <w:proofErr w:type="spellStart"/>
      <w:r w:rsidR="00D05533" w:rsidRPr="000C0219">
        <w:rPr>
          <w:rFonts w:asciiTheme="majorHAnsi" w:hAnsiTheme="majorHAnsi"/>
          <w:iCs/>
          <w:sz w:val="16"/>
          <w:szCs w:val="16"/>
        </w:rPr>
        <w:t>Carvallo</w:t>
      </w:r>
      <w:proofErr w:type="spellEnd"/>
      <w:r w:rsidR="00D05533" w:rsidRPr="000C0219">
        <w:rPr>
          <w:rFonts w:asciiTheme="majorHAnsi" w:hAnsiTheme="majorHAnsi"/>
          <w:iCs/>
          <w:sz w:val="16"/>
          <w:szCs w:val="16"/>
        </w:rPr>
        <w:t xml:space="preserve"> Quintana</w:t>
      </w:r>
      <w:r w:rsidR="00D05533" w:rsidRPr="000C0219">
        <w:rPr>
          <w:rFonts w:asciiTheme="majorHAnsi" w:hAnsiTheme="majorHAnsi"/>
          <w:sz w:val="16"/>
          <w:szCs w:val="16"/>
        </w:rPr>
        <w:t>, Argentina, June 14, 2001, Para. 54, which states that “in principle, shareholders cannot claim to be victims of interference with the rights of a company absent a showing of direct effect on their rights”.</w:t>
      </w:r>
    </w:p>
  </w:footnote>
  <w:footnote w:id="12">
    <w:p w14:paraId="76647AB4" w14:textId="73F39C43" w:rsidR="004E0D29" w:rsidRPr="000C0219" w:rsidRDefault="004E0D29" w:rsidP="005D22D5">
      <w:pPr>
        <w:pStyle w:val="NoSpacing"/>
        <w:ind w:firstLine="720"/>
        <w:jc w:val="both"/>
        <w:rPr>
          <w:rFonts w:asciiTheme="majorHAnsi" w:hAnsiTheme="majorHAnsi"/>
          <w:sz w:val="16"/>
          <w:szCs w:val="16"/>
        </w:rPr>
      </w:pPr>
      <w:r w:rsidRPr="000C0219">
        <w:rPr>
          <w:rStyle w:val="FootnoteReference"/>
          <w:rFonts w:asciiTheme="majorHAnsi" w:hAnsiTheme="majorHAnsi"/>
          <w:sz w:val="16"/>
          <w:szCs w:val="16"/>
        </w:rPr>
        <w:footnoteRef/>
      </w:r>
      <w:r w:rsidRPr="000C0219">
        <w:rPr>
          <w:rFonts w:asciiTheme="majorHAnsi" w:hAnsiTheme="majorHAnsi"/>
          <w:sz w:val="16"/>
          <w:szCs w:val="16"/>
        </w:rPr>
        <w:t xml:space="preserve"> </w:t>
      </w:r>
      <w:r w:rsidR="005D22D5" w:rsidRPr="000C0219">
        <w:rPr>
          <w:rStyle w:val="Strong"/>
          <w:rFonts w:asciiTheme="majorHAnsi" w:hAnsiTheme="majorHAnsi"/>
          <w:b w:val="0"/>
          <w:color w:val="000000"/>
          <w:sz w:val="16"/>
          <w:szCs w:val="16"/>
          <w:shd w:val="clear" w:color="auto" w:fill="FFFFFF"/>
        </w:rPr>
        <w:t>I/A Court H.R.</w:t>
      </w:r>
      <w:proofErr w:type="gramStart"/>
      <w:r w:rsidR="005D22D5" w:rsidRPr="000C0219">
        <w:rPr>
          <w:rStyle w:val="Strong"/>
          <w:rFonts w:asciiTheme="majorHAnsi" w:hAnsiTheme="majorHAnsi"/>
          <w:b w:val="0"/>
          <w:color w:val="000000"/>
          <w:sz w:val="16"/>
          <w:szCs w:val="16"/>
          <w:shd w:val="clear" w:color="auto" w:fill="FFFFFF"/>
        </w:rPr>
        <w:t>,</w:t>
      </w:r>
      <w:r w:rsidR="00D05533" w:rsidRPr="000C0219">
        <w:rPr>
          <w:rFonts w:asciiTheme="majorHAnsi" w:hAnsiTheme="majorHAnsi"/>
          <w:b/>
          <w:sz w:val="16"/>
          <w:szCs w:val="16"/>
        </w:rPr>
        <w:t>,</w:t>
      </w:r>
      <w:proofErr w:type="gramEnd"/>
      <w:r w:rsidR="00D05533" w:rsidRPr="000C0219">
        <w:rPr>
          <w:rFonts w:asciiTheme="majorHAnsi" w:hAnsiTheme="majorHAnsi"/>
          <w:sz w:val="16"/>
          <w:szCs w:val="16"/>
        </w:rPr>
        <w:t xml:space="preserve"> </w:t>
      </w:r>
      <w:r w:rsidR="00D05533" w:rsidRPr="000C0219">
        <w:rPr>
          <w:rFonts w:asciiTheme="majorHAnsi" w:hAnsiTheme="majorHAnsi"/>
          <w:i/>
          <w:sz w:val="16"/>
          <w:szCs w:val="16"/>
        </w:rPr>
        <w:t>Case Cantos v. Argentina.</w:t>
      </w:r>
      <w:r w:rsidR="00D05533" w:rsidRPr="000C0219">
        <w:rPr>
          <w:rFonts w:asciiTheme="majorHAnsi" w:hAnsiTheme="majorHAnsi"/>
          <w:sz w:val="16"/>
          <w:szCs w:val="16"/>
        </w:rPr>
        <w:t xml:space="preserve"> Preliminary Exceptions. Judgment of September 7, 2001. Series C, No. 85, Para. 29; IACHR, Advisory Opinion 22/16. </w:t>
      </w:r>
      <w:proofErr w:type="spellStart"/>
      <w:r w:rsidR="00D05533" w:rsidRPr="000C0219">
        <w:rPr>
          <w:rFonts w:asciiTheme="majorHAnsi" w:hAnsiTheme="majorHAnsi"/>
          <w:sz w:val="16"/>
          <w:szCs w:val="16"/>
        </w:rPr>
        <w:t>Entitltement</w:t>
      </w:r>
      <w:proofErr w:type="spellEnd"/>
      <w:r w:rsidR="00D05533" w:rsidRPr="000C0219">
        <w:rPr>
          <w:rFonts w:asciiTheme="majorHAnsi" w:hAnsiTheme="majorHAnsi"/>
          <w:sz w:val="16"/>
          <w:szCs w:val="16"/>
        </w:rPr>
        <w:t xml:space="preserve"> of legal entities to hold rights under the Inter-American Human Rights System (interpretation and scope of Article 1.2, in relation to articles 1.1, 8, 11.2, 13, 16, 21, 24, 25, 29, 30, 44, 46 and 62.3 of the American Convention on Human Rights, in addition to article 8.1.a and b of the Protocol of San Salvador). February 22, 2016. Para. 111. See also: IACHR. Report No. 72/11, Petition 1164-05, Admissibility, William Gómez Vargas, Costa Rica, March 31, 2011, Para. 32.</w:t>
      </w:r>
    </w:p>
  </w:footnote>
  <w:footnote w:id="13">
    <w:p w14:paraId="07C4471A" w14:textId="33592027" w:rsidR="004E0D29" w:rsidRPr="000C0219" w:rsidRDefault="004E0D29" w:rsidP="005D22D5">
      <w:pPr>
        <w:pStyle w:val="NoSpacing"/>
        <w:ind w:firstLine="720"/>
        <w:jc w:val="both"/>
        <w:rPr>
          <w:rFonts w:asciiTheme="majorHAnsi" w:hAnsiTheme="majorHAnsi"/>
          <w:sz w:val="16"/>
          <w:szCs w:val="16"/>
        </w:rPr>
      </w:pPr>
      <w:r w:rsidRPr="000C0219">
        <w:rPr>
          <w:rStyle w:val="FootnoteReference"/>
          <w:rFonts w:asciiTheme="majorHAnsi" w:hAnsiTheme="majorHAnsi"/>
          <w:sz w:val="16"/>
          <w:szCs w:val="16"/>
        </w:rPr>
        <w:footnoteRef/>
      </w:r>
      <w:r w:rsidRPr="000C0219">
        <w:rPr>
          <w:rFonts w:asciiTheme="majorHAnsi" w:hAnsiTheme="majorHAnsi"/>
          <w:sz w:val="16"/>
          <w:szCs w:val="16"/>
        </w:rPr>
        <w:t xml:space="preserve"> </w:t>
      </w:r>
      <w:r w:rsidR="005D22D5" w:rsidRPr="000C0219">
        <w:rPr>
          <w:rStyle w:val="Strong"/>
          <w:rFonts w:asciiTheme="majorHAnsi" w:hAnsiTheme="majorHAnsi"/>
          <w:b w:val="0"/>
          <w:color w:val="000000"/>
          <w:sz w:val="16"/>
          <w:szCs w:val="16"/>
          <w:shd w:val="clear" w:color="auto" w:fill="FFFFFF"/>
        </w:rPr>
        <w:t>I/A Court H.R.,</w:t>
      </w:r>
      <w:r w:rsidR="00D05533" w:rsidRPr="000C0219">
        <w:rPr>
          <w:rFonts w:asciiTheme="majorHAnsi" w:hAnsiTheme="majorHAnsi"/>
          <w:sz w:val="16"/>
          <w:szCs w:val="16"/>
        </w:rPr>
        <w:t xml:space="preserve"> </w:t>
      </w:r>
      <w:r w:rsidR="00D05533" w:rsidRPr="000C0219">
        <w:rPr>
          <w:rFonts w:asciiTheme="majorHAnsi" w:hAnsiTheme="majorHAnsi"/>
          <w:i/>
          <w:sz w:val="16"/>
          <w:szCs w:val="16"/>
        </w:rPr>
        <w:t xml:space="preserve">Case </w:t>
      </w:r>
      <w:proofErr w:type="spellStart"/>
      <w:r w:rsidR="00D05533" w:rsidRPr="000C0219">
        <w:rPr>
          <w:rFonts w:asciiTheme="majorHAnsi" w:hAnsiTheme="majorHAnsi"/>
          <w:i/>
          <w:sz w:val="16"/>
          <w:szCs w:val="16"/>
        </w:rPr>
        <w:t>Granier</w:t>
      </w:r>
      <w:proofErr w:type="spellEnd"/>
      <w:r w:rsidR="00D05533" w:rsidRPr="000C0219">
        <w:rPr>
          <w:rFonts w:asciiTheme="majorHAnsi" w:hAnsiTheme="majorHAnsi"/>
          <w:i/>
          <w:sz w:val="16"/>
          <w:szCs w:val="16"/>
        </w:rPr>
        <w:t xml:space="preserve"> and others (Radio Caracas Television) v. Venezuela</w:t>
      </w:r>
      <w:r w:rsidR="00D05533" w:rsidRPr="000C0219">
        <w:rPr>
          <w:rFonts w:asciiTheme="majorHAnsi" w:hAnsiTheme="majorHAnsi"/>
          <w:sz w:val="16"/>
          <w:szCs w:val="16"/>
        </w:rPr>
        <w:t xml:space="preserve">. Preliminary Exceptions, Merits, Reparations and Costs. Judgment of June 22, 2015. Series C, No. 293, Para. 107, and </w:t>
      </w:r>
      <w:r w:rsidR="005D22D5" w:rsidRPr="000C0219">
        <w:rPr>
          <w:rStyle w:val="Strong"/>
          <w:rFonts w:asciiTheme="majorHAnsi" w:hAnsiTheme="majorHAnsi"/>
          <w:b w:val="0"/>
          <w:color w:val="000000"/>
          <w:sz w:val="16"/>
          <w:szCs w:val="16"/>
          <w:shd w:val="clear" w:color="auto" w:fill="FFFFFF"/>
        </w:rPr>
        <w:t>I/A Court H.R.,</w:t>
      </w:r>
      <w:r w:rsidR="005D22D5" w:rsidRPr="000C0219">
        <w:rPr>
          <w:rStyle w:val="Strong"/>
          <w:rFonts w:asciiTheme="majorHAnsi" w:hAnsiTheme="majorHAnsi"/>
          <w:color w:val="000000"/>
          <w:sz w:val="16"/>
          <w:szCs w:val="16"/>
          <w:shd w:val="clear" w:color="auto" w:fill="FFFFFF"/>
        </w:rPr>
        <w:t xml:space="preserve"> </w:t>
      </w:r>
      <w:r w:rsidR="00D05533" w:rsidRPr="000C0219">
        <w:rPr>
          <w:rFonts w:asciiTheme="majorHAnsi" w:hAnsiTheme="majorHAnsi"/>
          <w:sz w:val="16"/>
          <w:szCs w:val="16"/>
        </w:rPr>
        <w:t xml:space="preserve">Advisory Opinion 22/16. </w:t>
      </w:r>
      <w:proofErr w:type="spellStart"/>
      <w:r w:rsidR="00D05533" w:rsidRPr="000C0219">
        <w:rPr>
          <w:rFonts w:asciiTheme="majorHAnsi" w:hAnsiTheme="majorHAnsi"/>
          <w:sz w:val="16"/>
          <w:szCs w:val="16"/>
        </w:rPr>
        <w:t>Entitltement</w:t>
      </w:r>
      <w:proofErr w:type="spellEnd"/>
      <w:r w:rsidR="00D05533" w:rsidRPr="000C0219">
        <w:rPr>
          <w:rFonts w:asciiTheme="majorHAnsi" w:hAnsiTheme="majorHAnsi"/>
          <w:sz w:val="16"/>
          <w:szCs w:val="16"/>
        </w:rPr>
        <w:t xml:space="preserve"> of legal entities to hold rights under the Inter-American Human Rights System (interpretation and scope of Article 1.2, in relation to articles 1.1, 8, 11.2, 13, 16, 21, 24, 25, 29, 30, 44, 46 and 62.3 of the American Convention on Human Rights, in addition to article 8.1.a and b of the Protocol of San Salvador). February 22, 2016. Para. 111.</w:t>
      </w:r>
    </w:p>
  </w:footnote>
  <w:footnote w:id="14">
    <w:p w14:paraId="0FE85FBA" w14:textId="77777777" w:rsidR="004E0D29" w:rsidRPr="000C0219" w:rsidRDefault="004E0D29" w:rsidP="005D22D5">
      <w:pPr>
        <w:pStyle w:val="NoSpacing"/>
        <w:ind w:firstLine="720"/>
        <w:jc w:val="both"/>
        <w:rPr>
          <w:rFonts w:asciiTheme="majorHAnsi" w:hAnsiTheme="majorHAnsi"/>
          <w:sz w:val="16"/>
          <w:szCs w:val="16"/>
          <w:lang w:val="es-ES"/>
        </w:rPr>
      </w:pPr>
      <w:r w:rsidRPr="000C0219">
        <w:rPr>
          <w:rStyle w:val="FootnoteReference"/>
          <w:rFonts w:asciiTheme="majorHAnsi" w:hAnsiTheme="majorHAnsi"/>
          <w:sz w:val="16"/>
          <w:szCs w:val="16"/>
        </w:rPr>
        <w:footnoteRef/>
      </w:r>
      <w:r w:rsidRPr="000C0219">
        <w:rPr>
          <w:rFonts w:asciiTheme="majorHAnsi" w:hAnsiTheme="majorHAnsi"/>
          <w:sz w:val="16"/>
          <w:szCs w:val="16"/>
        </w:rPr>
        <w:t xml:space="preserve"> IACHR. Report No. 72/11, Petition 1164-05, Admissibility, William Gómez Vargas, Costa Rica, March 31, 2011, para. </w:t>
      </w:r>
      <w:r w:rsidRPr="000C0219">
        <w:rPr>
          <w:rFonts w:asciiTheme="majorHAnsi" w:hAnsiTheme="majorHAnsi"/>
          <w:sz w:val="16"/>
          <w:szCs w:val="16"/>
          <w:lang w:val="es-ES"/>
        </w:rPr>
        <w:t>32.</w:t>
      </w:r>
    </w:p>
  </w:footnote>
  <w:footnote w:id="15">
    <w:p w14:paraId="60AD2DA6" w14:textId="306E7B7C" w:rsidR="004E0D29" w:rsidRPr="000C0219" w:rsidRDefault="004E0D29" w:rsidP="005D22D5">
      <w:pPr>
        <w:pStyle w:val="NoSpacing"/>
        <w:ind w:firstLine="720"/>
        <w:jc w:val="both"/>
        <w:rPr>
          <w:rFonts w:asciiTheme="majorHAnsi" w:hAnsiTheme="majorHAnsi"/>
          <w:sz w:val="16"/>
          <w:szCs w:val="16"/>
        </w:rPr>
      </w:pPr>
      <w:r w:rsidRPr="000C0219">
        <w:rPr>
          <w:rStyle w:val="FootnoteReference"/>
          <w:rFonts w:asciiTheme="majorHAnsi" w:hAnsiTheme="majorHAnsi"/>
          <w:sz w:val="16"/>
          <w:szCs w:val="16"/>
        </w:rPr>
        <w:footnoteRef/>
      </w:r>
      <w:r w:rsidRPr="000C0219">
        <w:rPr>
          <w:rFonts w:asciiTheme="majorHAnsi" w:hAnsiTheme="majorHAnsi"/>
          <w:sz w:val="16"/>
          <w:szCs w:val="16"/>
        </w:rPr>
        <w:t xml:space="preserve"> </w:t>
      </w:r>
      <w:r w:rsidR="005D22D5" w:rsidRPr="000C0219">
        <w:rPr>
          <w:rStyle w:val="Strong"/>
          <w:rFonts w:asciiTheme="majorHAnsi" w:hAnsiTheme="majorHAnsi"/>
          <w:b w:val="0"/>
          <w:color w:val="000000"/>
          <w:sz w:val="16"/>
          <w:szCs w:val="16"/>
          <w:shd w:val="clear" w:color="auto" w:fill="FFFFFF"/>
        </w:rPr>
        <w:t>I/A Court H.R.,</w:t>
      </w:r>
      <w:r w:rsidR="00D05533" w:rsidRPr="000C0219">
        <w:rPr>
          <w:rFonts w:asciiTheme="majorHAnsi" w:hAnsiTheme="majorHAnsi"/>
          <w:sz w:val="16"/>
          <w:szCs w:val="16"/>
        </w:rPr>
        <w:t xml:space="preserve"> </w:t>
      </w:r>
      <w:r w:rsidR="00D05533" w:rsidRPr="000C0219">
        <w:rPr>
          <w:rFonts w:asciiTheme="majorHAnsi" w:hAnsiTheme="majorHAnsi"/>
          <w:i/>
          <w:sz w:val="16"/>
          <w:szCs w:val="16"/>
        </w:rPr>
        <w:t xml:space="preserve">Case </w:t>
      </w:r>
      <w:proofErr w:type="spellStart"/>
      <w:r w:rsidR="00D05533" w:rsidRPr="000C0219">
        <w:rPr>
          <w:rFonts w:asciiTheme="majorHAnsi" w:hAnsiTheme="majorHAnsi"/>
          <w:i/>
          <w:sz w:val="16"/>
          <w:szCs w:val="16"/>
        </w:rPr>
        <w:t>Granier</w:t>
      </w:r>
      <w:proofErr w:type="spellEnd"/>
      <w:r w:rsidR="00D05533" w:rsidRPr="000C0219">
        <w:rPr>
          <w:rFonts w:asciiTheme="majorHAnsi" w:hAnsiTheme="majorHAnsi"/>
          <w:i/>
          <w:sz w:val="16"/>
          <w:szCs w:val="16"/>
        </w:rPr>
        <w:t xml:space="preserve"> and others (Radio Caracas Television) v. Venezuela</w:t>
      </w:r>
      <w:r w:rsidR="00D05533" w:rsidRPr="000C0219">
        <w:rPr>
          <w:rFonts w:asciiTheme="majorHAnsi" w:hAnsiTheme="majorHAnsi"/>
          <w:sz w:val="16"/>
          <w:szCs w:val="16"/>
        </w:rPr>
        <w:t xml:space="preserve">. Preliminary Exceptions, Merits, Reparations and Costs. Judgment of June 22, 2015. Series C, No. 293, Para. 148; </w:t>
      </w:r>
      <w:r w:rsidR="005D22D5" w:rsidRPr="000C0219">
        <w:rPr>
          <w:rStyle w:val="Strong"/>
          <w:rFonts w:asciiTheme="majorHAnsi" w:hAnsiTheme="majorHAnsi"/>
          <w:b w:val="0"/>
          <w:color w:val="000000"/>
          <w:sz w:val="16"/>
          <w:szCs w:val="16"/>
          <w:shd w:val="clear" w:color="auto" w:fill="FFFFFF"/>
        </w:rPr>
        <w:t>I/A Court H.R.,</w:t>
      </w:r>
      <w:r w:rsidR="00D05533" w:rsidRPr="000C0219">
        <w:rPr>
          <w:rFonts w:asciiTheme="majorHAnsi" w:hAnsiTheme="majorHAnsi"/>
          <w:sz w:val="16"/>
          <w:szCs w:val="16"/>
        </w:rPr>
        <w:t xml:space="preserve"> Advisory Opinion 22/16. </w:t>
      </w:r>
      <w:proofErr w:type="spellStart"/>
      <w:r w:rsidR="00D05533" w:rsidRPr="000C0219">
        <w:rPr>
          <w:rFonts w:asciiTheme="majorHAnsi" w:hAnsiTheme="majorHAnsi"/>
          <w:sz w:val="16"/>
          <w:szCs w:val="16"/>
        </w:rPr>
        <w:t>Entitltement</w:t>
      </w:r>
      <w:proofErr w:type="spellEnd"/>
      <w:r w:rsidR="00D05533" w:rsidRPr="000C0219">
        <w:rPr>
          <w:rFonts w:asciiTheme="majorHAnsi" w:hAnsiTheme="majorHAnsi"/>
          <w:sz w:val="16"/>
          <w:szCs w:val="16"/>
        </w:rPr>
        <w:t xml:space="preserve"> of legal entities to hold rights under the Inter-American Human Rights System (interpretation and scope of Article 1.2, in relation to articles 1.1, 8, 11.2, 13, 16, 21, 24, 25, 29, 30, 44, 46 and 62.3 of the American Convention on Human Rights, in addition to article 8.1.a and b of the Protocol of San Salvador). February 22, 2016. Para. 111. See also: IACHR. Report No. 72/11, Petition 1164-05, Admissibility, William Gómez Vargas, Costa Rica, March 31, 2011, Para. 32; and IACHR. Report No. 112/12, Case 12.828, Merits, Marcel </w:t>
      </w:r>
      <w:proofErr w:type="spellStart"/>
      <w:r w:rsidR="00D05533" w:rsidRPr="000C0219">
        <w:rPr>
          <w:rFonts w:asciiTheme="majorHAnsi" w:hAnsiTheme="majorHAnsi"/>
          <w:sz w:val="16"/>
          <w:szCs w:val="16"/>
        </w:rPr>
        <w:t>Granier</w:t>
      </w:r>
      <w:proofErr w:type="spellEnd"/>
      <w:r w:rsidR="00D05533" w:rsidRPr="000C0219">
        <w:rPr>
          <w:rFonts w:asciiTheme="majorHAnsi" w:hAnsiTheme="majorHAnsi"/>
          <w:sz w:val="16"/>
          <w:szCs w:val="16"/>
        </w:rPr>
        <w:t xml:space="preserve"> and others, Venezuela. Para. 128.</w:t>
      </w:r>
    </w:p>
  </w:footnote>
  <w:footnote w:id="16">
    <w:p w14:paraId="6EBD134B" w14:textId="1698DD39" w:rsidR="004E0D29" w:rsidRPr="000C0219" w:rsidRDefault="004E0D29" w:rsidP="005D22D5">
      <w:pPr>
        <w:pStyle w:val="NoSpacing"/>
        <w:ind w:firstLine="720"/>
        <w:jc w:val="both"/>
        <w:rPr>
          <w:rFonts w:asciiTheme="majorHAnsi" w:hAnsiTheme="majorHAnsi"/>
          <w:sz w:val="16"/>
          <w:szCs w:val="16"/>
        </w:rPr>
      </w:pPr>
      <w:r w:rsidRPr="000C0219">
        <w:rPr>
          <w:rStyle w:val="FootnoteReference"/>
          <w:rFonts w:asciiTheme="majorHAnsi" w:hAnsiTheme="majorHAnsi"/>
          <w:sz w:val="16"/>
          <w:szCs w:val="16"/>
        </w:rPr>
        <w:footnoteRef/>
      </w:r>
      <w:r w:rsidRPr="000C0219">
        <w:rPr>
          <w:rFonts w:asciiTheme="majorHAnsi" w:hAnsiTheme="majorHAnsi"/>
          <w:sz w:val="16"/>
          <w:szCs w:val="16"/>
        </w:rPr>
        <w:t xml:space="preserve"> </w:t>
      </w:r>
      <w:r w:rsidR="00D05533" w:rsidRPr="000C0219">
        <w:rPr>
          <w:rFonts w:asciiTheme="majorHAnsi" w:hAnsiTheme="majorHAnsi"/>
          <w:sz w:val="16"/>
          <w:szCs w:val="16"/>
        </w:rPr>
        <w:t xml:space="preserve">IACHR, Report No. 112/12, Case  12.828, Merits, Marcel </w:t>
      </w:r>
      <w:proofErr w:type="spellStart"/>
      <w:r w:rsidR="00D05533" w:rsidRPr="000C0219">
        <w:rPr>
          <w:rFonts w:asciiTheme="majorHAnsi" w:hAnsiTheme="majorHAnsi"/>
          <w:sz w:val="16"/>
          <w:szCs w:val="16"/>
        </w:rPr>
        <w:t>Granier</w:t>
      </w:r>
      <w:proofErr w:type="spellEnd"/>
      <w:r w:rsidR="00D05533" w:rsidRPr="000C0219">
        <w:rPr>
          <w:rFonts w:asciiTheme="majorHAnsi" w:hAnsiTheme="majorHAnsi"/>
          <w:sz w:val="16"/>
          <w:szCs w:val="16"/>
        </w:rPr>
        <w:t xml:space="preserve"> and others, Venezuela. Para. 128.</w:t>
      </w:r>
    </w:p>
  </w:footnote>
  <w:footnote w:id="17">
    <w:p w14:paraId="669A03DA" w14:textId="53E8F41F" w:rsidR="004E0D29" w:rsidRPr="000C0219" w:rsidRDefault="004E0D29" w:rsidP="005D22D5">
      <w:pPr>
        <w:pStyle w:val="NoSpacing"/>
        <w:ind w:firstLine="720"/>
        <w:jc w:val="both"/>
        <w:rPr>
          <w:rFonts w:asciiTheme="majorHAnsi" w:hAnsiTheme="majorHAnsi"/>
          <w:sz w:val="16"/>
          <w:szCs w:val="16"/>
        </w:rPr>
      </w:pPr>
      <w:r w:rsidRPr="000C0219">
        <w:rPr>
          <w:rStyle w:val="FootnoteReference"/>
          <w:rFonts w:asciiTheme="majorHAnsi" w:hAnsiTheme="majorHAnsi"/>
          <w:sz w:val="16"/>
          <w:szCs w:val="16"/>
        </w:rPr>
        <w:footnoteRef/>
      </w:r>
      <w:r w:rsidRPr="000C0219">
        <w:rPr>
          <w:rFonts w:asciiTheme="majorHAnsi" w:hAnsiTheme="majorHAnsi"/>
          <w:sz w:val="16"/>
          <w:szCs w:val="16"/>
        </w:rPr>
        <w:t xml:space="preserve"> </w:t>
      </w:r>
      <w:r w:rsidR="005D22D5" w:rsidRPr="000C0219">
        <w:rPr>
          <w:rStyle w:val="Strong"/>
          <w:rFonts w:asciiTheme="majorHAnsi" w:hAnsiTheme="majorHAnsi"/>
          <w:b w:val="0"/>
          <w:color w:val="000000"/>
          <w:sz w:val="16"/>
          <w:szCs w:val="16"/>
          <w:shd w:val="clear" w:color="auto" w:fill="FFFFFF"/>
        </w:rPr>
        <w:t>I/A Court H.R.</w:t>
      </w:r>
      <w:r w:rsidR="005D22D5" w:rsidRPr="000C0219">
        <w:rPr>
          <w:rFonts w:asciiTheme="majorHAnsi" w:hAnsiTheme="majorHAnsi"/>
          <w:b/>
          <w:sz w:val="16"/>
          <w:szCs w:val="16"/>
        </w:rPr>
        <w:t>,</w:t>
      </w:r>
      <w:r w:rsidR="00D05533" w:rsidRPr="000C0219">
        <w:rPr>
          <w:rFonts w:asciiTheme="majorHAnsi" w:hAnsiTheme="majorHAnsi"/>
          <w:b/>
          <w:sz w:val="16"/>
          <w:szCs w:val="16"/>
        </w:rPr>
        <w:t xml:space="preserve"> </w:t>
      </w:r>
      <w:r w:rsidR="00D05533" w:rsidRPr="000C0219">
        <w:rPr>
          <w:rFonts w:asciiTheme="majorHAnsi" w:hAnsiTheme="majorHAnsi"/>
          <w:i/>
          <w:sz w:val="16"/>
          <w:szCs w:val="16"/>
        </w:rPr>
        <w:t xml:space="preserve">Case </w:t>
      </w:r>
      <w:proofErr w:type="spellStart"/>
      <w:r w:rsidR="00D05533" w:rsidRPr="000C0219">
        <w:rPr>
          <w:rFonts w:asciiTheme="majorHAnsi" w:hAnsiTheme="majorHAnsi"/>
          <w:i/>
          <w:sz w:val="16"/>
          <w:szCs w:val="16"/>
        </w:rPr>
        <w:t>Granier</w:t>
      </w:r>
      <w:proofErr w:type="spellEnd"/>
      <w:r w:rsidR="00D05533" w:rsidRPr="000C0219">
        <w:rPr>
          <w:rFonts w:asciiTheme="majorHAnsi" w:hAnsiTheme="majorHAnsi"/>
          <w:i/>
          <w:sz w:val="16"/>
          <w:szCs w:val="16"/>
        </w:rPr>
        <w:t xml:space="preserve"> and others (Radio Caracas Television) v. Venezuela</w:t>
      </w:r>
      <w:r w:rsidR="00D05533" w:rsidRPr="000C0219">
        <w:rPr>
          <w:rFonts w:asciiTheme="majorHAnsi" w:hAnsiTheme="majorHAnsi"/>
          <w:sz w:val="16"/>
          <w:szCs w:val="16"/>
        </w:rPr>
        <w:t xml:space="preserve">. Preliminary Exceptions, Merits, Reparations and Costs. Judgment of June 22, 2015. Series C, No. 293, Para. 148; </w:t>
      </w:r>
      <w:r w:rsidR="005D22D5" w:rsidRPr="000C0219">
        <w:rPr>
          <w:rStyle w:val="Strong"/>
          <w:rFonts w:asciiTheme="majorHAnsi" w:hAnsiTheme="majorHAnsi"/>
          <w:b w:val="0"/>
          <w:color w:val="000000"/>
          <w:sz w:val="16"/>
          <w:szCs w:val="16"/>
          <w:shd w:val="clear" w:color="auto" w:fill="FFFFFF"/>
        </w:rPr>
        <w:t>I/A Court H.R.,</w:t>
      </w:r>
      <w:r w:rsidR="00D05533" w:rsidRPr="000C0219">
        <w:rPr>
          <w:rFonts w:asciiTheme="majorHAnsi" w:hAnsiTheme="majorHAnsi"/>
          <w:b/>
          <w:sz w:val="16"/>
          <w:szCs w:val="16"/>
        </w:rPr>
        <w:t xml:space="preserve"> </w:t>
      </w:r>
      <w:r w:rsidR="00D05533" w:rsidRPr="000C0219">
        <w:rPr>
          <w:rFonts w:asciiTheme="majorHAnsi" w:hAnsiTheme="majorHAnsi"/>
          <w:sz w:val="16"/>
          <w:szCs w:val="16"/>
        </w:rPr>
        <w:t xml:space="preserve">Advisory Opinion 22/16. </w:t>
      </w:r>
      <w:proofErr w:type="spellStart"/>
      <w:r w:rsidR="00D05533" w:rsidRPr="000C0219">
        <w:rPr>
          <w:rFonts w:asciiTheme="majorHAnsi" w:hAnsiTheme="majorHAnsi"/>
          <w:sz w:val="16"/>
          <w:szCs w:val="16"/>
        </w:rPr>
        <w:t>Entitltement</w:t>
      </w:r>
      <w:proofErr w:type="spellEnd"/>
      <w:r w:rsidR="00D05533" w:rsidRPr="000C0219">
        <w:rPr>
          <w:rFonts w:asciiTheme="majorHAnsi" w:hAnsiTheme="majorHAnsi"/>
          <w:sz w:val="16"/>
          <w:szCs w:val="16"/>
        </w:rPr>
        <w:t xml:space="preserve"> of legal entities to hold rights under the Inter-American Human Rights System (interpretation and scope of Article 1.2, in relation to articles 1.1, 8, 11.2, 13, 16, 21, 24, 25, 29, 30, 44, 46 and 62.3 of the American Convention on Human Rights, in addition to article 8.1.a and b of the Protocol of San Salvador). February 22, 2016. Para. 111. See also: IACHR. Report No. 72/11, Petition 1164-05, Admissibility, William Gómez Vargas, Costa Rica, March 31, 2011, Para. 32.</w:t>
      </w:r>
    </w:p>
  </w:footnote>
  <w:footnote w:id="18">
    <w:p w14:paraId="3D92B9B5" w14:textId="2AEA2E31" w:rsidR="004E0D29" w:rsidRPr="000C0219" w:rsidRDefault="004E0D29" w:rsidP="005D22D5">
      <w:pPr>
        <w:pStyle w:val="NoSpacing"/>
        <w:ind w:firstLine="720"/>
        <w:jc w:val="both"/>
        <w:rPr>
          <w:rFonts w:asciiTheme="majorHAnsi" w:hAnsiTheme="majorHAnsi"/>
          <w:sz w:val="16"/>
          <w:szCs w:val="16"/>
        </w:rPr>
      </w:pPr>
      <w:r w:rsidRPr="000C0219">
        <w:rPr>
          <w:rStyle w:val="FootnoteReference"/>
          <w:rFonts w:asciiTheme="majorHAnsi" w:hAnsiTheme="majorHAnsi"/>
          <w:sz w:val="16"/>
          <w:szCs w:val="16"/>
        </w:rPr>
        <w:footnoteRef/>
      </w:r>
      <w:r w:rsidRPr="000C0219">
        <w:rPr>
          <w:rFonts w:asciiTheme="majorHAnsi" w:hAnsiTheme="majorHAnsi"/>
          <w:sz w:val="16"/>
          <w:szCs w:val="16"/>
        </w:rPr>
        <w:t xml:space="preserve"> </w:t>
      </w:r>
      <w:r w:rsidR="005D22D5" w:rsidRPr="000C0219">
        <w:rPr>
          <w:rStyle w:val="Strong"/>
          <w:rFonts w:asciiTheme="majorHAnsi" w:hAnsiTheme="majorHAnsi"/>
          <w:b w:val="0"/>
          <w:color w:val="000000"/>
          <w:sz w:val="16"/>
          <w:szCs w:val="16"/>
          <w:shd w:val="clear" w:color="auto" w:fill="FFFFFF"/>
        </w:rPr>
        <w:t>I/A Court H.R.,</w:t>
      </w:r>
      <w:r w:rsidR="00D05533" w:rsidRPr="000C0219">
        <w:rPr>
          <w:rFonts w:asciiTheme="majorHAnsi" w:hAnsiTheme="majorHAnsi"/>
          <w:sz w:val="16"/>
          <w:szCs w:val="16"/>
        </w:rPr>
        <w:t xml:space="preserve"> </w:t>
      </w:r>
      <w:r w:rsidR="00D05533" w:rsidRPr="000C0219">
        <w:rPr>
          <w:rFonts w:asciiTheme="majorHAnsi" w:hAnsiTheme="majorHAnsi"/>
          <w:i/>
          <w:sz w:val="16"/>
          <w:szCs w:val="16"/>
        </w:rPr>
        <w:t xml:space="preserve">Case </w:t>
      </w:r>
      <w:proofErr w:type="spellStart"/>
      <w:r w:rsidR="00D05533" w:rsidRPr="000C0219">
        <w:rPr>
          <w:rFonts w:asciiTheme="majorHAnsi" w:hAnsiTheme="majorHAnsi"/>
          <w:i/>
          <w:sz w:val="16"/>
          <w:szCs w:val="16"/>
        </w:rPr>
        <w:t>Granier</w:t>
      </w:r>
      <w:proofErr w:type="spellEnd"/>
      <w:r w:rsidR="00D05533" w:rsidRPr="000C0219">
        <w:rPr>
          <w:rFonts w:asciiTheme="majorHAnsi" w:hAnsiTheme="majorHAnsi"/>
          <w:i/>
          <w:sz w:val="16"/>
          <w:szCs w:val="16"/>
        </w:rPr>
        <w:t xml:space="preserve"> and others (Radio Caracas Television) v. Venezuela.</w:t>
      </w:r>
      <w:r w:rsidR="00D05533" w:rsidRPr="000C0219">
        <w:rPr>
          <w:rFonts w:asciiTheme="majorHAnsi" w:hAnsiTheme="majorHAnsi"/>
          <w:sz w:val="16"/>
          <w:szCs w:val="16"/>
        </w:rPr>
        <w:t xml:space="preserve"> Preliminary Exceptions, Merits, Reparations and Costs. Judgment of June 22, 2015. Series C, No. 293, Para. 151; and </w:t>
      </w:r>
      <w:r w:rsidR="005D22D5" w:rsidRPr="000C0219">
        <w:rPr>
          <w:rStyle w:val="Strong"/>
          <w:rFonts w:asciiTheme="majorHAnsi" w:hAnsiTheme="majorHAnsi"/>
          <w:b w:val="0"/>
          <w:color w:val="000000"/>
          <w:sz w:val="16"/>
          <w:szCs w:val="16"/>
          <w:shd w:val="clear" w:color="auto" w:fill="FFFFFF"/>
        </w:rPr>
        <w:t>I/A Court H.R.,</w:t>
      </w:r>
      <w:r w:rsidR="00D05533" w:rsidRPr="000C0219">
        <w:rPr>
          <w:rFonts w:asciiTheme="majorHAnsi" w:hAnsiTheme="majorHAnsi"/>
          <w:sz w:val="16"/>
          <w:szCs w:val="16"/>
        </w:rPr>
        <w:t xml:space="preserve"> Advisory Opinion 22/16. </w:t>
      </w:r>
      <w:proofErr w:type="spellStart"/>
      <w:r w:rsidR="00D05533" w:rsidRPr="000C0219">
        <w:rPr>
          <w:rFonts w:asciiTheme="majorHAnsi" w:hAnsiTheme="majorHAnsi"/>
          <w:sz w:val="16"/>
          <w:szCs w:val="16"/>
        </w:rPr>
        <w:t>Entitltement</w:t>
      </w:r>
      <w:proofErr w:type="spellEnd"/>
      <w:r w:rsidR="00D05533" w:rsidRPr="000C0219">
        <w:rPr>
          <w:rFonts w:asciiTheme="majorHAnsi" w:hAnsiTheme="majorHAnsi"/>
          <w:sz w:val="16"/>
          <w:szCs w:val="16"/>
        </w:rPr>
        <w:t xml:space="preserve"> of legal entities to hold rights under the Inter-American Human Rights System (interpretation and scope of Article 1.2, in relation to articles 1.1, 8, 11.2, 13, 16, 21, 24, 25, 29, 30, 44, 46 and 62.3 of the American Convention on Human Rights, in addition to article 8.1.a and b of the Protocol of San Salvador). February 22, 2016. Para. 117.</w:t>
      </w:r>
    </w:p>
  </w:footnote>
  <w:footnote w:id="19">
    <w:p w14:paraId="40EB23BB" w14:textId="543D8642" w:rsidR="004E0D29" w:rsidRPr="000C0219" w:rsidRDefault="004E0D29" w:rsidP="005D22D5">
      <w:pPr>
        <w:pStyle w:val="NoSpacing"/>
        <w:ind w:firstLine="720"/>
        <w:jc w:val="both"/>
        <w:rPr>
          <w:rFonts w:asciiTheme="majorHAnsi" w:hAnsiTheme="majorHAnsi"/>
          <w:sz w:val="16"/>
          <w:szCs w:val="16"/>
        </w:rPr>
      </w:pPr>
      <w:r w:rsidRPr="000C0219">
        <w:rPr>
          <w:rStyle w:val="FootnoteReference"/>
          <w:rFonts w:asciiTheme="majorHAnsi" w:hAnsiTheme="majorHAnsi"/>
          <w:sz w:val="16"/>
          <w:szCs w:val="16"/>
        </w:rPr>
        <w:footnoteRef/>
      </w:r>
      <w:r w:rsidRPr="000C0219">
        <w:rPr>
          <w:rFonts w:asciiTheme="majorHAnsi" w:hAnsiTheme="majorHAnsi"/>
          <w:sz w:val="16"/>
          <w:szCs w:val="16"/>
        </w:rPr>
        <w:t xml:space="preserve"> </w:t>
      </w:r>
      <w:r w:rsidR="00D05533" w:rsidRPr="000C0219">
        <w:rPr>
          <w:rFonts w:asciiTheme="majorHAnsi" w:hAnsiTheme="majorHAnsi"/>
          <w:sz w:val="16"/>
          <w:szCs w:val="16"/>
        </w:rPr>
        <w:t xml:space="preserve">IACHR, Report No. 112/12, Case  12.828, Merits, Marcel </w:t>
      </w:r>
      <w:proofErr w:type="spellStart"/>
      <w:r w:rsidR="00D05533" w:rsidRPr="000C0219">
        <w:rPr>
          <w:rFonts w:asciiTheme="majorHAnsi" w:hAnsiTheme="majorHAnsi"/>
          <w:sz w:val="16"/>
          <w:szCs w:val="16"/>
        </w:rPr>
        <w:t>Granier</w:t>
      </w:r>
      <w:proofErr w:type="spellEnd"/>
      <w:r w:rsidR="00D05533" w:rsidRPr="000C0219">
        <w:rPr>
          <w:rFonts w:asciiTheme="majorHAnsi" w:hAnsiTheme="majorHAnsi"/>
          <w:sz w:val="16"/>
          <w:szCs w:val="16"/>
        </w:rPr>
        <w:t xml:space="preserve"> and others, Venezuela. Para. 128.</w:t>
      </w:r>
    </w:p>
  </w:footnote>
  <w:footnote w:id="20">
    <w:p w14:paraId="17C681A5" w14:textId="74FADAF9" w:rsidR="004E0D29" w:rsidRPr="000C0219" w:rsidRDefault="004E0D29" w:rsidP="005D22D5">
      <w:pPr>
        <w:pStyle w:val="NoSpacing"/>
        <w:ind w:firstLine="720"/>
        <w:jc w:val="both"/>
        <w:rPr>
          <w:rFonts w:asciiTheme="majorHAnsi" w:hAnsiTheme="majorHAnsi"/>
          <w:sz w:val="16"/>
          <w:szCs w:val="16"/>
        </w:rPr>
      </w:pPr>
      <w:r w:rsidRPr="000C0219">
        <w:rPr>
          <w:rStyle w:val="FootnoteReference"/>
          <w:rFonts w:asciiTheme="majorHAnsi" w:hAnsiTheme="majorHAnsi"/>
          <w:sz w:val="16"/>
          <w:szCs w:val="16"/>
        </w:rPr>
        <w:footnoteRef/>
      </w:r>
      <w:r w:rsidRPr="000C0219">
        <w:rPr>
          <w:rFonts w:asciiTheme="majorHAnsi" w:hAnsiTheme="majorHAnsi"/>
          <w:sz w:val="16"/>
          <w:szCs w:val="16"/>
        </w:rPr>
        <w:t xml:space="preserve"> </w:t>
      </w:r>
      <w:r w:rsidR="005D22D5" w:rsidRPr="000C0219">
        <w:rPr>
          <w:rStyle w:val="Strong"/>
          <w:rFonts w:asciiTheme="majorHAnsi" w:hAnsiTheme="majorHAnsi"/>
          <w:b w:val="0"/>
          <w:color w:val="000000"/>
          <w:sz w:val="16"/>
          <w:szCs w:val="16"/>
          <w:shd w:val="clear" w:color="auto" w:fill="FFFFFF"/>
        </w:rPr>
        <w:t>I/A Court H.R.,</w:t>
      </w:r>
      <w:r w:rsidR="00D05533" w:rsidRPr="000C0219">
        <w:rPr>
          <w:rFonts w:asciiTheme="majorHAnsi" w:hAnsiTheme="majorHAnsi"/>
          <w:sz w:val="16"/>
          <w:szCs w:val="16"/>
        </w:rPr>
        <w:t xml:space="preserve"> </w:t>
      </w:r>
      <w:r w:rsidR="00D05533" w:rsidRPr="000C0219">
        <w:rPr>
          <w:rFonts w:asciiTheme="majorHAnsi" w:hAnsiTheme="majorHAnsi"/>
          <w:i/>
          <w:sz w:val="16"/>
          <w:szCs w:val="16"/>
        </w:rPr>
        <w:t xml:space="preserve">Case </w:t>
      </w:r>
      <w:proofErr w:type="spellStart"/>
      <w:r w:rsidR="00D05533" w:rsidRPr="000C0219">
        <w:rPr>
          <w:rFonts w:asciiTheme="majorHAnsi" w:hAnsiTheme="majorHAnsi"/>
          <w:i/>
          <w:sz w:val="16"/>
          <w:szCs w:val="16"/>
        </w:rPr>
        <w:t>Granier</w:t>
      </w:r>
      <w:proofErr w:type="spellEnd"/>
      <w:r w:rsidR="00D05533" w:rsidRPr="000C0219">
        <w:rPr>
          <w:rFonts w:asciiTheme="majorHAnsi" w:hAnsiTheme="majorHAnsi"/>
          <w:i/>
          <w:sz w:val="16"/>
          <w:szCs w:val="16"/>
        </w:rPr>
        <w:t xml:space="preserve"> and others (Radio Caracas Television) v. Venezuela</w:t>
      </w:r>
      <w:r w:rsidR="00D05533" w:rsidRPr="000C0219">
        <w:rPr>
          <w:rFonts w:asciiTheme="majorHAnsi" w:hAnsiTheme="majorHAnsi"/>
          <w:sz w:val="16"/>
          <w:szCs w:val="16"/>
        </w:rPr>
        <w:t>. Preliminary Exceptions, Merits, Reparations and Costs. Judgment of June 22, 2015. Series C, No. 293, Para. 151; and IACHR, Report No. 72/11, Petition 1164-05, Admissibility, William Gómez Vargas, Costa Rica, March 31, 2011, Para. 32.</w:t>
      </w:r>
    </w:p>
  </w:footnote>
  <w:footnote w:id="21">
    <w:p w14:paraId="35686013" w14:textId="56AF861B" w:rsidR="004E0D29" w:rsidRPr="000C0219" w:rsidRDefault="004E0D29" w:rsidP="005D22D5">
      <w:pPr>
        <w:pStyle w:val="NoSpacing"/>
        <w:ind w:firstLine="720"/>
        <w:jc w:val="both"/>
        <w:rPr>
          <w:rFonts w:asciiTheme="majorHAnsi" w:hAnsiTheme="majorHAnsi"/>
          <w:sz w:val="16"/>
          <w:szCs w:val="16"/>
        </w:rPr>
      </w:pPr>
      <w:r w:rsidRPr="000C0219">
        <w:rPr>
          <w:rStyle w:val="FootnoteReference"/>
          <w:rFonts w:asciiTheme="majorHAnsi" w:hAnsiTheme="majorHAnsi"/>
          <w:sz w:val="16"/>
          <w:szCs w:val="16"/>
        </w:rPr>
        <w:footnoteRef/>
      </w:r>
      <w:r w:rsidRPr="000C0219">
        <w:rPr>
          <w:rFonts w:asciiTheme="majorHAnsi" w:hAnsiTheme="majorHAnsi"/>
          <w:sz w:val="16"/>
          <w:szCs w:val="16"/>
        </w:rPr>
        <w:t xml:space="preserve"> </w:t>
      </w:r>
      <w:r w:rsidR="005D22D5" w:rsidRPr="000C0219">
        <w:rPr>
          <w:rStyle w:val="Strong"/>
          <w:rFonts w:asciiTheme="majorHAnsi" w:hAnsiTheme="majorHAnsi"/>
          <w:b w:val="0"/>
          <w:color w:val="000000"/>
          <w:sz w:val="16"/>
          <w:szCs w:val="16"/>
          <w:shd w:val="clear" w:color="auto" w:fill="FFFFFF"/>
        </w:rPr>
        <w:t>I/A Court H.R.,</w:t>
      </w:r>
      <w:r w:rsidR="00D05533" w:rsidRPr="000C0219">
        <w:rPr>
          <w:rFonts w:asciiTheme="majorHAnsi" w:hAnsiTheme="majorHAnsi"/>
          <w:sz w:val="16"/>
          <w:szCs w:val="16"/>
        </w:rPr>
        <w:t xml:space="preserve"> </w:t>
      </w:r>
      <w:r w:rsidR="00D05533" w:rsidRPr="000C0219">
        <w:rPr>
          <w:rFonts w:asciiTheme="majorHAnsi" w:hAnsiTheme="majorHAnsi"/>
          <w:i/>
          <w:sz w:val="16"/>
          <w:szCs w:val="16"/>
        </w:rPr>
        <w:t xml:space="preserve">Case </w:t>
      </w:r>
      <w:proofErr w:type="spellStart"/>
      <w:r w:rsidR="00D05533" w:rsidRPr="000C0219">
        <w:rPr>
          <w:rFonts w:asciiTheme="majorHAnsi" w:hAnsiTheme="majorHAnsi"/>
          <w:i/>
          <w:sz w:val="16"/>
          <w:szCs w:val="16"/>
        </w:rPr>
        <w:t>Granier</w:t>
      </w:r>
      <w:proofErr w:type="spellEnd"/>
      <w:r w:rsidR="00D05533" w:rsidRPr="000C0219">
        <w:rPr>
          <w:rFonts w:asciiTheme="majorHAnsi" w:hAnsiTheme="majorHAnsi"/>
          <w:i/>
          <w:sz w:val="16"/>
          <w:szCs w:val="16"/>
        </w:rPr>
        <w:t xml:space="preserve"> and others (Radio Caracas Television) v. Venezuela</w:t>
      </w:r>
      <w:r w:rsidR="00D05533" w:rsidRPr="000C0219">
        <w:rPr>
          <w:rFonts w:asciiTheme="majorHAnsi" w:hAnsiTheme="majorHAnsi"/>
          <w:sz w:val="16"/>
          <w:szCs w:val="16"/>
        </w:rPr>
        <w:t>. Preliminary Exceptions, Merits, Reparations and Costs. Judgment of June 22, 2015. Series C, No. 293, Para. 22.</w:t>
      </w:r>
    </w:p>
  </w:footnote>
  <w:footnote w:id="22">
    <w:p w14:paraId="3B1291D9" w14:textId="43784505" w:rsidR="00E1064B" w:rsidRPr="000C0219" w:rsidRDefault="00E1064B" w:rsidP="005D22D5">
      <w:pPr>
        <w:pStyle w:val="NoSpacing"/>
        <w:ind w:firstLine="720"/>
        <w:jc w:val="both"/>
        <w:rPr>
          <w:rFonts w:asciiTheme="majorHAnsi" w:hAnsiTheme="majorHAnsi"/>
          <w:sz w:val="16"/>
          <w:szCs w:val="16"/>
        </w:rPr>
      </w:pPr>
      <w:r w:rsidRPr="000C0219">
        <w:rPr>
          <w:rStyle w:val="FootnoteReference"/>
          <w:rFonts w:asciiTheme="majorHAnsi" w:hAnsiTheme="majorHAnsi"/>
          <w:sz w:val="16"/>
          <w:szCs w:val="16"/>
        </w:rPr>
        <w:footnoteRef/>
      </w:r>
      <w:r w:rsidRPr="000C0219">
        <w:rPr>
          <w:rFonts w:asciiTheme="majorHAnsi" w:hAnsiTheme="majorHAnsi"/>
          <w:sz w:val="16"/>
          <w:szCs w:val="16"/>
        </w:rPr>
        <w:t xml:space="preserve"> </w:t>
      </w:r>
      <w:r w:rsidR="00D05533" w:rsidRPr="000C0219">
        <w:rPr>
          <w:rFonts w:asciiTheme="majorHAnsi" w:hAnsiTheme="majorHAnsi"/>
          <w:sz w:val="16"/>
          <w:szCs w:val="16"/>
        </w:rPr>
        <w:t>In this sense, see</w:t>
      </w:r>
      <w:r w:rsidRPr="000C0219">
        <w:rPr>
          <w:rFonts w:asciiTheme="majorHAnsi" w:hAnsiTheme="majorHAnsi"/>
          <w:sz w:val="16"/>
          <w:szCs w:val="16"/>
        </w:rPr>
        <w:t xml:space="preserve"> </w:t>
      </w:r>
      <w:r w:rsidR="00D05533" w:rsidRPr="000C0219">
        <w:rPr>
          <w:rFonts w:asciiTheme="majorHAnsi" w:hAnsiTheme="majorHAnsi"/>
          <w:sz w:val="16"/>
          <w:szCs w:val="16"/>
        </w:rPr>
        <w:t xml:space="preserve">IACHR. Report No. 72/11, Petition 1164-05, Admissibility, William Gómez Vargas, Costa Rica, </w:t>
      </w:r>
      <w:proofErr w:type="gramStart"/>
      <w:r w:rsidR="00D05533" w:rsidRPr="000C0219">
        <w:rPr>
          <w:rFonts w:asciiTheme="majorHAnsi" w:hAnsiTheme="majorHAnsi"/>
          <w:sz w:val="16"/>
          <w:szCs w:val="16"/>
        </w:rPr>
        <w:t>March</w:t>
      </w:r>
      <w:proofErr w:type="gramEnd"/>
      <w:r w:rsidR="00D05533" w:rsidRPr="000C0219">
        <w:rPr>
          <w:rFonts w:asciiTheme="majorHAnsi" w:hAnsiTheme="majorHAnsi"/>
          <w:sz w:val="16"/>
          <w:szCs w:val="16"/>
        </w:rPr>
        <w:t xml:space="preserve"> 31, 2011.</w:t>
      </w:r>
    </w:p>
  </w:footnote>
  <w:footnote w:id="23">
    <w:p w14:paraId="369DE8A3" w14:textId="26B89932" w:rsidR="007E5152" w:rsidRPr="000C0219" w:rsidRDefault="007E5152" w:rsidP="005D22D5">
      <w:pPr>
        <w:pStyle w:val="NoSpacing"/>
        <w:ind w:firstLine="720"/>
        <w:jc w:val="both"/>
        <w:rPr>
          <w:rFonts w:asciiTheme="majorHAnsi" w:hAnsiTheme="majorHAnsi"/>
          <w:sz w:val="16"/>
          <w:szCs w:val="16"/>
        </w:rPr>
      </w:pPr>
      <w:r w:rsidRPr="000C0219">
        <w:rPr>
          <w:rStyle w:val="FootnoteReference"/>
          <w:rFonts w:asciiTheme="majorHAnsi" w:hAnsiTheme="majorHAnsi"/>
          <w:sz w:val="16"/>
          <w:szCs w:val="16"/>
        </w:rPr>
        <w:footnoteRef/>
      </w:r>
      <w:r w:rsidRPr="000C0219">
        <w:rPr>
          <w:rFonts w:asciiTheme="majorHAnsi" w:hAnsiTheme="majorHAnsi"/>
          <w:sz w:val="16"/>
          <w:szCs w:val="16"/>
        </w:rPr>
        <w:t xml:space="preserve"> </w:t>
      </w:r>
      <w:r w:rsidR="005D22D5" w:rsidRPr="000C0219">
        <w:rPr>
          <w:rStyle w:val="Strong"/>
          <w:rFonts w:asciiTheme="majorHAnsi" w:hAnsiTheme="majorHAnsi"/>
          <w:b w:val="0"/>
          <w:color w:val="000000"/>
          <w:sz w:val="16"/>
          <w:szCs w:val="16"/>
          <w:shd w:val="clear" w:color="auto" w:fill="FFFFFF"/>
        </w:rPr>
        <w:t>I/A Court H.R.,</w:t>
      </w:r>
      <w:r w:rsidR="005D22D5" w:rsidRPr="000C0219">
        <w:rPr>
          <w:rFonts w:asciiTheme="majorHAnsi" w:hAnsiTheme="majorHAnsi"/>
          <w:sz w:val="16"/>
          <w:szCs w:val="16"/>
        </w:rPr>
        <w:t xml:space="preserve"> Advisory Opinion 22/16. </w:t>
      </w:r>
      <w:proofErr w:type="spellStart"/>
      <w:r w:rsidR="005D22D5" w:rsidRPr="000C0219">
        <w:rPr>
          <w:rFonts w:asciiTheme="majorHAnsi" w:hAnsiTheme="majorHAnsi"/>
          <w:sz w:val="16"/>
          <w:szCs w:val="16"/>
        </w:rPr>
        <w:t>Entitltement</w:t>
      </w:r>
      <w:proofErr w:type="spellEnd"/>
      <w:r w:rsidR="005D22D5" w:rsidRPr="000C0219">
        <w:rPr>
          <w:rFonts w:asciiTheme="majorHAnsi" w:hAnsiTheme="majorHAnsi"/>
          <w:sz w:val="16"/>
          <w:szCs w:val="16"/>
        </w:rPr>
        <w:t xml:space="preserve"> of legal entities to hold rights under the Inter-American Human Rights System (interpretation and scope of Article 1.2, in relation to articles 1.1, 8, 11.2, 13, 16, 21, 24, 25, 29, 30, 44, 46 and 62.3 of the American Convention on Human Rights, in addition to article 8.1.a and b of the Protocol of San Salvador). February 22, 2016. Para. 134.</w:t>
      </w:r>
    </w:p>
  </w:footnote>
  <w:footnote w:id="24">
    <w:p w14:paraId="43735081" w14:textId="12D9CF69" w:rsidR="004E0D29" w:rsidRPr="000C0219" w:rsidRDefault="004E0D29" w:rsidP="005D22D5">
      <w:pPr>
        <w:pStyle w:val="NoSpacing"/>
        <w:ind w:firstLine="720"/>
        <w:jc w:val="both"/>
        <w:rPr>
          <w:rFonts w:asciiTheme="majorHAnsi" w:hAnsiTheme="majorHAnsi"/>
          <w:sz w:val="16"/>
          <w:szCs w:val="16"/>
        </w:rPr>
      </w:pPr>
      <w:r w:rsidRPr="000C0219">
        <w:rPr>
          <w:rStyle w:val="FootnoteReference"/>
          <w:rFonts w:asciiTheme="majorHAnsi" w:hAnsiTheme="majorHAnsi"/>
          <w:sz w:val="16"/>
          <w:szCs w:val="16"/>
        </w:rPr>
        <w:footnoteRef/>
      </w:r>
      <w:r w:rsidRPr="000C0219">
        <w:rPr>
          <w:rFonts w:asciiTheme="majorHAnsi" w:hAnsiTheme="majorHAnsi"/>
          <w:sz w:val="16"/>
          <w:szCs w:val="16"/>
        </w:rPr>
        <w:t xml:space="preserve"> </w:t>
      </w:r>
      <w:r w:rsidR="005D22D5" w:rsidRPr="000C0219">
        <w:rPr>
          <w:rStyle w:val="Strong"/>
          <w:rFonts w:asciiTheme="majorHAnsi" w:hAnsiTheme="majorHAnsi"/>
          <w:b w:val="0"/>
          <w:color w:val="000000"/>
          <w:sz w:val="16"/>
          <w:szCs w:val="16"/>
          <w:shd w:val="clear" w:color="auto" w:fill="FFFFFF"/>
        </w:rPr>
        <w:t>I/A Court H.R.,</w:t>
      </w:r>
      <w:r w:rsidR="005D22D5" w:rsidRPr="000C0219">
        <w:rPr>
          <w:rFonts w:asciiTheme="majorHAnsi" w:hAnsiTheme="majorHAnsi"/>
          <w:sz w:val="16"/>
          <w:szCs w:val="16"/>
        </w:rPr>
        <w:t xml:space="preserve"> Advisory Opinion 22/16. </w:t>
      </w:r>
      <w:proofErr w:type="spellStart"/>
      <w:r w:rsidR="005D22D5" w:rsidRPr="000C0219">
        <w:rPr>
          <w:rFonts w:asciiTheme="majorHAnsi" w:hAnsiTheme="majorHAnsi"/>
          <w:sz w:val="16"/>
          <w:szCs w:val="16"/>
        </w:rPr>
        <w:t>Entitltement</w:t>
      </w:r>
      <w:proofErr w:type="spellEnd"/>
      <w:r w:rsidR="005D22D5" w:rsidRPr="000C0219">
        <w:rPr>
          <w:rFonts w:asciiTheme="majorHAnsi" w:hAnsiTheme="majorHAnsi"/>
          <w:sz w:val="16"/>
          <w:szCs w:val="16"/>
        </w:rPr>
        <w:t xml:space="preserve"> of legal entities to hold rights under the Inter-American Human Rights System (interpretation and scope of Article 1.2, in relation to articles 1.1, 8, 11.2, 13, 16, 21, 24, 25, 29, 30, 44, 46 and 62.3 of the American Convention on Human Rights, in addition to article 8.1.a and b of the Protocol of San Salvador). February 22, 2016. Para. 136.</w:t>
      </w:r>
    </w:p>
  </w:footnote>
  <w:footnote w:id="25">
    <w:p w14:paraId="3602C8E3" w14:textId="3FC64918" w:rsidR="004035DE" w:rsidRPr="00F8211E" w:rsidRDefault="004035DE" w:rsidP="005D22D5">
      <w:pPr>
        <w:pStyle w:val="NoSpacing"/>
        <w:ind w:firstLine="720"/>
        <w:jc w:val="both"/>
        <w:rPr>
          <w:rFonts w:asciiTheme="majorHAnsi" w:hAnsiTheme="majorHAnsi"/>
          <w:b/>
          <w:sz w:val="16"/>
          <w:szCs w:val="16"/>
        </w:rPr>
      </w:pPr>
      <w:r w:rsidRPr="00F8211E">
        <w:rPr>
          <w:rStyle w:val="FootnoteReference"/>
          <w:rFonts w:asciiTheme="majorHAnsi" w:hAnsiTheme="majorHAnsi"/>
          <w:b/>
          <w:sz w:val="16"/>
          <w:szCs w:val="16"/>
        </w:rPr>
        <w:footnoteRef/>
      </w:r>
      <w:r w:rsidRPr="00F8211E">
        <w:rPr>
          <w:rFonts w:asciiTheme="majorHAnsi" w:hAnsiTheme="majorHAnsi"/>
          <w:b/>
          <w:sz w:val="16"/>
          <w:szCs w:val="16"/>
        </w:rPr>
        <w:t xml:space="preserve"> </w:t>
      </w:r>
      <w:r w:rsidR="000C19A2" w:rsidRPr="00F8211E">
        <w:rPr>
          <w:rFonts w:asciiTheme="majorHAnsi" w:hAnsiTheme="majorHAnsi"/>
          <w:b/>
          <w:sz w:val="16"/>
          <w:szCs w:val="16"/>
        </w:rPr>
        <w:t xml:space="preserve">General Law of the System of Means of </w:t>
      </w:r>
      <w:proofErr w:type="spellStart"/>
      <w:r w:rsidR="000C19A2" w:rsidRPr="00F8211E">
        <w:rPr>
          <w:rFonts w:asciiTheme="majorHAnsi" w:hAnsiTheme="majorHAnsi"/>
          <w:b/>
          <w:sz w:val="16"/>
          <w:szCs w:val="16"/>
        </w:rPr>
        <w:t>Impugnment</w:t>
      </w:r>
      <w:proofErr w:type="spellEnd"/>
      <w:r w:rsidR="000C19A2" w:rsidRPr="00F8211E">
        <w:rPr>
          <w:rFonts w:asciiTheme="majorHAnsi" w:hAnsiTheme="majorHAnsi"/>
          <w:b/>
          <w:sz w:val="16"/>
          <w:szCs w:val="16"/>
        </w:rPr>
        <w:t xml:space="preserve"> in Electoral Matter </w:t>
      </w:r>
      <w:r w:rsidR="00072DF7" w:rsidRPr="00F8211E">
        <w:rPr>
          <w:rFonts w:asciiTheme="majorHAnsi" w:hAnsiTheme="majorHAnsi"/>
          <w:b/>
          <w:sz w:val="16"/>
          <w:szCs w:val="16"/>
        </w:rPr>
        <w:t>[</w:t>
      </w:r>
      <w:r w:rsidRPr="00F8211E">
        <w:rPr>
          <w:rFonts w:asciiTheme="majorHAnsi" w:hAnsiTheme="majorHAnsi"/>
          <w:b/>
          <w:i/>
          <w:sz w:val="16"/>
          <w:szCs w:val="16"/>
        </w:rPr>
        <w:t xml:space="preserve">Ley General </w:t>
      </w:r>
      <w:proofErr w:type="gramStart"/>
      <w:r w:rsidRPr="00F8211E">
        <w:rPr>
          <w:rFonts w:asciiTheme="majorHAnsi" w:hAnsiTheme="majorHAnsi"/>
          <w:b/>
          <w:i/>
          <w:sz w:val="16"/>
          <w:szCs w:val="16"/>
        </w:rPr>
        <w:t>del</w:t>
      </w:r>
      <w:proofErr w:type="gramEnd"/>
      <w:r w:rsidRPr="00F8211E">
        <w:rPr>
          <w:rFonts w:asciiTheme="majorHAnsi" w:hAnsiTheme="majorHAnsi"/>
          <w:b/>
          <w:i/>
          <w:sz w:val="16"/>
          <w:szCs w:val="16"/>
        </w:rPr>
        <w:t xml:space="preserve"> Sistema de </w:t>
      </w:r>
      <w:proofErr w:type="spellStart"/>
      <w:r w:rsidRPr="00F8211E">
        <w:rPr>
          <w:rFonts w:asciiTheme="majorHAnsi" w:hAnsiTheme="majorHAnsi"/>
          <w:b/>
          <w:i/>
          <w:sz w:val="16"/>
          <w:szCs w:val="16"/>
        </w:rPr>
        <w:t>Medios</w:t>
      </w:r>
      <w:proofErr w:type="spellEnd"/>
      <w:r w:rsidRPr="00F8211E">
        <w:rPr>
          <w:rFonts w:asciiTheme="majorHAnsi" w:hAnsiTheme="majorHAnsi"/>
          <w:b/>
          <w:i/>
          <w:sz w:val="16"/>
          <w:szCs w:val="16"/>
        </w:rPr>
        <w:t xml:space="preserve"> de </w:t>
      </w:r>
      <w:proofErr w:type="spellStart"/>
      <w:r w:rsidRPr="00F8211E">
        <w:rPr>
          <w:rFonts w:asciiTheme="majorHAnsi" w:hAnsiTheme="majorHAnsi"/>
          <w:b/>
          <w:i/>
          <w:sz w:val="16"/>
          <w:szCs w:val="16"/>
        </w:rPr>
        <w:t>Impugnación</w:t>
      </w:r>
      <w:proofErr w:type="spellEnd"/>
      <w:r w:rsidRPr="00F8211E">
        <w:rPr>
          <w:rFonts w:asciiTheme="majorHAnsi" w:hAnsiTheme="majorHAnsi"/>
          <w:b/>
          <w:i/>
          <w:sz w:val="16"/>
          <w:szCs w:val="16"/>
        </w:rPr>
        <w:t xml:space="preserve"> </w:t>
      </w:r>
      <w:proofErr w:type="spellStart"/>
      <w:r w:rsidRPr="00F8211E">
        <w:rPr>
          <w:rFonts w:asciiTheme="majorHAnsi" w:hAnsiTheme="majorHAnsi"/>
          <w:b/>
          <w:i/>
          <w:sz w:val="16"/>
          <w:szCs w:val="16"/>
        </w:rPr>
        <w:t>en</w:t>
      </w:r>
      <w:proofErr w:type="spellEnd"/>
      <w:r w:rsidRPr="00F8211E">
        <w:rPr>
          <w:rFonts w:asciiTheme="majorHAnsi" w:hAnsiTheme="majorHAnsi"/>
          <w:b/>
          <w:i/>
          <w:sz w:val="16"/>
          <w:szCs w:val="16"/>
        </w:rPr>
        <w:t xml:space="preserve"> Materia Electoral</w:t>
      </w:r>
      <w:r w:rsidR="00072DF7" w:rsidRPr="00F8211E">
        <w:rPr>
          <w:rFonts w:asciiTheme="majorHAnsi" w:hAnsiTheme="majorHAnsi"/>
          <w:b/>
          <w:sz w:val="16"/>
          <w:szCs w:val="16"/>
        </w:rPr>
        <w:t>]</w:t>
      </w:r>
      <w:r w:rsidRPr="00F8211E">
        <w:rPr>
          <w:rFonts w:asciiTheme="majorHAnsi" w:hAnsiTheme="majorHAnsi"/>
          <w:b/>
          <w:sz w:val="16"/>
          <w:szCs w:val="16"/>
        </w:rPr>
        <w:t xml:space="preserve"> (LGSMIME): “</w:t>
      </w:r>
      <w:r w:rsidR="00072DF7" w:rsidRPr="00F8211E">
        <w:rPr>
          <w:rFonts w:asciiTheme="majorHAnsi" w:hAnsiTheme="majorHAnsi"/>
          <w:b/>
          <w:sz w:val="16"/>
          <w:szCs w:val="16"/>
        </w:rPr>
        <w:t>Article 12:</w:t>
      </w:r>
      <w:r w:rsidRPr="00F8211E">
        <w:rPr>
          <w:rFonts w:asciiTheme="majorHAnsi" w:hAnsiTheme="majorHAnsi"/>
          <w:b/>
          <w:sz w:val="16"/>
          <w:szCs w:val="16"/>
        </w:rPr>
        <w:t xml:space="preserve"> 1. </w:t>
      </w:r>
      <w:r w:rsidR="00072DF7" w:rsidRPr="00F8211E">
        <w:rPr>
          <w:rFonts w:asciiTheme="majorHAnsi" w:hAnsiTheme="majorHAnsi"/>
          <w:b/>
          <w:sz w:val="16"/>
          <w:szCs w:val="16"/>
        </w:rPr>
        <w:t>The following are parties to the dispute procedure: (c) The interested third party, which is the citizen, the political party, the coalition, the candidate, the organization or the political or citizen group, as appropriate, with a legitimate interest in the cause derived from a right incompatible with the one claimed by the actor.” Available for consultation</w:t>
      </w:r>
      <w:r w:rsidRPr="00F8211E">
        <w:rPr>
          <w:rFonts w:asciiTheme="majorHAnsi" w:hAnsiTheme="majorHAnsi"/>
          <w:b/>
          <w:sz w:val="16"/>
          <w:szCs w:val="16"/>
        </w:rPr>
        <w:t xml:space="preserve">: </w:t>
      </w:r>
      <w:hyperlink r:id="rId1" w:history="1">
        <w:r w:rsidRPr="00F8211E">
          <w:rPr>
            <w:rStyle w:val="Hyperlink"/>
            <w:rFonts w:asciiTheme="majorHAnsi" w:hAnsiTheme="majorHAnsi"/>
            <w:b/>
            <w:sz w:val="16"/>
            <w:szCs w:val="16"/>
          </w:rPr>
          <w:t>http://www.diputados.gob.mx/LeyesBiblio/pdf/149_190118.pdf</w:t>
        </w:r>
      </w:hyperlink>
    </w:p>
  </w:footnote>
  <w:footnote w:id="26">
    <w:p w14:paraId="5562D81F" w14:textId="20E9AC7A" w:rsidR="00072DF7" w:rsidRPr="000C0219" w:rsidRDefault="004035DE" w:rsidP="005D22D5">
      <w:pPr>
        <w:pStyle w:val="NoSpacing"/>
        <w:ind w:firstLine="720"/>
        <w:jc w:val="both"/>
        <w:rPr>
          <w:rFonts w:asciiTheme="majorHAnsi" w:hAnsiTheme="majorHAnsi"/>
          <w:sz w:val="16"/>
          <w:szCs w:val="16"/>
          <w:u w:val="single"/>
        </w:rPr>
      </w:pPr>
      <w:r w:rsidRPr="00F8211E">
        <w:rPr>
          <w:rStyle w:val="FootnoteReference"/>
          <w:rFonts w:asciiTheme="majorHAnsi" w:hAnsiTheme="majorHAnsi"/>
          <w:b/>
          <w:sz w:val="16"/>
          <w:szCs w:val="16"/>
        </w:rPr>
        <w:footnoteRef/>
      </w:r>
      <w:r w:rsidRPr="00F8211E">
        <w:rPr>
          <w:rFonts w:asciiTheme="majorHAnsi" w:hAnsiTheme="majorHAnsi"/>
          <w:b/>
          <w:sz w:val="16"/>
          <w:szCs w:val="16"/>
        </w:rPr>
        <w:t xml:space="preserve"> </w:t>
      </w:r>
      <w:r w:rsidR="000C19A2" w:rsidRPr="00F8211E">
        <w:rPr>
          <w:rFonts w:asciiTheme="majorHAnsi" w:hAnsiTheme="majorHAnsi"/>
          <w:b/>
          <w:sz w:val="16"/>
          <w:szCs w:val="16"/>
        </w:rPr>
        <w:t xml:space="preserve">General Law of the System of Means of </w:t>
      </w:r>
      <w:proofErr w:type="spellStart"/>
      <w:r w:rsidR="000C19A2" w:rsidRPr="00F8211E">
        <w:rPr>
          <w:rFonts w:asciiTheme="majorHAnsi" w:hAnsiTheme="majorHAnsi"/>
          <w:b/>
          <w:sz w:val="16"/>
          <w:szCs w:val="16"/>
        </w:rPr>
        <w:t>Impugnment</w:t>
      </w:r>
      <w:proofErr w:type="spellEnd"/>
      <w:r w:rsidR="000C19A2" w:rsidRPr="00F8211E">
        <w:rPr>
          <w:rFonts w:asciiTheme="majorHAnsi" w:hAnsiTheme="majorHAnsi"/>
          <w:b/>
          <w:sz w:val="16"/>
          <w:szCs w:val="16"/>
        </w:rPr>
        <w:t xml:space="preserve"> in Electoral Matter </w:t>
      </w:r>
      <w:r w:rsidR="00072DF7" w:rsidRPr="00F8211E">
        <w:rPr>
          <w:rFonts w:asciiTheme="majorHAnsi" w:hAnsiTheme="majorHAnsi"/>
          <w:b/>
          <w:sz w:val="16"/>
          <w:szCs w:val="16"/>
        </w:rPr>
        <w:t>[</w:t>
      </w:r>
      <w:r w:rsidR="00072DF7" w:rsidRPr="00F8211E">
        <w:rPr>
          <w:rFonts w:asciiTheme="majorHAnsi" w:hAnsiTheme="majorHAnsi"/>
          <w:b/>
          <w:i/>
          <w:sz w:val="16"/>
          <w:szCs w:val="16"/>
        </w:rPr>
        <w:t xml:space="preserve">Ley General </w:t>
      </w:r>
      <w:proofErr w:type="gramStart"/>
      <w:r w:rsidR="00072DF7" w:rsidRPr="00F8211E">
        <w:rPr>
          <w:rFonts w:asciiTheme="majorHAnsi" w:hAnsiTheme="majorHAnsi"/>
          <w:b/>
          <w:i/>
          <w:sz w:val="16"/>
          <w:szCs w:val="16"/>
        </w:rPr>
        <w:t>del</w:t>
      </w:r>
      <w:proofErr w:type="gramEnd"/>
      <w:r w:rsidR="00072DF7" w:rsidRPr="00F8211E">
        <w:rPr>
          <w:rFonts w:asciiTheme="majorHAnsi" w:hAnsiTheme="majorHAnsi"/>
          <w:b/>
          <w:i/>
          <w:sz w:val="16"/>
          <w:szCs w:val="16"/>
        </w:rPr>
        <w:t xml:space="preserve"> Sistema de </w:t>
      </w:r>
      <w:proofErr w:type="spellStart"/>
      <w:r w:rsidR="00072DF7" w:rsidRPr="00F8211E">
        <w:rPr>
          <w:rFonts w:asciiTheme="majorHAnsi" w:hAnsiTheme="majorHAnsi"/>
          <w:b/>
          <w:i/>
          <w:sz w:val="16"/>
          <w:szCs w:val="16"/>
        </w:rPr>
        <w:t>Medios</w:t>
      </w:r>
      <w:proofErr w:type="spellEnd"/>
      <w:r w:rsidR="00072DF7" w:rsidRPr="00F8211E">
        <w:rPr>
          <w:rFonts w:asciiTheme="majorHAnsi" w:hAnsiTheme="majorHAnsi"/>
          <w:b/>
          <w:i/>
          <w:sz w:val="16"/>
          <w:szCs w:val="16"/>
        </w:rPr>
        <w:t xml:space="preserve"> de </w:t>
      </w:r>
      <w:proofErr w:type="spellStart"/>
      <w:r w:rsidR="00072DF7" w:rsidRPr="00F8211E">
        <w:rPr>
          <w:rFonts w:asciiTheme="majorHAnsi" w:hAnsiTheme="majorHAnsi"/>
          <w:b/>
          <w:i/>
          <w:sz w:val="16"/>
          <w:szCs w:val="16"/>
        </w:rPr>
        <w:t>Impugnación</w:t>
      </w:r>
      <w:proofErr w:type="spellEnd"/>
      <w:r w:rsidR="00072DF7" w:rsidRPr="00F8211E">
        <w:rPr>
          <w:rFonts w:asciiTheme="majorHAnsi" w:hAnsiTheme="majorHAnsi"/>
          <w:b/>
          <w:i/>
          <w:sz w:val="16"/>
          <w:szCs w:val="16"/>
        </w:rPr>
        <w:t xml:space="preserve"> </w:t>
      </w:r>
      <w:proofErr w:type="spellStart"/>
      <w:r w:rsidR="00072DF7" w:rsidRPr="00F8211E">
        <w:rPr>
          <w:rFonts w:asciiTheme="majorHAnsi" w:hAnsiTheme="majorHAnsi"/>
          <w:b/>
          <w:i/>
          <w:sz w:val="16"/>
          <w:szCs w:val="16"/>
        </w:rPr>
        <w:t>en</w:t>
      </w:r>
      <w:proofErr w:type="spellEnd"/>
      <w:r w:rsidR="00072DF7" w:rsidRPr="00F8211E">
        <w:rPr>
          <w:rFonts w:asciiTheme="majorHAnsi" w:hAnsiTheme="majorHAnsi"/>
          <w:b/>
          <w:i/>
          <w:sz w:val="16"/>
          <w:szCs w:val="16"/>
        </w:rPr>
        <w:t xml:space="preserve"> Materia Electoral</w:t>
      </w:r>
      <w:r w:rsidR="00072DF7" w:rsidRPr="00F8211E">
        <w:rPr>
          <w:rFonts w:asciiTheme="majorHAnsi" w:hAnsiTheme="majorHAnsi"/>
          <w:b/>
          <w:sz w:val="16"/>
          <w:szCs w:val="16"/>
        </w:rPr>
        <w:t xml:space="preserve">] (LGSMIME): </w:t>
      </w:r>
      <w:r w:rsidRPr="00F8211E">
        <w:rPr>
          <w:rFonts w:asciiTheme="majorHAnsi" w:hAnsiTheme="majorHAnsi"/>
          <w:b/>
          <w:sz w:val="16"/>
          <w:szCs w:val="16"/>
        </w:rPr>
        <w:t>“</w:t>
      </w:r>
      <w:r w:rsidR="00072DF7" w:rsidRPr="00F8211E">
        <w:rPr>
          <w:rFonts w:asciiTheme="majorHAnsi" w:hAnsiTheme="majorHAnsi"/>
          <w:b/>
          <w:sz w:val="16"/>
          <w:szCs w:val="16"/>
        </w:rPr>
        <w:t>Article</w:t>
      </w:r>
      <w:r w:rsidRPr="00F8211E">
        <w:rPr>
          <w:rFonts w:asciiTheme="majorHAnsi" w:hAnsiTheme="majorHAnsi"/>
          <w:b/>
          <w:sz w:val="16"/>
          <w:szCs w:val="16"/>
        </w:rPr>
        <w:t xml:space="preserve"> 79: 1. </w:t>
      </w:r>
      <w:r w:rsidR="00072DF7" w:rsidRPr="00F8211E">
        <w:rPr>
          <w:rFonts w:asciiTheme="majorHAnsi" w:hAnsiTheme="majorHAnsi"/>
          <w:b/>
          <w:sz w:val="16"/>
          <w:szCs w:val="16"/>
        </w:rPr>
        <w:t>The legal procedure</w:t>
      </w:r>
      <w:r w:rsidR="00072DF7" w:rsidRPr="000C0219">
        <w:rPr>
          <w:rFonts w:asciiTheme="majorHAnsi" w:hAnsiTheme="majorHAnsi"/>
          <w:sz w:val="16"/>
          <w:szCs w:val="16"/>
        </w:rPr>
        <w:t xml:space="preserve"> for the protection of political-electoral rights, will only proceed when the citizen by himself and individually or through their legal representatives, assert alleged violations of their rights to vote and be voted in popular elections, to associate individually and freely to participate in a peaceful way in political affairs and to affiliate freely and individually with political parties. In the case provided for in paragraph e) of paragraph 1 of the following article, the claim shall be filed through whoever holds the legitimate representation of the aggrieved organization or political group; 2. Likewise, it will be appropriate to challenge the acts and resolutions by those who, having a legal interest, consider that their right to integrate the electoral authorities of the federative entities is unduly affected.” Available for consultation: </w:t>
      </w:r>
      <w:hyperlink r:id="rId2" w:history="1">
        <w:r w:rsidRPr="000C0219">
          <w:rPr>
            <w:rStyle w:val="Hyperlink"/>
            <w:rFonts w:asciiTheme="majorHAnsi" w:hAnsiTheme="majorHAnsi"/>
            <w:sz w:val="16"/>
            <w:szCs w:val="16"/>
          </w:rPr>
          <w:t>http://www.diputados.gob.mx/LeyesBiblio/pdf/149_190118.pdf</w:t>
        </w:r>
      </w:hyperlink>
    </w:p>
  </w:footnote>
  <w:footnote w:id="27">
    <w:p w14:paraId="3FA7F8EF" w14:textId="07790326" w:rsidR="004035DE" w:rsidRPr="009A159E" w:rsidRDefault="004035DE" w:rsidP="005D22D5">
      <w:pPr>
        <w:pStyle w:val="NoSpacing"/>
        <w:ind w:firstLine="720"/>
        <w:jc w:val="both"/>
        <w:rPr>
          <w:rFonts w:asciiTheme="majorHAnsi" w:hAnsiTheme="majorHAnsi"/>
          <w:sz w:val="16"/>
          <w:szCs w:val="16"/>
        </w:rPr>
      </w:pPr>
      <w:r w:rsidRPr="000C0219">
        <w:rPr>
          <w:rStyle w:val="FootnoteReference"/>
          <w:rFonts w:asciiTheme="majorHAnsi" w:hAnsiTheme="majorHAnsi"/>
          <w:sz w:val="16"/>
          <w:szCs w:val="16"/>
        </w:rPr>
        <w:footnoteRef/>
      </w:r>
      <w:r w:rsidRPr="000C0219">
        <w:rPr>
          <w:rFonts w:asciiTheme="majorHAnsi" w:hAnsiTheme="majorHAnsi"/>
          <w:sz w:val="16"/>
          <w:szCs w:val="16"/>
        </w:rPr>
        <w:t xml:space="preserve"> </w:t>
      </w:r>
      <w:r w:rsidR="000C19A2" w:rsidRPr="000C0219">
        <w:rPr>
          <w:rFonts w:asciiTheme="majorHAnsi" w:hAnsiTheme="majorHAnsi"/>
          <w:b/>
          <w:sz w:val="16"/>
          <w:szCs w:val="16"/>
        </w:rPr>
        <w:t xml:space="preserve">General Law of the System of Means of </w:t>
      </w:r>
      <w:proofErr w:type="spellStart"/>
      <w:r w:rsidR="000C19A2" w:rsidRPr="000C0219">
        <w:rPr>
          <w:rFonts w:asciiTheme="majorHAnsi" w:hAnsiTheme="majorHAnsi"/>
          <w:b/>
          <w:sz w:val="16"/>
          <w:szCs w:val="16"/>
        </w:rPr>
        <w:t>Impugnment</w:t>
      </w:r>
      <w:proofErr w:type="spellEnd"/>
      <w:r w:rsidR="000C19A2" w:rsidRPr="000C0219">
        <w:rPr>
          <w:rFonts w:asciiTheme="majorHAnsi" w:hAnsiTheme="majorHAnsi"/>
          <w:b/>
          <w:sz w:val="16"/>
          <w:szCs w:val="16"/>
        </w:rPr>
        <w:t xml:space="preserve"> in Electoral Matter</w:t>
      </w:r>
      <w:r w:rsidR="000C19A2" w:rsidRPr="000C0219">
        <w:rPr>
          <w:rFonts w:asciiTheme="majorHAnsi" w:hAnsiTheme="majorHAnsi"/>
          <w:sz w:val="16"/>
          <w:szCs w:val="16"/>
        </w:rPr>
        <w:t xml:space="preserve"> </w:t>
      </w:r>
      <w:r w:rsidR="00072DF7" w:rsidRPr="000C0219">
        <w:rPr>
          <w:rFonts w:asciiTheme="majorHAnsi" w:hAnsiTheme="majorHAnsi"/>
          <w:b/>
          <w:sz w:val="16"/>
          <w:szCs w:val="16"/>
        </w:rPr>
        <w:t>[</w:t>
      </w:r>
      <w:r w:rsidR="00072DF7" w:rsidRPr="000C0219">
        <w:rPr>
          <w:rFonts w:asciiTheme="majorHAnsi" w:hAnsiTheme="majorHAnsi"/>
          <w:b/>
          <w:i/>
          <w:sz w:val="16"/>
          <w:szCs w:val="16"/>
        </w:rPr>
        <w:t xml:space="preserve">Ley General </w:t>
      </w:r>
      <w:proofErr w:type="gramStart"/>
      <w:r w:rsidR="00072DF7" w:rsidRPr="000C0219">
        <w:rPr>
          <w:rFonts w:asciiTheme="majorHAnsi" w:hAnsiTheme="majorHAnsi"/>
          <w:b/>
          <w:i/>
          <w:sz w:val="16"/>
          <w:szCs w:val="16"/>
        </w:rPr>
        <w:t>del</w:t>
      </w:r>
      <w:proofErr w:type="gramEnd"/>
      <w:r w:rsidR="00072DF7" w:rsidRPr="000C0219">
        <w:rPr>
          <w:rFonts w:asciiTheme="majorHAnsi" w:hAnsiTheme="majorHAnsi"/>
          <w:b/>
          <w:i/>
          <w:sz w:val="16"/>
          <w:szCs w:val="16"/>
        </w:rPr>
        <w:t xml:space="preserve"> Sistema de </w:t>
      </w:r>
      <w:proofErr w:type="spellStart"/>
      <w:r w:rsidR="00072DF7" w:rsidRPr="000C0219">
        <w:rPr>
          <w:rFonts w:asciiTheme="majorHAnsi" w:hAnsiTheme="majorHAnsi"/>
          <w:b/>
          <w:i/>
          <w:sz w:val="16"/>
          <w:szCs w:val="16"/>
        </w:rPr>
        <w:t>Medios</w:t>
      </w:r>
      <w:proofErr w:type="spellEnd"/>
      <w:r w:rsidR="00072DF7" w:rsidRPr="000C0219">
        <w:rPr>
          <w:rFonts w:asciiTheme="majorHAnsi" w:hAnsiTheme="majorHAnsi"/>
          <w:b/>
          <w:i/>
          <w:sz w:val="16"/>
          <w:szCs w:val="16"/>
        </w:rPr>
        <w:t xml:space="preserve"> de </w:t>
      </w:r>
      <w:proofErr w:type="spellStart"/>
      <w:r w:rsidR="00072DF7" w:rsidRPr="000C0219">
        <w:rPr>
          <w:rFonts w:asciiTheme="majorHAnsi" w:hAnsiTheme="majorHAnsi"/>
          <w:b/>
          <w:i/>
          <w:sz w:val="16"/>
          <w:szCs w:val="16"/>
        </w:rPr>
        <w:t>Impugnación</w:t>
      </w:r>
      <w:proofErr w:type="spellEnd"/>
      <w:r w:rsidR="00072DF7" w:rsidRPr="000C0219">
        <w:rPr>
          <w:rFonts w:asciiTheme="majorHAnsi" w:hAnsiTheme="majorHAnsi"/>
          <w:b/>
          <w:i/>
          <w:sz w:val="16"/>
          <w:szCs w:val="16"/>
        </w:rPr>
        <w:t xml:space="preserve"> </w:t>
      </w:r>
      <w:proofErr w:type="spellStart"/>
      <w:r w:rsidR="00072DF7" w:rsidRPr="000C0219">
        <w:rPr>
          <w:rFonts w:asciiTheme="majorHAnsi" w:hAnsiTheme="majorHAnsi"/>
          <w:b/>
          <w:i/>
          <w:sz w:val="16"/>
          <w:szCs w:val="16"/>
        </w:rPr>
        <w:t>en</w:t>
      </w:r>
      <w:proofErr w:type="spellEnd"/>
      <w:r w:rsidR="00072DF7" w:rsidRPr="000C0219">
        <w:rPr>
          <w:rFonts w:asciiTheme="majorHAnsi" w:hAnsiTheme="majorHAnsi"/>
          <w:b/>
          <w:i/>
          <w:sz w:val="16"/>
          <w:szCs w:val="16"/>
        </w:rPr>
        <w:t xml:space="preserve"> Materia Electoral</w:t>
      </w:r>
      <w:r w:rsidR="00072DF7" w:rsidRPr="000C0219">
        <w:rPr>
          <w:rFonts w:asciiTheme="majorHAnsi" w:hAnsiTheme="majorHAnsi"/>
          <w:b/>
          <w:sz w:val="16"/>
          <w:szCs w:val="16"/>
        </w:rPr>
        <w:t>] (LGSMIME):</w:t>
      </w:r>
      <w:r w:rsidR="00072DF7" w:rsidRPr="000C0219">
        <w:rPr>
          <w:rFonts w:asciiTheme="majorHAnsi" w:hAnsiTheme="majorHAnsi"/>
          <w:sz w:val="16"/>
          <w:szCs w:val="16"/>
        </w:rPr>
        <w:t xml:space="preserve"> “</w:t>
      </w:r>
      <w:r w:rsidR="00072DF7" w:rsidRPr="000C0219">
        <w:rPr>
          <w:rFonts w:asciiTheme="majorHAnsi" w:hAnsiTheme="majorHAnsi"/>
          <w:b/>
          <w:sz w:val="16"/>
          <w:szCs w:val="16"/>
        </w:rPr>
        <w:t>Article 80</w:t>
      </w:r>
      <w:r w:rsidRPr="000C0219">
        <w:rPr>
          <w:rFonts w:asciiTheme="majorHAnsi" w:hAnsiTheme="majorHAnsi"/>
          <w:b/>
          <w:sz w:val="16"/>
          <w:szCs w:val="16"/>
        </w:rPr>
        <w:t>: 1.</w:t>
      </w:r>
      <w:r w:rsidRPr="000C0219">
        <w:rPr>
          <w:rFonts w:asciiTheme="majorHAnsi" w:hAnsiTheme="majorHAnsi"/>
          <w:sz w:val="16"/>
          <w:szCs w:val="16"/>
        </w:rPr>
        <w:t xml:space="preserve"> </w:t>
      </w:r>
      <w:r w:rsidR="00072DF7" w:rsidRPr="000C0219">
        <w:rPr>
          <w:rFonts w:asciiTheme="majorHAnsi" w:hAnsiTheme="majorHAnsi"/>
          <w:sz w:val="16"/>
          <w:szCs w:val="16"/>
        </w:rPr>
        <w:t>The legal procedure may be promoted by the citizen when: a) Having complied with the requisites and corresponding procedures, he/she has not obtained in a timely manner the document required by the respective electoral law to exercise the vote; b) Having duly obtained the document referred to in the preceding paragraph, it is not included in the nominal list of voters of the section corresponding to his/her domicile; c) Consider having been improperly excluded from the nominal list of voters of the section corresponding to his/her domicile; d) Consider that his/her political-electoral right was violated if he/her was voted for when, having been proposed by a political party, he</w:t>
      </w:r>
      <w:r w:rsidR="00533229" w:rsidRPr="000C0219">
        <w:rPr>
          <w:rFonts w:asciiTheme="majorHAnsi" w:hAnsiTheme="majorHAnsi"/>
          <w:sz w:val="16"/>
          <w:szCs w:val="16"/>
        </w:rPr>
        <w:t>/her</w:t>
      </w:r>
      <w:r w:rsidR="00072DF7" w:rsidRPr="000C0219">
        <w:rPr>
          <w:rFonts w:asciiTheme="majorHAnsi" w:hAnsiTheme="majorHAnsi"/>
          <w:sz w:val="16"/>
          <w:szCs w:val="16"/>
        </w:rPr>
        <w:t xml:space="preserve"> was unduly denied his registration as a candidate for a popular election office. In federal electoral processes, if the political party also filed an appeal for review or appeal, as appropriate, for the refusal of the same record, the Council of the Institute, at the request of the competent Chamber, shall send the file to be resolved by this, together with the </w:t>
      </w:r>
      <w:r w:rsidR="00533229" w:rsidRPr="000C0219">
        <w:rPr>
          <w:rFonts w:asciiTheme="majorHAnsi" w:hAnsiTheme="majorHAnsi"/>
          <w:sz w:val="16"/>
          <w:szCs w:val="16"/>
        </w:rPr>
        <w:t xml:space="preserve">legal procedure </w:t>
      </w:r>
      <w:r w:rsidR="00072DF7" w:rsidRPr="000C0219">
        <w:rPr>
          <w:rFonts w:asciiTheme="majorHAnsi" w:hAnsiTheme="majorHAnsi"/>
          <w:sz w:val="16"/>
          <w:szCs w:val="16"/>
        </w:rPr>
        <w:t>promoted by the citizen; e) Having associated with other citizens to participate in a peaceful way in political matters, according to the applicable laws, consider that they were unduly denied their registration as a political party or political group; f) Consider that an act or resolution of the authority is in violation of any other political-electoral rights refe</w:t>
      </w:r>
      <w:r w:rsidR="00533229" w:rsidRPr="000C0219">
        <w:rPr>
          <w:rFonts w:asciiTheme="majorHAnsi" w:hAnsiTheme="majorHAnsi"/>
          <w:sz w:val="16"/>
          <w:szCs w:val="16"/>
        </w:rPr>
        <w:t>rred to in the previous article;</w:t>
      </w:r>
      <w:r w:rsidR="00072DF7" w:rsidRPr="000C0219">
        <w:rPr>
          <w:rFonts w:asciiTheme="majorHAnsi" w:hAnsiTheme="majorHAnsi"/>
          <w:sz w:val="16"/>
          <w:szCs w:val="16"/>
        </w:rPr>
        <w:t xml:space="preserve"> and g) Consider that the acts or resolutions of the political party to which it is affiliated violate any of their rights political-electoral The aforementioned is applicable to pre-candidates and candidates for elected office even when they are not affiliated with the party designated as responsible. </w:t>
      </w:r>
      <w:r w:rsidR="00533229" w:rsidRPr="009A159E">
        <w:rPr>
          <w:rFonts w:asciiTheme="majorHAnsi" w:hAnsiTheme="majorHAnsi"/>
          <w:sz w:val="16"/>
          <w:szCs w:val="16"/>
        </w:rPr>
        <w:t>(...).”</w:t>
      </w:r>
      <w:r w:rsidR="00072DF7" w:rsidRPr="009A159E">
        <w:rPr>
          <w:rFonts w:asciiTheme="majorHAnsi" w:hAnsiTheme="majorHAnsi"/>
          <w:sz w:val="16"/>
          <w:szCs w:val="16"/>
        </w:rPr>
        <w:t xml:space="preserve">Available for consultation: </w:t>
      </w:r>
      <w:hyperlink r:id="rId3" w:history="1">
        <w:r w:rsidR="00072DF7" w:rsidRPr="009A159E">
          <w:rPr>
            <w:rStyle w:val="Hyperlink"/>
            <w:rFonts w:asciiTheme="majorHAnsi" w:hAnsiTheme="majorHAnsi"/>
            <w:sz w:val="16"/>
            <w:szCs w:val="16"/>
          </w:rPr>
          <w:t>http://www.diputados.gob.mx/LeyesBiblio/pdf/149_190118.pdf</w:t>
        </w:r>
      </w:hyperlink>
      <w:r w:rsidR="00072DF7" w:rsidRPr="009A159E">
        <w:rPr>
          <w:rStyle w:val="Hyperlink"/>
          <w:rFonts w:asciiTheme="majorHAnsi" w:hAnsiTheme="majorHAnsi"/>
          <w:sz w:val="16"/>
          <w:szCs w:val="16"/>
        </w:rPr>
        <w:t xml:space="preserve"> </w:t>
      </w:r>
    </w:p>
  </w:footnote>
  <w:footnote w:id="28">
    <w:p w14:paraId="2E33E0D3" w14:textId="3B4FA92F" w:rsidR="00152A6D" w:rsidRPr="000C0219" w:rsidRDefault="00152A6D" w:rsidP="005D22D5">
      <w:pPr>
        <w:pStyle w:val="NoSpacing"/>
        <w:ind w:firstLine="720"/>
        <w:jc w:val="both"/>
        <w:rPr>
          <w:rFonts w:asciiTheme="majorHAnsi" w:hAnsiTheme="majorHAnsi"/>
          <w:sz w:val="16"/>
          <w:szCs w:val="16"/>
        </w:rPr>
      </w:pPr>
      <w:r w:rsidRPr="000C0219">
        <w:rPr>
          <w:rStyle w:val="FootnoteReference"/>
          <w:rFonts w:asciiTheme="majorHAnsi" w:hAnsiTheme="majorHAnsi" w:cs="Times"/>
          <w:sz w:val="16"/>
          <w:szCs w:val="16"/>
          <w:lang w:val="es-ES"/>
        </w:rPr>
        <w:footnoteRef/>
      </w:r>
      <w:r w:rsidRPr="000C0219">
        <w:rPr>
          <w:rFonts w:asciiTheme="majorHAnsi" w:hAnsiTheme="majorHAnsi" w:cs="Times"/>
          <w:sz w:val="16"/>
          <w:szCs w:val="16"/>
        </w:rPr>
        <w:t xml:space="preserve"> </w:t>
      </w:r>
      <w:r w:rsidR="005D22D5" w:rsidRPr="000C0219">
        <w:rPr>
          <w:rStyle w:val="Strong"/>
          <w:rFonts w:asciiTheme="majorHAnsi" w:hAnsiTheme="majorHAnsi"/>
          <w:b w:val="0"/>
          <w:color w:val="000000"/>
          <w:sz w:val="16"/>
          <w:szCs w:val="16"/>
          <w:shd w:val="clear" w:color="auto" w:fill="FFFFFF"/>
        </w:rPr>
        <w:t>I/A Court H.R.,</w:t>
      </w:r>
      <w:r w:rsidR="005D22D5" w:rsidRPr="000C0219">
        <w:rPr>
          <w:rFonts w:asciiTheme="majorHAnsi" w:hAnsiTheme="majorHAnsi" w:cs="Times"/>
          <w:sz w:val="16"/>
          <w:szCs w:val="16"/>
        </w:rPr>
        <w:t xml:space="preserve"> </w:t>
      </w:r>
      <w:r w:rsidR="005D22D5" w:rsidRPr="000C0219">
        <w:rPr>
          <w:rFonts w:asciiTheme="majorHAnsi" w:hAnsiTheme="majorHAnsi" w:cs="Times"/>
          <w:i/>
          <w:sz w:val="16"/>
          <w:szCs w:val="16"/>
        </w:rPr>
        <w:t>Case</w:t>
      </w:r>
      <w:r w:rsidRPr="000C0219">
        <w:rPr>
          <w:rFonts w:asciiTheme="majorHAnsi" w:hAnsiTheme="majorHAnsi" w:cs="Times"/>
          <w:i/>
          <w:sz w:val="16"/>
          <w:szCs w:val="16"/>
        </w:rPr>
        <w:t xml:space="preserve"> </w:t>
      </w:r>
      <w:proofErr w:type="spellStart"/>
      <w:r w:rsidRPr="000C0219">
        <w:rPr>
          <w:rFonts w:asciiTheme="majorHAnsi" w:hAnsiTheme="majorHAnsi" w:cs="Times"/>
          <w:i/>
          <w:sz w:val="16"/>
          <w:szCs w:val="16"/>
        </w:rPr>
        <w:t>Velásquez</w:t>
      </w:r>
      <w:proofErr w:type="spellEnd"/>
      <w:r w:rsidRPr="000C0219">
        <w:rPr>
          <w:rFonts w:asciiTheme="majorHAnsi" w:hAnsiTheme="majorHAnsi" w:cs="Times"/>
          <w:i/>
          <w:sz w:val="16"/>
          <w:szCs w:val="16"/>
        </w:rPr>
        <w:t xml:space="preserve"> Rodríguez</w:t>
      </w:r>
      <w:r w:rsidR="005D22D5" w:rsidRPr="000C0219">
        <w:rPr>
          <w:rFonts w:asciiTheme="majorHAnsi" w:hAnsiTheme="majorHAnsi" w:cs="Times"/>
          <w:i/>
          <w:sz w:val="16"/>
          <w:szCs w:val="16"/>
        </w:rPr>
        <w:t xml:space="preserve"> v. Honduras</w:t>
      </w:r>
      <w:r w:rsidRPr="000C0219">
        <w:rPr>
          <w:rFonts w:asciiTheme="majorHAnsi" w:hAnsiTheme="majorHAnsi" w:cs="Times"/>
          <w:sz w:val="16"/>
          <w:szCs w:val="16"/>
        </w:rPr>
        <w:t xml:space="preserve">, </w:t>
      </w:r>
      <w:r w:rsidR="005D22D5" w:rsidRPr="000C0219">
        <w:rPr>
          <w:rFonts w:asciiTheme="majorHAnsi" w:hAnsiTheme="majorHAnsi" w:cs="Times"/>
          <w:sz w:val="16"/>
          <w:szCs w:val="16"/>
        </w:rPr>
        <w:t>(</w:t>
      </w:r>
      <w:r w:rsidR="005D22D5" w:rsidRPr="000C0219">
        <w:rPr>
          <w:rFonts w:asciiTheme="majorHAnsi" w:hAnsiTheme="majorHAnsi"/>
          <w:sz w:val="16"/>
          <w:szCs w:val="16"/>
        </w:rPr>
        <w:t xml:space="preserve">Preliminary </w:t>
      </w:r>
      <w:r w:rsidR="00E61966" w:rsidRPr="000C0219">
        <w:rPr>
          <w:rFonts w:asciiTheme="majorHAnsi" w:hAnsiTheme="majorHAnsi"/>
          <w:sz w:val="16"/>
          <w:szCs w:val="16"/>
        </w:rPr>
        <w:t xml:space="preserve">Objections) </w:t>
      </w:r>
      <w:r w:rsidR="005D22D5" w:rsidRPr="000C0219">
        <w:rPr>
          <w:rFonts w:asciiTheme="majorHAnsi" w:hAnsiTheme="majorHAnsi" w:cs="Times"/>
          <w:sz w:val="16"/>
          <w:szCs w:val="16"/>
        </w:rPr>
        <w:t xml:space="preserve">Judgment of July 29, 1988. </w:t>
      </w:r>
    </w:p>
  </w:footnote>
  <w:footnote w:id="29">
    <w:p w14:paraId="5340D152" w14:textId="044CBB7B" w:rsidR="00152A6D" w:rsidRPr="000C0219" w:rsidRDefault="00152A6D" w:rsidP="005D22D5">
      <w:pPr>
        <w:pStyle w:val="NoSpacing"/>
        <w:ind w:firstLine="720"/>
        <w:jc w:val="both"/>
        <w:rPr>
          <w:rFonts w:asciiTheme="majorHAnsi" w:hAnsiTheme="majorHAnsi" w:cs="Times"/>
          <w:sz w:val="16"/>
          <w:szCs w:val="16"/>
        </w:rPr>
      </w:pPr>
      <w:r w:rsidRPr="000C0219">
        <w:rPr>
          <w:rStyle w:val="FootnoteReference"/>
          <w:rFonts w:asciiTheme="majorHAnsi" w:hAnsiTheme="majorHAnsi" w:cs="Times"/>
          <w:sz w:val="16"/>
          <w:szCs w:val="16"/>
        </w:rPr>
        <w:footnoteRef/>
      </w:r>
      <w:r w:rsidRPr="000C0219">
        <w:rPr>
          <w:rFonts w:asciiTheme="majorHAnsi" w:hAnsiTheme="majorHAnsi" w:cs="Times"/>
          <w:sz w:val="16"/>
          <w:szCs w:val="16"/>
        </w:rPr>
        <w:t xml:space="preserve"> </w:t>
      </w:r>
      <w:r w:rsidR="00E61966" w:rsidRPr="000C0219">
        <w:rPr>
          <w:rStyle w:val="Strong"/>
          <w:rFonts w:asciiTheme="majorHAnsi" w:hAnsiTheme="majorHAnsi"/>
          <w:b w:val="0"/>
          <w:color w:val="000000"/>
          <w:sz w:val="16"/>
          <w:szCs w:val="16"/>
          <w:shd w:val="clear" w:color="auto" w:fill="FFFFFF"/>
        </w:rPr>
        <w:t>I/A Court H.R.,</w:t>
      </w:r>
      <w:r w:rsidR="00E61966" w:rsidRPr="000C0219">
        <w:rPr>
          <w:rFonts w:asciiTheme="majorHAnsi" w:hAnsiTheme="majorHAnsi" w:cs="Times"/>
          <w:sz w:val="16"/>
          <w:szCs w:val="16"/>
        </w:rPr>
        <w:t xml:space="preserve"> </w:t>
      </w:r>
      <w:r w:rsidR="00E61966" w:rsidRPr="000C0219">
        <w:rPr>
          <w:rFonts w:asciiTheme="majorHAnsi" w:hAnsiTheme="majorHAnsi" w:cs="Times"/>
          <w:i/>
          <w:sz w:val="16"/>
          <w:szCs w:val="16"/>
        </w:rPr>
        <w:t xml:space="preserve">Case </w:t>
      </w:r>
      <w:proofErr w:type="spellStart"/>
      <w:r w:rsidR="00E61966" w:rsidRPr="000C0219">
        <w:rPr>
          <w:rFonts w:asciiTheme="majorHAnsi" w:hAnsiTheme="majorHAnsi" w:cs="Times"/>
          <w:i/>
          <w:sz w:val="16"/>
          <w:szCs w:val="16"/>
        </w:rPr>
        <w:t>Velásquez</w:t>
      </w:r>
      <w:proofErr w:type="spellEnd"/>
      <w:r w:rsidR="00E61966" w:rsidRPr="000C0219">
        <w:rPr>
          <w:rFonts w:asciiTheme="majorHAnsi" w:hAnsiTheme="majorHAnsi" w:cs="Times"/>
          <w:i/>
          <w:sz w:val="16"/>
          <w:szCs w:val="16"/>
        </w:rPr>
        <w:t xml:space="preserve"> Rodríguez v. Honduras</w:t>
      </w:r>
      <w:r w:rsidR="00E61966" w:rsidRPr="000C0219">
        <w:rPr>
          <w:rFonts w:asciiTheme="majorHAnsi" w:hAnsiTheme="majorHAnsi" w:cs="Times"/>
          <w:sz w:val="16"/>
          <w:szCs w:val="16"/>
        </w:rPr>
        <w:t>, Judgment of July 29, 1988</w:t>
      </w:r>
      <w:r w:rsidR="00E61966" w:rsidRPr="000C0219">
        <w:rPr>
          <w:rFonts w:ascii="Cambria" w:hAnsi="Cambria" w:cs="Times"/>
          <w:sz w:val="16"/>
          <w:szCs w:val="16"/>
        </w:rPr>
        <w:t>, para. 20</w:t>
      </w:r>
      <w:r w:rsidR="00C83D2E" w:rsidRPr="000C0219">
        <w:rPr>
          <w:rFonts w:ascii="Cambria" w:hAnsi="Cambria" w:cs="Times"/>
          <w:sz w:val="16"/>
          <w:szCs w:val="16"/>
        </w:rPr>
        <w:t xml:space="preserve">. </w:t>
      </w:r>
    </w:p>
  </w:footnote>
  <w:footnote w:id="30">
    <w:p w14:paraId="584FF152" w14:textId="7928856A" w:rsidR="004035DE" w:rsidRPr="000C0219" w:rsidRDefault="004035DE" w:rsidP="005D22D5">
      <w:pPr>
        <w:pStyle w:val="NoSpacing"/>
        <w:ind w:firstLine="720"/>
        <w:jc w:val="both"/>
        <w:rPr>
          <w:rFonts w:asciiTheme="majorHAnsi" w:hAnsiTheme="majorHAnsi"/>
          <w:sz w:val="16"/>
          <w:szCs w:val="16"/>
        </w:rPr>
      </w:pPr>
      <w:r w:rsidRPr="000C0219">
        <w:rPr>
          <w:rStyle w:val="FootnoteReference"/>
          <w:rFonts w:asciiTheme="majorHAnsi" w:hAnsiTheme="majorHAnsi"/>
          <w:sz w:val="16"/>
          <w:szCs w:val="16"/>
        </w:rPr>
        <w:footnoteRef/>
      </w:r>
      <w:r w:rsidRPr="000C0219">
        <w:rPr>
          <w:rFonts w:asciiTheme="majorHAnsi" w:hAnsiTheme="majorHAnsi"/>
          <w:sz w:val="16"/>
          <w:szCs w:val="16"/>
        </w:rPr>
        <w:t xml:space="preserve"> </w:t>
      </w:r>
      <w:r w:rsidR="005D22D5" w:rsidRPr="000C0219">
        <w:rPr>
          <w:rFonts w:asciiTheme="majorHAnsi" w:hAnsiTheme="majorHAnsi"/>
          <w:sz w:val="16"/>
          <w:szCs w:val="16"/>
        </w:rPr>
        <w:t xml:space="preserve">In this sense see, European Court of Human Rights Case of </w:t>
      </w:r>
      <w:proofErr w:type="spellStart"/>
      <w:r w:rsidR="005D22D5" w:rsidRPr="000C0219">
        <w:rPr>
          <w:rFonts w:asciiTheme="majorHAnsi" w:hAnsiTheme="majorHAnsi"/>
          <w:sz w:val="16"/>
          <w:szCs w:val="16"/>
        </w:rPr>
        <w:t>Vernillo</w:t>
      </w:r>
      <w:proofErr w:type="spellEnd"/>
      <w:r w:rsidR="005D22D5" w:rsidRPr="000C0219">
        <w:rPr>
          <w:rFonts w:asciiTheme="majorHAnsi" w:hAnsiTheme="majorHAnsi"/>
          <w:sz w:val="16"/>
          <w:szCs w:val="16"/>
        </w:rPr>
        <w:t xml:space="preserve"> v. F, Application no. 11889/85, Judgment, 20 February 1991, para. 27</w:t>
      </w:r>
    </w:p>
  </w:footnote>
  <w:footnote w:id="31">
    <w:p w14:paraId="39E439AF" w14:textId="02F76D18" w:rsidR="004E0D29" w:rsidRPr="005D22D5" w:rsidRDefault="004E0D29" w:rsidP="005D22D5">
      <w:pPr>
        <w:pStyle w:val="NoSpacing"/>
        <w:ind w:firstLine="720"/>
        <w:jc w:val="both"/>
      </w:pPr>
      <w:r w:rsidRPr="000C0219">
        <w:rPr>
          <w:rStyle w:val="FootnoteReference"/>
          <w:rFonts w:asciiTheme="majorHAnsi" w:hAnsiTheme="majorHAnsi"/>
          <w:sz w:val="16"/>
          <w:szCs w:val="16"/>
        </w:rPr>
        <w:footnoteRef/>
      </w:r>
      <w:r w:rsidRPr="000C0219">
        <w:rPr>
          <w:rFonts w:asciiTheme="majorHAnsi" w:hAnsiTheme="majorHAnsi"/>
          <w:sz w:val="16"/>
          <w:szCs w:val="16"/>
          <w:lang w:val="es-ES"/>
        </w:rPr>
        <w:t xml:space="preserve"> </w:t>
      </w:r>
      <w:proofErr w:type="spellStart"/>
      <w:r w:rsidR="005D22D5" w:rsidRPr="000C0219">
        <w:rPr>
          <w:rFonts w:asciiTheme="majorHAnsi" w:hAnsiTheme="majorHAnsi"/>
          <w:sz w:val="16"/>
          <w:szCs w:val="16"/>
          <w:lang w:val="es-ES"/>
        </w:rPr>
        <w:t>See</w:t>
      </w:r>
      <w:proofErr w:type="spellEnd"/>
      <w:r w:rsidR="005D22D5" w:rsidRPr="000C0219">
        <w:rPr>
          <w:rFonts w:asciiTheme="majorHAnsi" w:hAnsiTheme="majorHAnsi"/>
          <w:sz w:val="16"/>
          <w:szCs w:val="16"/>
          <w:lang w:val="es-ES"/>
        </w:rPr>
        <w:t xml:space="preserve"> TRIFE. Expediente SUP-RAP-236/2009 y sus acumulados, Recurso de </w:t>
      </w:r>
      <w:proofErr w:type="spellStart"/>
      <w:r w:rsidR="005D22D5" w:rsidRPr="000C0219">
        <w:rPr>
          <w:rFonts w:asciiTheme="majorHAnsi" w:hAnsiTheme="majorHAnsi"/>
          <w:sz w:val="16"/>
          <w:szCs w:val="16"/>
          <w:lang w:val="es-ES"/>
        </w:rPr>
        <w:t>Apelacion</w:t>
      </w:r>
      <w:proofErr w:type="spellEnd"/>
      <w:r w:rsidR="005D22D5" w:rsidRPr="000C0219">
        <w:rPr>
          <w:rFonts w:asciiTheme="majorHAnsi" w:hAnsiTheme="majorHAnsi"/>
          <w:sz w:val="16"/>
          <w:szCs w:val="16"/>
          <w:lang w:val="es-ES"/>
        </w:rPr>
        <w:t xml:space="preserve">, </w:t>
      </w:r>
      <w:proofErr w:type="spellStart"/>
      <w:r w:rsidR="005D22D5" w:rsidRPr="000C0219">
        <w:rPr>
          <w:rFonts w:asciiTheme="majorHAnsi" w:hAnsiTheme="majorHAnsi"/>
          <w:sz w:val="16"/>
          <w:szCs w:val="16"/>
          <w:lang w:val="es-ES"/>
        </w:rPr>
        <w:t>August</w:t>
      </w:r>
      <w:proofErr w:type="spellEnd"/>
      <w:r w:rsidR="005D22D5" w:rsidRPr="000C0219">
        <w:rPr>
          <w:rFonts w:asciiTheme="majorHAnsi" w:hAnsiTheme="majorHAnsi"/>
          <w:sz w:val="16"/>
          <w:szCs w:val="16"/>
          <w:lang w:val="es-ES"/>
        </w:rPr>
        <w:t xml:space="preserve"> 26, 2009; and Consejo General del IFE, </w:t>
      </w:r>
      <w:proofErr w:type="spellStart"/>
      <w:r w:rsidR="005D22D5" w:rsidRPr="000C0219">
        <w:rPr>
          <w:rFonts w:asciiTheme="majorHAnsi" w:hAnsiTheme="majorHAnsi"/>
          <w:sz w:val="16"/>
          <w:szCs w:val="16"/>
          <w:lang w:val="es-ES"/>
        </w:rPr>
        <w:t>Exp</w:t>
      </w:r>
      <w:proofErr w:type="spellEnd"/>
      <w:r w:rsidR="005D22D5" w:rsidRPr="000C0219">
        <w:rPr>
          <w:rFonts w:asciiTheme="majorHAnsi" w:hAnsiTheme="majorHAnsi"/>
          <w:sz w:val="16"/>
          <w:szCs w:val="16"/>
          <w:lang w:val="es-ES"/>
        </w:rPr>
        <w:t xml:space="preserve">. </w:t>
      </w:r>
      <w:r w:rsidR="005D22D5" w:rsidRPr="000C0219">
        <w:rPr>
          <w:rFonts w:asciiTheme="majorHAnsi" w:hAnsiTheme="majorHAnsi"/>
          <w:sz w:val="16"/>
          <w:szCs w:val="16"/>
        </w:rPr>
        <w:t>SCG/PE/CEENL/CG/247/2009. Resolution of July 15, 2009. Annex to the initial petition of the petitioners received on February 26,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A0786C"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B056E" w14:textId="77777777" w:rsidR="00154E32" w:rsidRDefault="00154E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C960F2EE"/>
    <w:lvl w:ilvl="0" w:tplc="5B648EAA">
      <w:start w:val="1"/>
      <w:numFmt w:val="decimal"/>
      <w:lvlText w:val="%1."/>
      <w:lvlJc w:val="left"/>
      <w:pPr>
        <w:tabs>
          <w:tab w:val="num" w:pos="720"/>
        </w:tabs>
        <w:ind w:left="0" w:firstLine="720"/>
      </w:pPr>
      <w:rPr>
        <w:rFonts w:hint="default"/>
        <w:i w:val="0"/>
        <w:color w:val="auto"/>
        <w:vertAlign w:val="baseline"/>
        <w:lang w:val="es-ES_tradn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5E6B07"/>
    <w:multiLevelType w:val="hybridMultilevel"/>
    <w:tmpl w:val="9146D076"/>
    <w:lvl w:ilvl="0" w:tplc="87DECC8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6"/>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1"/>
  </w:num>
  <w:num w:numId="95">
    <w:abstractNumId w:val="42"/>
  </w:num>
  <w:num w:numId="96">
    <w:abstractNumId w:val="54"/>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 w:numId="106">
    <w:abstractNumId w:val="5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22CF5"/>
    <w:rsid w:val="00036A8A"/>
    <w:rsid w:val="00040C3A"/>
    <w:rsid w:val="00051AE9"/>
    <w:rsid w:val="000639C0"/>
    <w:rsid w:val="00070F3A"/>
    <w:rsid w:val="000716C5"/>
    <w:rsid w:val="00072DF7"/>
    <w:rsid w:val="00075E23"/>
    <w:rsid w:val="00092F32"/>
    <w:rsid w:val="0009344A"/>
    <w:rsid w:val="000A575F"/>
    <w:rsid w:val="000C0219"/>
    <w:rsid w:val="000C19A2"/>
    <w:rsid w:val="000C4365"/>
    <w:rsid w:val="000D10DB"/>
    <w:rsid w:val="000D6902"/>
    <w:rsid w:val="00124116"/>
    <w:rsid w:val="0013104F"/>
    <w:rsid w:val="00137EBA"/>
    <w:rsid w:val="00145EDC"/>
    <w:rsid w:val="00152A6D"/>
    <w:rsid w:val="00153084"/>
    <w:rsid w:val="00154E32"/>
    <w:rsid w:val="00167A34"/>
    <w:rsid w:val="001714B4"/>
    <w:rsid w:val="0018037F"/>
    <w:rsid w:val="001A5AF7"/>
    <w:rsid w:val="001A5F27"/>
    <w:rsid w:val="001A65E4"/>
    <w:rsid w:val="001A7870"/>
    <w:rsid w:val="001C1B41"/>
    <w:rsid w:val="001E366B"/>
    <w:rsid w:val="001F1902"/>
    <w:rsid w:val="00210E0E"/>
    <w:rsid w:val="00210F4B"/>
    <w:rsid w:val="00230163"/>
    <w:rsid w:val="0023351C"/>
    <w:rsid w:val="00247403"/>
    <w:rsid w:val="00247542"/>
    <w:rsid w:val="00257893"/>
    <w:rsid w:val="00266092"/>
    <w:rsid w:val="00266B61"/>
    <w:rsid w:val="0026712A"/>
    <w:rsid w:val="002704DB"/>
    <w:rsid w:val="002760CE"/>
    <w:rsid w:val="002B7A85"/>
    <w:rsid w:val="002C1641"/>
    <w:rsid w:val="002D7EA2"/>
    <w:rsid w:val="002E15DF"/>
    <w:rsid w:val="002E187C"/>
    <w:rsid w:val="002E6E57"/>
    <w:rsid w:val="00301075"/>
    <w:rsid w:val="00302733"/>
    <w:rsid w:val="00311A4F"/>
    <w:rsid w:val="00314078"/>
    <w:rsid w:val="00321AFD"/>
    <w:rsid w:val="00322450"/>
    <w:rsid w:val="003246B5"/>
    <w:rsid w:val="0033169F"/>
    <w:rsid w:val="003414AC"/>
    <w:rsid w:val="00346F28"/>
    <w:rsid w:val="00356185"/>
    <w:rsid w:val="00360380"/>
    <w:rsid w:val="003771A3"/>
    <w:rsid w:val="00386CF0"/>
    <w:rsid w:val="003A4348"/>
    <w:rsid w:val="003C32BC"/>
    <w:rsid w:val="003E3E03"/>
    <w:rsid w:val="003F1BBF"/>
    <w:rsid w:val="003F5171"/>
    <w:rsid w:val="004035DE"/>
    <w:rsid w:val="004162B1"/>
    <w:rsid w:val="004165C2"/>
    <w:rsid w:val="00424BBB"/>
    <w:rsid w:val="00450A4A"/>
    <w:rsid w:val="004666FB"/>
    <w:rsid w:val="00466D0B"/>
    <w:rsid w:val="00467B7E"/>
    <w:rsid w:val="0049419D"/>
    <w:rsid w:val="004B2762"/>
    <w:rsid w:val="004B7EB6"/>
    <w:rsid w:val="004C2291"/>
    <w:rsid w:val="004C41DE"/>
    <w:rsid w:val="004C4B62"/>
    <w:rsid w:val="004D6025"/>
    <w:rsid w:val="004D72BC"/>
    <w:rsid w:val="004E0D29"/>
    <w:rsid w:val="004F6B67"/>
    <w:rsid w:val="00501399"/>
    <w:rsid w:val="00502BCB"/>
    <w:rsid w:val="00507BC4"/>
    <w:rsid w:val="005128E4"/>
    <w:rsid w:val="00525560"/>
    <w:rsid w:val="00533229"/>
    <w:rsid w:val="005357A6"/>
    <w:rsid w:val="00544C49"/>
    <w:rsid w:val="0057402A"/>
    <w:rsid w:val="005771D0"/>
    <w:rsid w:val="005816E5"/>
    <w:rsid w:val="0059191A"/>
    <w:rsid w:val="005921FF"/>
    <w:rsid w:val="00592718"/>
    <w:rsid w:val="005A6D0E"/>
    <w:rsid w:val="005B222D"/>
    <w:rsid w:val="005B52B0"/>
    <w:rsid w:val="005B6806"/>
    <w:rsid w:val="005C00F9"/>
    <w:rsid w:val="005C4225"/>
    <w:rsid w:val="005D22D5"/>
    <w:rsid w:val="005F0F33"/>
    <w:rsid w:val="00600DEB"/>
    <w:rsid w:val="00611B10"/>
    <w:rsid w:val="00613027"/>
    <w:rsid w:val="00627C9F"/>
    <w:rsid w:val="006311DA"/>
    <w:rsid w:val="006311E9"/>
    <w:rsid w:val="006318B2"/>
    <w:rsid w:val="00632354"/>
    <w:rsid w:val="00642810"/>
    <w:rsid w:val="00652333"/>
    <w:rsid w:val="00653EA6"/>
    <w:rsid w:val="0068009E"/>
    <w:rsid w:val="006A17D2"/>
    <w:rsid w:val="006A73E6"/>
    <w:rsid w:val="006A78BE"/>
    <w:rsid w:val="006B2D5C"/>
    <w:rsid w:val="006C4EB1"/>
    <w:rsid w:val="006D0BC7"/>
    <w:rsid w:val="006D4707"/>
    <w:rsid w:val="006E0166"/>
    <w:rsid w:val="006E7B34"/>
    <w:rsid w:val="00701B24"/>
    <w:rsid w:val="0071495F"/>
    <w:rsid w:val="0073798E"/>
    <w:rsid w:val="00745899"/>
    <w:rsid w:val="007607C4"/>
    <w:rsid w:val="0076643F"/>
    <w:rsid w:val="007806D0"/>
    <w:rsid w:val="00781653"/>
    <w:rsid w:val="007A2F70"/>
    <w:rsid w:val="007C3334"/>
    <w:rsid w:val="007C52BB"/>
    <w:rsid w:val="007D2B98"/>
    <w:rsid w:val="007E5152"/>
    <w:rsid w:val="00802A5F"/>
    <w:rsid w:val="00803F1C"/>
    <w:rsid w:val="0080600E"/>
    <w:rsid w:val="00817612"/>
    <w:rsid w:val="00837C45"/>
    <w:rsid w:val="00853419"/>
    <w:rsid w:val="00897E12"/>
    <w:rsid w:val="008D43BA"/>
    <w:rsid w:val="008E3759"/>
    <w:rsid w:val="009041DC"/>
    <w:rsid w:val="009104B4"/>
    <w:rsid w:val="009228DA"/>
    <w:rsid w:val="00924ADB"/>
    <w:rsid w:val="00925FCD"/>
    <w:rsid w:val="0093441A"/>
    <w:rsid w:val="009427B3"/>
    <w:rsid w:val="00954BF7"/>
    <w:rsid w:val="0096706E"/>
    <w:rsid w:val="00981FBA"/>
    <w:rsid w:val="009A159E"/>
    <w:rsid w:val="009B381B"/>
    <w:rsid w:val="009D7611"/>
    <w:rsid w:val="009E53DE"/>
    <w:rsid w:val="009E566A"/>
    <w:rsid w:val="00A0786C"/>
    <w:rsid w:val="00A12DBC"/>
    <w:rsid w:val="00A43458"/>
    <w:rsid w:val="00A528D1"/>
    <w:rsid w:val="00A66BE5"/>
    <w:rsid w:val="00A86B81"/>
    <w:rsid w:val="00A93969"/>
    <w:rsid w:val="00AD37C1"/>
    <w:rsid w:val="00AE66EC"/>
    <w:rsid w:val="00AE6F91"/>
    <w:rsid w:val="00AF5571"/>
    <w:rsid w:val="00B06BB7"/>
    <w:rsid w:val="00B14CD4"/>
    <w:rsid w:val="00B1664E"/>
    <w:rsid w:val="00B167E9"/>
    <w:rsid w:val="00B179ED"/>
    <w:rsid w:val="00B314DB"/>
    <w:rsid w:val="00B31EBE"/>
    <w:rsid w:val="00B3718B"/>
    <w:rsid w:val="00B41CAD"/>
    <w:rsid w:val="00B44B23"/>
    <w:rsid w:val="00B4632A"/>
    <w:rsid w:val="00B84412"/>
    <w:rsid w:val="00B92E49"/>
    <w:rsid w:val="00BA276C"/>
    <w:rsid w:val="00BA474D"/>
    <w:rsid w:val="00BB306F"/>
    <w:rsid w:val="00BD232B"/>
    <w:rsid w:val="00BD2E42"/>
    <w:rsid w:val="00BD4B89"/>
    <w:rsid w:val="00C21762"/>
    <w:rsid w:val="00C24543"/>
    <w:rsid w:val="00C256A2"/>
    <w:rsid w:val="00C3492D"/>
    <w:rsid w:val="00C55560"/>
    <w:rsid w:val="00C66B72"/>
    <w:rsid w:val="00C83D2E"/>
    <w:rsid w:val="00C9567A"/>
    <w:rsid w:val="00CA6577"/>
    <w:rsid w:val="00CB2660"/>
    <w:rsid w:val="00CB7FF0"/>
    <w:rsid w:val="00CC5E90"/>
    <w:rsid w:val="00CD046C"/>
    <w:rsid w:val="00CE5199"/>
    <w:rsid w:val="00CE66D5"/>
    <w:rsid w:val="00D05533"/>
    <w:rsid w:val="00D34786"/>
    <w:rsid w:val="00D40A1E"/>
    <w:rsid w:val="00D533C0"/>
    <w:rsid w:val="00D56D17"/>
    <w:rsid w:val="00D712D3"/>
    <w:rsid w:val="00D71422"/>
    <w:rsid w:val="00D7145E"/>
    <w:rsid w:val="00D75084"/>
    <w:rsid w:val="00D7558D"/>
    <w:rsid w:val="00D81D92"/>
    <w:rsid w:val="00D93446"/>
    <w:rsid w:val="00DA7B5F"/>
    <w:rsid w:val="00DF078B"/>
    <w:rsid w:val="00DF350D"/>
    <w:rsid w:val="00E1064B"/>
    <w:rsid w:val="00E227C1"/>
    <w:rsid w:val="00E43157"/>
    <w:rsid w:val="00E47F3D"/>
    <w:rsid w:val="00E533FF"/>
    <w:rsid w:val="00E61966"/>
    <w:rsid w:val="00E709B3"/>
    <w:rsid w:val="00E7588C"/>
    <w:rsid w:val="00E850B6"/>
    <w:rsid w:val="00E8789F"/>
    <w:rsid w:val="00E97B71"/>
    <w:rsid w:val="00EA5823"/>
    <w:rsid w:val="00EB454D"/>
    <w:rsid w:val="00ED0D1B"/>
    <w:rsid w:val="00EE3522"/>
    <w:rsid w:val="00EF619B"/>
    <w:rsid w:val="00F00B55"/>
    <w:rsid w:val="00F1380F"/>
    <w:rsid w:val="00F14F0E"/>
    <w:rsid w:val="00F15A3B"/>
    <w:rsid w:val="00F24C29"/>
    <w:rsid w:val="00F253CC"/>
    <w:rsid w:val="00F42B71"/>
    <w:rsid w:val="00F56BA5"/>
    <w:rsid w:val="00F621C3"/>
    <w:rsid w:val="00F644E6"/>
    <w:rsid w:val="00F8211E"/>
    <w:rsid w:val="00F9653B"/>
    <w:rsid w:val="00FB5731"/>
    <w:rsid w:val="00FB62CF"/>
    <w:rsid w:val="00FC3EB4"/>
    <w:rsid w:val="00FC6C58"/>
    <w:rsid w:val="00FE6B45"/>
    <w:rsid w:val="00FF14AD"/>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styleId="NoSpacing">
    <w:name w:val="No Spacing"/>
    <w:uiPriority w:val="1"/>
    <w:qFormat/>
    <w:rsid w:val="004E0D2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US" w:eastAsia="en-US"/>
    </w:rPr>
  </w:style>
  <w:style w:type="character" w:styleId="Strong">
    <w:name w:val="Strong"/>
    <w:basedOn w:val="DefaultParagraphFont"/>
    <w:uiPriority w:val="22"/>
    <w:qFormat/>
    <w:rsid w:val="004E0D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diputados.gob.mx/LeyesBiblio/pdf/149_190118.pdf" TargetMode="External"/><Relationship Id="rId2" Type="http://schemas.openxmlformats.org/officeDocument/2006/relationships/hyperlink" Target="http://www.diputados.gob.mx/LeyesBiblio/pdf/149_190118.pdf" TargetMode="External"/><Relationship Id="rId1" Type="http://schemas.openxmlformats.org/officeDocument/2006/relationships/hyperlink" Target="http://www.diputados.gob.mx/LeyesBiblio/pdf/149_190118.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2951F8"/>
    <w:rsid w:val="0036370F"/>
    <w:rsid w:val="00384EC0"/>
    <w:rsid w:val="004108B1"/>
    <w:rsid w:val="00520C25"/>
    <w:rsid w:val="00676BF4"/>
    <w:rsid w:val="00AB44F1"/>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2B0D8-7CF9-4789-B9A1-CE57D7CAE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5313</Words>
  <Characters>30289</Characters>
  <Application>Microsoft Office Word</Application>
  <DocSecurity>0</DocSecurity>
  <Lines>252</Lines>
  <Paragraphs>71</Paragraphs>
  <ScaleCrop>false</ScaleCrop>
  <Company/>
  <LinksUpToDate>false</LinksUpToDate>
  <CharactersWithSpaces>35531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52/18</dc:title>
  <dc:creator/>
  <cp:lastModifiedBy/>
  <cp:revision>1</cp:revision>
  <dcterms:created xsi:type="dcterms:W3CDTF">2019-06-06T15:08:00Z</dcterms:created>
  <dcterms:modified xsi:type="dcterms:W3CDTF">2019-06-06T15:08:00Z</dcterms:modified>
</cp:coreProperties>
</file>