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E31A6"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304C" w:rsidRDefault="00C8304C">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8304C" w:rsidRDefault="00C8304C">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304C" w:rsidRPr="004B7EB6" w:rsidRDefault="00C8304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E25CCE">
                              <w:rPr>
                                <w:rFonts w:asciiTheme="majorHAnsi" w:hAnsiTheme="majorHAnsi" w:cs="Arial"/>
                                <w:b/>
                                <w:bCs/>
                                <w:color w:val="0D0D0D" w:themeColor="text1" w:themeTint="F2"/>
                                <w:sz w:val="36"/>
                                <w:szCs w:val="40"/>
                              </w:rPr>
                              <w:t>162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rsidR="00C8304C" w:rsidRPr="004B7EB6" w:rsidRDefault="00C8304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P-1472-08</w:t>
                            </w:r>
                          </w:p>
                          <w:p w:rsidR="00C8304C" w:rsidRPr="004B7EB6" w:rsidRDefault="00C8304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C8304C" w:rsidRPr="004B7EB6" w:rsidRDefault="00C8304C" w:rsidP="004B7EB6">
                            <w:pPr>
                              <w:spacing w:line="276" w:lineRule="auto"/>
                              <w:rPr>
                                <w:rFonts w:asciiTheme="majorHAnsi" w:hAnsiTheme="majorHAnsi" w:cs="Arial"/>
                                <w:color w:val="0D0D0D" w:themeColor="text1" w:themeTint="F2"/>
                                <w:szCs w:val="22"/>
                              </w:rPr>
                            </w:pPr>
                          </w:p>
                          <w:p w:rsidR="00C8304C" w:rsidRDefault="00C830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C8408D">
                              <w:rPr>
                                <w:rFonts w:asciiTheme="majorHAnsi" w:hAnsiTheme="majorHAnsi" w:cs="Arial"/>
                                <w:color w:val="0D0D0D" w:themeColor="text1" w:themeTint="F2"/>
                                <w:szCs w:val="22"/>
                              </w:rPr>
                              <w:t>ATANASIO GALVIS QUINTERO AND HIS CHILDREN</w:t>
                            </w:r>
                          </w:p>
                          <w:p w:rsidR="00C8304C" w:rsidRPr="004B625D" w:rsidRDefault="00C830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rsidR="00C8304C" w:rsidRPr="000C4365" w:rsidRDefault="00C8304C"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C8304C" w:rsidRPr="004B7EB6" w:rsidRDefault="00C8304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E25CCE">
                        <w:rPr>
                          <w:rFonts w:asciiTheme="majorHAnsi" w:hAnsiTheme="majorHAnsi" w:cs="Arial"/>
                          <w:b/>
                          <w:bCs/>
                          <w:color w:val="0D0D0D" w:themeColor="text1" w:themeTint="F2"/>
                          <w:sz w:val="36"/>
                          <w:szCs w:val="40"/>
                        </w:rPr>
                        <w:t>162</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rsidR="00C8304C" w:rsidRPr="004B7EB6" w:rsidRDefault="00C8304C"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P-1472-08</w:t>
                      </w:r>
                    </w:p>
                    <w:p w:rsidR="00C8304C" w:rsidRPr="004B7EB6" w:rsidRDefault="00C8304C"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rsidR="00C8304C" w:rsidRPr="004B7EB6" w:rsidRDefault="00C8304C" w:rsidP="004B7EB6">
                      <w:pPr>
                        <w:spacing w:line="276" w:lineRule="auto"/>
                        <w:rPr>
                          <w:rFonts w:asciiTheme="majorHAnsi" w:hAnsiTheme="majorHAnsi" w:cs="Arial"/>
                          <w:color w:val="0D0D0D" w:themeColor="text1" w:themeTint="F2"/>
                          <w:szCs w:val="22"/>
                        </w:rPr>
                      </w:pPr>
                    </w:p>
                    <w:p w:rsidR="00C8304C" w:rsidRDefault="00C830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C8408D">
                        <w:rPr>
                          <w:rFonts w:asciiTheme="majorHAnsi" w:hAnsiTheme="majorHAnsi" w:cs="Arial"/>
                          <w:color w:val="0D0D0D" w:themeColor="text1" w:themeTint="F2"/>
                          <w:szCs w:val="22"/>
                        </w:rPr>
                        <w:t>ATANASIO GALVIS QUINTERO AND HIS CHILDREN</w:t>
                      </w:r>
                    </w:p>
                    <w:p w:rsidR="00C8304C" w:rsidRPr="004B625D" w:rsidRDefault="00C8304C"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rsidR="00C8304C" w:rsidRPr="000C4365" w:rsidRDefault="00C8304C"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304C" w:rsidRPr="00E25CCE" w:rsidRDefault="00C8304C" w:rsidP="009E566A">
                            <w:pPr>
                              <w:jc w:val="right"/>
                              <w:rPr>
                                <w:rFonts w:asciiTheme="minorHAnsi" w:hAnsiTheme="minorHAnsi"/>
                                <w:color w:val="FFFFFF" w:themeColor="background1"/>
                                <w:sz w:val="22"/>
                                <w:lang w:val="pt-BR"/>
                              </w:rPr>
                            </w:pPr>
                            <w:r w:rsidRPr="00E25CCE">
                              <w:rPr>
                                <w:rFonts w:asciiTheme="minorHAnsi" w:hAnsiTheme="minorHAnsi"/>
                                <w:color w:val="FFFFFF" w:themeColor="background1"/>
                                <w:sz w:val="22"/>
                                <w:lang w:val="pt-BR"/>
                              </w:rPr>
                              <w:t>OEA/Ser.L/V/II.</w:t>
                            </w:r>
                          </w:p>
                          <w:p w:rsidR="00C8304C" w:rsidRPr="00E25CCE" w:rsidRDefault="00C8304C" w:rsidP="009E566A">
                            <w:pPr>
                              <w:jc w:val="right"/>
                              <w:rPr>
                                <w:rFonts w:asciiTheme="minorHAnsi" w:hAnsiTheme="minorHAnsi"/>
                                <w:color w:val="FFFFFF" w:themeColor="background1"/>
                                <w:sz w:val="22"/>
                                <w:lang w:val="pt-BR"/>
                              </w:rPr>
                            </w:pPr>
                            <w:r w:rsidRPr="00E25CCE">
                              <w:rPr>
                                <w:rFonts w:asciiTheme="minorHAnsi" w:hAnsiTheme="minorHAnsi"/>
                                <w:color w:val="FFFFFF" w:themeColor="background1"/>
                                <w:sz w:val="22"/>
                                <w:lang w:val="pt-BR"/>
                              </w:rPr>
                              <w:t xml:space="preserve">Doc. </w:t>
                            </w:r>
                            <w:r w:rsidR="00E25CCE" w:rsidRPr="00E25CCE">
                              <w:rPr>
                                <w:rFonts w:asciiTheme="minorHAnsi" w:hAnsiTheme="minorHAnsi"/>
                                <w:color w:val="FFFFFF" w:themeColor="background1"/>
                                <w:sz w:val="22"/>
                                <w:lang w:val="pt-BR"/>
                              </w:rPr>
                              <w:t>186</w:t>
                            </w:r>
                          </w:p>
                          <w:p w:rsidR="00C8304C" w:rsidRPr="00E25CCE" w:rsidRDefault="00C8304C" w:rsidP="009E566A">
                            <w:pPr>
                              <w:jc w:val="right"/>
                              <w:rPr>
                                <w:rFonts w:asciiTheme="minorHAnsi" w:hAnsiTheme="minorHAnsi"/>
                                <w:color w:val="FFFFFF" w:themeColor="background1"/>
                                <w:sz w:val="22"/>
                              </w:rPr>
                            </w:pPr>
                            <w:r w:rsidRPr="00E25CCE">
                              <w:rPr>
                                <w:rFonts w:asciiTheme="minorHAnsi" w:hAnsiTheme="minorHAnsi"/>
                                <w:color w:val="FFFFFF" w:themeColor="background1"/>
                                <w:sz w:val="22"/>
                                <w:lang w:val="pt-BR"/>
                              </w:rPr>
                              <w:t xml:space="preserve"> </w:t>
                            </w:r>
                            <w:r w:rsidR="00E25CCE">
                              <w:rPr>
                                <w:rFonts w:asciiTheme="minorHAnsi" w:hAnsiTheme="minorHAnsi"/>
                                <w:color w:val="FFFFFF" w:themeColor="background1"/>
                                <w:sz w:val="22"/>
                              </w:rPr>
                              <w:t>7 December</w:t>
                            </w:r>
                            <w:r w:rsidRPr="00E25CCE">
                              <w:rPr>
                                <w:rFonts w:asciiTheme="minorHAnsi" w:hAnsiTheme="minorHAnsi"/>
                                <w:color w:val="FFFFFF" w:themeColor="background1"/>
                                <w:sz w:val="22"/>
                              </w:rPr>
                              <w:t xml:space="preserve"> 2018</w:t>
                            </w:r>
                          </w:p>
                          <w:p w:rsidR="00C8304C" w:rsidRPr="00E25CCE" w:rsidRDefault="00C8304C" w:rsidP="009E566A">
                            <w:pPr>
                              <w:jc w:val="right"/>
                              <w:rPr>
                                <w:rFonts w:asciiTheme="minorHAnsi" w:hAnsiTheme="minorHAnsi"/>
                                <w:color w:val="FFFFFF" w:themeColor="background1"/>
                                <w:sz w:val="22"/>
                              </w:rPr>
                            </w:pPr>
                            <w:r w:rsidRPr="00E25CCE">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C8304C" w:rsidRPr="00E25CCE" w:rsidRDefault="00C8304C" w:rsidP="009E566A">
                      <w:pPr>
                        <w:jc w:val="right"/>
                        <w:rPr>
                          <w:rFonts w:asciiTheme="minorHAnsi" w:hAnsiTheme="minorHAnsi"/>
                          <w:color w:val="FFFFFF" w:themeColor="background1"/>
                          <w:sz w:val="22"/>
                          <w:lang w:val="pt-BR"/>
                        </w:rPr>
                      </w:pPr>
                      <w:r w:rsidRPr="00E25CCE">
                        <w:rPr>
                          <w:rFonts w:asciiTheme="minorHAnsi" w:hAnsiTheme="minorHAnsi"/>
                          <w:color w:val="FFFFFF" w:themeColor="background1"/>
                          <w:sz w:val="22"/>
                          <w:lang w:val="pt-BR"/>
                        </w:rPr>
                        <w:t>OEA/Ser.L/V/II.</w:t>
                      </w:r>
                    </w:p>
                    <w:p w:rsidR="00C8304C" w:rsidRPr="00E25CCE" w:rsidRDefault="00C8304C" w:rsidP="009E566A">
                      <w:pPr>
                        <w:jc w:val="right"/>
                        <w:rPr>
                          <w:rFonts w:asciiTheme="minorHAnsi" w:hAnsiTheme="minorHAnsi"/>
                          <w:color w:val="FFFFFF" w:themeColor="background1"/>
                          <w:sz w:val="22"/>
                          <w:lang w:val="pt-BR"/>
                        </w:rPr>
                      </w:pPr>
                      <w:r w:rsidRPr="00E25CCE">
                        <w:rPr>
                          <w:rFonts w:asciiTheme="minorHAnsi" w:hAnsiTheme="minorHAnsi"/>
                          <w:color w:val="FFFFFF" w:themeColor="background1"/>
                          <w:sz w:val="22"/>
                          <w:lang w:val="pt-BR"/>
                        </w:rPr>
                        <w:t xml:space="preserve">Doc. </w:t>
                      </w:r>
                      <w:r w:rsidR="00E25CCE" w:rsidRPr="00E25CCE">
                        <w:rPr>
                          <w:rFonts w:asciiTheme="minorHAnsi" w:hAnsiTheme="minorHAnsi"/>
                          <w:color w:val="FFFFFF" w:themeColor="background1"/>
                          <w:sz w:val="22"/>
                          <w:lang w:val="pt-BR"/>
                        </w:rPr>
                        <w:t>186</w:t>
                      </w:r>
                    </w:p>
                    <w:p w:rsidR="00C8304C" w:rsidRPr="00E25CCE" w:rsidRDefault="00C8304C" w:rsidP="009E566A">
                      <w:pPr>
                        <w:jc w:val="right"/>
                        <w:rPr>
                          <w:rFonts w:asciiTheme="minorHAnsi" w:hAnsiTheme="minorHAnsi"/>
                          <w:color w:val="FFFFFF" w:themeColor="background1"/>
                          <w:sz w:val="22"/>
                        </w:rPr>
                      </w:pPr>
                      <w:r w:rsidRPr="00E25CCE">
                        <w:rPr>
                          <w:rFonts w:asciiTheme="minorHAnsi" w:hAnsiTheme="minorHAnsi"/>
                          <w:color w:val="FFFFFF" w:themeColor="background1"/>
                          <w:sz w:val="22"/>
                          <w:lang w:val="pt-BR"/>
                        </w:rPr>
                        <w:t xml:space="preserve"> </w:t>
                      </w:r>
                      <w:r w:rsidR="00E25CCE">
                        <w:rPr>
                          <w:rFonts w:asciiTheme="minorHAnsi" w:hAnsiTheme="minorHAnsi"/>
                          <w:color w:val="FFFFFF" w:themeColor="background1"/>
                          <w:sz w:val="22"/>
                        </w:rPr>
                        <w:t>7 December</w:t>
                      </w:r>
                      <w:r w:rsidRPr="00E25CCE">
                        <w:rPr>
                          <w:rFonts w:asciiTheme="minorHAnsi" w:hAnsiTheme="minorHAnsi"/>
                          <w:color w:val="FFFFFF" w:themeColor="background1"/>
                          <w:sz w:val="22"/>
                        </w:rPr>
                        <w:t xml:space="preserve"> 2018</w:t>
                      </w:r>
                    </w:p>
                    <w:p w:rsidR="00C8304C" w:rsidRPr="00E25CCE" w:rsidRDefault="00C8304C" w:rsidP="009E566A">
                      <w:pPr>
                        <w:jc w:val="right"/>
                        <w:rPr>
                          <w:rFonts w:asciiTheme="minorHAnsi" w:hAnsiTheme="minorHAnsi"/>
                          <w:color w:val="FFFFFF" w:themeColor="background1"/>
                          <w:sz w:val="22"/>
                        </w:rPr>
                      </w:pPr>
                      <w:r w:rsidRPr="00E25CCE">
                        <w:rPr>
                          <w:rFonts w:asciiTheme="minorHAnsi" w:hAnsiTheme="minorHAnsi"/>
                          <w:color w:val="FFFFFF" w:themeColor="background1"/>
                          <w:sz w:val="22"/>
                        </w:rPr>
                        <w:t>Original: 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5657B6"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932024E">
                <wp:simplePos x="0" y="0"/>
                <wp:positionH relativeFrom="column">
                  <wp:posOffset>1257300</wp:posOffset>
                </wp:positionH>
                <wp:positionV relativeFrom="paragraph">
                  <wp:posOffset>112395</wp:posOffset>
                </wp:positionV>
                <wp:extent cx="4572000" cy="800100"/>
                <wp:effectExtent l="0" t="0" r="0" b="12700"/>
                <wp:wrapNone/>
                <wp:docPr id="7" name="Text Box 7"/>
                <wp:cNvGraphicFramePr/>
                <a:graphic xmlns:a="http://schemas.openxmlformats.org/drawingml/2006/main">
                  <a:graphicData uri="http://schemas.microsoft.com/office/word/2010/wordprocessingShape">
                    <wps:wsp>
                      <wps:cNvSpPr txBox="1"/>
                      <wps:spPr>
                        <a:xfrm>
                          <a:off x="0" y="0"/>
                          <a:ext cx="4572000" cy="800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304C" w:rsidRPr="003C32BC" w:rsidRDefault="00C8304C"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E25CCE">
                              <w:rPr>
                                <w:rFonts w:asciiTheme="majorHAnsi" w:hAnsiTheme="majorHAnsi" w:cs="Univers"/>
                                <w:color w:val="0D0D0D" w:themeColor="text1" w:themeTint="F2"/>
                                <w:sz w:val="18"/>
                                <w:szCs w:val="20"/>
                              </w:rPr>
                              <w:t>December 7</w:t>
                            </w:r>
                            <w:r>
                              <w:rPr>
                                <w:rFonts w:asciiTheme="majorHAnsi" w:hAnsiTheme="majorHAnsi" w:cs="Univers"/>
                                <w:color w:val="0D0D0D" w:themeColor="text1" w:themeTint="F2"/>
                                <w:sz w:val="18"/>
                                <w:szCs w:val="20"/>
                              </w:rPr>
                              <w:t>, 2018</w:t>
                            </w:r>
                            <w:r w:rsidR="00515B4A">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9pt;margin-top:8.85pt;width:5in;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" filled="f" stroked="f" strokeweight=".5pt">
                <v:textbox>
                  <w:txbxContent>
                    <w:p w:rsidR="00C8304C" w:rsidRPr="003C32BC" w:rsidRDefault="00C8304C"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E25CCE">
                        <w:rPr>
                          <w:rFonts w:asciiTheme="majorHAnsi" w:hAnsiTheme="majorHAnsi" w:cs="Univers"/>
                          <w:color w:val="0D0D0D" w:themeColor="text1" w:themeTint="F2"/>
                          <w:sz w:val="18"/>
                          <w:szCs w:val="20"/>
                        </w:rPr>
                        <w:t>December 7</w:t>
                      </w:r>
                      <w:r>
                        <w:rPr>
                          <w:rFonts w:asciiTheme="majorHAnsi" w:hAnsiTheme="majorHAnsi" w:cs="Univers"/>
                          <w:color w:val="0D0D0D" w:themeColor="text1" w:themeTint="F2"/>
                          <w:sz w:val="18"/>
                          <w:szCs w:val="20"/>
                        </w:rPr>
                        <w:t>, 2018</w:t>
                      </w:r>
                      <w:r w:rsidR="00515B4A">
                        <w:rPr>
                          <w:rFonts w:asciiTheme="majorHAnsi" w:hAnsiTheme="majorHAnsi" w:cs="Univers"/>
                          <w:color w:val="0D0D0D" w:themeColor="text1" w:themeTint="F2"/>
                          <w:sz w:val="18"/>
                          <w:szCs w:val="20"/>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304C" w:rsidRPr="003C32BC" w:rsidRDefault="00C8304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25CCE">
                              <w:rPr>
                                <w:rFonts w:asciiTheme="majorHAnsi" w:hAnsiTheme="majorHAnsi"/>
                                <w:color w:val="595959" w:themeColor="text1" w:themeTint="A6"/>
                                <w:sz w:val="18"/>
                              </w:rPr>
                              <w:t>162</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E25CCE">
                              <w:rPr>
                                <w:rFonts w:asciiTheme="majorHAnsi" w:hAnsiTheme="majorHAnsi"/>
                                <w:color w:val="595959" w:themeColor="text1" w:themeTint="A6"/>
                                <w:sz w:val="18"/>
                              </w:rPr>
                              <w:t>1472</w:t>
                            </w:r>
                            <w:r>
                              <w:rPr>
                                <w:rFonts w:asciiTheme="majorHAnsi" w:hAnsiTheme="majorHAnsi"/>
                                <w:color w:val="595959" w:themeColor="text1" w:themeTint="A6"/>
                                <w:sz w:val="18"/>
                              </w:rPr>
                              <w:t>-</w:t>
                            </w:r>
                            <w:r w:rsidR="00E25CCE">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sidRPr="00F41B76">
                              <w:rPr>
                                <w:rFonts w:asciiTheme="majorHAnsi" w:hAnsiTheme="majorHAnsi"/>
                                <w:color w:val="595959" w:themeColor="text1" w:themeTint="A6"/>
                                <w:sz w:val="18"/>
                                <w:szCs w:val="18"/>
                              </w:rPr>
                              <w:t>Atanasio</w:t>
                            </w:r>
                            <w:proofErr w:type="spellEnd"/>
                            <w:r w:rsidRPr="00F41B76">
                              <w:rPr>
                                <w:rFonts w:asciiTheme="majorHAnsi" w:hAnsiTheme="majorHAnsi"/>
                                <w:color w:val="595959" w:themeColor="text1" w:themeTint="A6"/>
                                <w:sz w:val="18"/>
                                <w:szCs w:val="18"/>
                              </w:rPr>
                              <w:t xml:space="preserve"> </w:t>
                            </w:r>
                            <w:proofErr w:type="spellStart"/>
                            <w:r w:rsidRPr="00F41B76">
                              <w:rPr>
                                <w:rFonts w:asciiTheme="majorHAnsi" w:hAnsiTheme="majorHAnsi"/>
                                <w:color w:val="595959" w:themeColor="text1" w:themeTint="A6"/>
                                <w:sz w:val="18"/>
                                <w:szCs w:val="18"/>
                              </w:rPr>
                              <w:t>Galvis</w:t>
                            </w:r>
                            <w:proofErr w:type="spellEnd"/>
                            <w:r w:rsidRPr="00F41B76">
                              <w:rPr>
                                <w:rFonts w:asciiTheme="majorHAnsi" w:hAnsiTheme="majorHAnsi"/>
                                <w:color w:val="595959" w:themeColor="text1" w:themeTint="A6"/>
                                <w:sz w:val="18"/>
                                <w:szCs w:val="18"/>
                              </w:rPr>
                              <w:t xml:space="preserve"> Quintero and family. Colombia</w:t>
                            </w:r>
                            <w:r>
                              <w:rPr>
                                <w:rFonts w:asciiTheme="majorHAnsi" w:hAnsiTheme="majorHAnsi"/>
                                <w:color w:val="595959" w:themeColor="text1" w:themeTint="A6"/>
                                <w:sz w:val="18"/>
                              </w:rPr>
                              <w:t xml:space="preserve">. </w:t>
                            </w:r>
                            <w:r w:rsidR="00E25CCE">
                              <w:rPr>
                                <w:rFonts w:asciiTheme="majorHAnsi" w:hAnsiTheme="majorHAnsi"/>
                                <w:color w:val="595959" w:themeColor="text1" w:themeTint="A6"/>
                                <w:sz w:val="18"/>
                              </w:rPr>
                              <w:t>December 7, 2018</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C8304C" w:rsidRPr="003C32BC" w:rsidRDefault="00C8304C"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E25CCE">
                        <w:rPr>
                          <w:rFonts w:asciiTheme="majorHAnsi" w:hAnsiTheme="majorHAnsi"/>
                          <w:color w:val="595959" w:themeColor="text1" w:themeTint="A6"/>
                          <w:sz w:val="18"/>
                        </w:rPr>
                        <w:t>162</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E25CCE">
                        <w:rPr>
                          <w:rFonts w:asciiTheme="majorHAnsi" w:hAnsiTheme="majorHAnsi"/>
                          <w:color w:val="595959" w:themeColor="text1" w:themeTint="A6"/>
                          <w:sz w:val="18"/>
                        </w:rPr>
                        <w:t>1472</w:t>
                      </w:r>
                      <w:r>
                        <w:rPr>
                          <w:rFonts w:asciiTheme="majorHAnsi" w:hAnsiTheme="majorHAnsi"/>
                          <w:color w:val="595959" w:themeColor="text1" w:themeTint="A6"/>
                          <w:sz w:val="18"/>
                        </w:rPr>
                        <w:t>-</w:t>
                      </w:r>
                      <w:r w:rsidR="00E25CCE">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Admissibility</w:t>
                      </w:r>
                      <w:r w:rsidRPr="003C32BC">
                        <w:rPr>
                          <w:rFonts w:asciiTheme="majorHAnsi" w:hAnsiTheme="majorHAnsi"/>
                          <w:color w:val="595959" w:themeColor="text1" w:themeTint="A6"/>
                          <w:sz w:val="18"/>
                        </w:rPr>
                        <w:t xml:space="preserve">. </w:t>
                      </w:r>
                      <w:proofErr w:type="spellStart"/>
                      <w:r w:rsidRPr="00F41B76">
                        <w:rPr>
                          <w:rFonts w:asciiTheme="majorHAnsi" w:hAnsiTheme="majorHAnsi"/>
                          <w:color w:val="595959" w:themeColor="text1" w:themeTint="A6"/>
                          <w:sz w:val="18"/>
                          <w:szCs w:val="18"/>
                        </w:rPr>
                        <w:t>Atanasio</w:t>
                      </w:r>
                      <w:proofErr w:type="spellEnd"/>
                      <w:r w:rsidRPr="00F41B76">
                        <w:rPr>
                          <w:rFonts w:asciiTheme="majorHAnsi" w:hAnsiTheme="majorHAnsi"/>
                          <w:color w:val="595959" w:themeColor="text1" w:themeTint="A6"/>
                          <w:sz w:val="18"/>
                          <w:szCs w:val="18"/>
                        </w:rPr>
                        <w:t xml:space="preserve"> </w:t>
                      </w:r>
                      <w:proofErr w:type="spellStart"/>
                      <w:r w:rsidRPr="00F41B76">
                        <w:rPr>
                          <w:rFonts w:asciiTheme="majorHAnsi" w:hAnsiTheme="majorHAnsi"/>
                          <w:color w:val="595959" w:themeColor="text1" w:themeTint="A6"/>
                          <w:sz w:val="18"/>
                          <w:szCs w:val="18"/>
                        </w:rPr>
                        <w:t>Galvis</w:t>
                      </w:r>
                      <w:proofErr w:type="spellEnd"/>
                      <w:r w:rsidRPr="00F41B76">
                        <w:rPr>
                          <w:rFonts w:asciiTheme="majorHAnsi" w:hAnsiTheme="majorHAnsi"/>
                          <w:color w:val="595959" w:themeColor="text1" w:themeTint="A6"/>
                          <w:sz w:val="18"/>
                          <w:szCs w:val="18"/>
                        </w:rPr>
                        <w:t xml:space="preserve"> Quintero and family. Colombia</w:t>
                      </w:r>
                      <w:r>
                        <w:rPr>
                          <w:rFonts w:asciiTheme="majorHAnsi" w:hAnsiTheme="majorHAnsi"/>
                          <w:color w:val="595959" w:themeColor="text1" w:themeTint="A6"/>
                          <w:sz w:val="18"/>
                        </w:rPr>
                        <w:t xml:space="preserve">. </w:t>
                      </w:r>
                      <w:r w:rsidR="00E25CCE">
                        <w:rPr>
                          <w:rFonts w:asciiTheme="majorHAnsi" w:hAnsiTheme="majorHAnsi"/>
                          <w:color w:val="595959" w:themeColor="text1" w:themeTint="A6"/>
                          <w:sz w:val="18"/>
                        </w:rPr>
                        <w:t>December 7, 2018</w:t>
                      </w:r>
                      <w:r>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304C" w:rsidRPr="004B7EB6" w:rsidRDefault="00C8304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C8304C" w:rsidRPr="004B7EB6" w:rsidRDefault="00C8304C"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04C" w:rsidRDefault="00C8304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C8304C" w:rsidRDefault="00C8304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rsidR="00F621C3" w:rsidRPr="00DA7C14" w:rsidRDefault="00F621C3" w:rsidP="00E25CCE">
      <w:pPr>
        <w:spacing w:after="220"/>
        <w:ind w:firstLine="720"/>
        <w:jc w:val="both"/>
        <w:rPr>
          <w:rFonts w:asciiTheme="majorHAnsi" w:hAnsiTheme="majorHAnsi"/>
          <w:b/>
          <w:bCs/>
          <w:sz w:val="19"/>
          <w:szCs w:val="19"/>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DA7C14">
        <w:rPr>
          <w:rFonts w:asciiTheme="majorHAnsi" w:hAnsiTheme="majorHAnsi"/>
          <w:b/>
          <w:bCs/>
          <w:sz w:val="19"/>
          <w:szCs w:val="19"/>
        </w:rPr>
        <w:t>INFORMATION ABOUT THE PETITION</w:t>
      </w:r>
      <w:r w:rsidRPr="00DA7C14">
        <w:rPr>
          <w:rFonts w:asciiTheme="majorHAnsi" w:hAnsiTheme="majorHAnsi"/>
          <w:b/>
          <w:bCs/>
          <w:sz w:val="19"/>
          <w:szCs w:val="19"/>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A7C14" w:rsidTr="00B06BB7">
        <w:tc>
          <w:tcPr>
            <w:tcW w:w="3690" w:type="dxa"/>
            <w:tcBorders>
              <w:top w:val="single" w:sz="4" w:space="0" w:color="auto"/>
              <w:bottom w:val="single" w:sz="6" w:space="0" w:color="auto"/>
            </w:tcBorders>
            <w:shd w:val="clear" w:color="auto" w:fill="67AE3C"/>
            <w:vAlign w:val="center"/>
          </w:tcPr>
          <w:p w:rsidR="00F621C3" w:rsidRPr="00DA7C14" w:rsidRDefault="003771A3" w:rsidP="00E17D30">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Petitioner</w:t>
            </w:r>
            <w:r w:rsidR="00F621C3" w:rsidRPr="00DA7C14">
              <w:rPr>
                <w:rFonts w:ascii="Cambria" w:hAnsi="Cambria"/>
                <w:b/>
                <w:bCs/>
                <w:color w:val="FFFFFF" w:themeColor="background1"/>
                <w:sz w:val="19"/>
                <w:szCs w:val="19"/>
              </w:rPr>
              <w:t>:</w:t>
            </w:r>
          </w:p>
        </w:tc>
        <w:tc>
          <w:tcPr>
            <w:tcW w:w="5670" w:type="dxa"/>
            <w:vAlign w:val="center"/>
          </w:tcPr>
          <w:p w:rsidR="00F621C3" w:rsidRPr="00DA7C14" w:rsidRDefault="00683336" w:rsidP="00E17D30">
            <w:pPr>
              <w:jc w:val="both"/>
              <w:rPr>
                <w:rFonts w:ascii="Cambria" w:hAnsi="Cambria"/>
                <w:bCs/>
                <w:sz w:val="19"/>
                <w:szCs w:val="19"/>
              </w:rPr>
            </w:pPr>
            <w:r w:rsidRPr="00DA7C14">
              <w:rPr>
                <w:rFonts w:ascii="Cambria" w:hAnsi="Cambria"/>
                <w:bCs/>
                <w:sz w:val="19"/>
                <w:szCs w:val="19"/>
              </w:rPr>
              <w:t xml:space="preserve">Oscar </w:t>
            </w:r>
            <w:proofErr w:type="spellStart"/>
            <w:r w:rsidRPr="00DA7C14">
              <w:rPr>
                <w:rFonts w:ascii="Cambria" w:hAnsi="Cambria"/>
                <w:bCs/>
                <w:sz w:val="19"/>
                <w:szCs w:val="19"/>
              </w:rPr>
              <w:t>Darío</w:t>
            </w:r>
            <w:proofErr w:type="spellEnd"/>
            <w:r w:rsidRPr="00DA7C14">
              <w:rPr>
                <w:rFonts w:ascii="Cambria" w:hAnsi="Cambria"/>
                <w:bCs/>
                <w:sz w:val="19"/>
                <w:szCs w:val="19"/>
              </w:rPr>
              <w:t xml:space="preserve"> Villegas Posada</w:t>
            </w:r>
          </w:p>
        </w:tc>
      </w:tr>
      <w:tr w:rsidR="00F621C3" w:rsidRPr="00DA7C14" w:rsidTr="00B06BB7">
        <w:tc>
          <w:tcPr>
            <w:tcW w:w="3690" w:type="dxa"/>
            <w:tcBorders>
              <w:top w:val="single" w:sz="6" w:space="0" w:color="auto"/>
              <w:bottom w:val="single" w:sz="6" w:space="0" w:color="auto"/>
            </w:tcBorders>
            <w:shd w:val="clear" w:color="auto" w:fill="67AE3C"/>
            <w:vAlign w:val="center"/>
          </w:tcPr>
          <w:p w:rsidR="00F621C3" w:rsidRPr="00DA7C14" w:rsidRDefault="00E63CDC" w:rsidP="00E17D30">
            <w:pPr>
              <w:jc w:val="center"/>
              <w:rPr>
                <w:rFonts w:ascii="Cambria" w:hAnsi="Cambria"/>
                <w:b/>
                <w:bCs/>
                <w:color w:val="FFFFFF" w:themeColor="background1"/>
                <w:sz w:val="19"/>
                <w:szCs w:val="19"/>
              </w:rPr>
            </w:pPr>
            <w:sdt>
              <w:sdtPr>
                <w:rPr>
                  <w:rFonts w:ascii="Cambria" w:hAnsi="Cambria"/>
                  <w:b/>
                  <w:bCs/>
                  <w:color w:val="FFFFFF" w:themeColor="background1"/>
                  <w:sz w:val="19"/>
                  <w:szCs w:val="19"/>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DA7C14">
                  <w:rPr>
                    <w:rFonts w:ascii="Cambria" w:hAnsi="Cambria"/>
                    <w:b/>
                    <w:bCs/>
                    <w:color w:val="FFFFFF" w:themeColor="background1"/>
                    <w:sz w:val="19"/>
                    <w:szCs w:val="19"/>
                  </w:rPr>
                  <w:t>Alleged victim</w:t>
                </w:r>
              </w:sdtContent>
            </w:sdt>
            <w:r w:rsidR="00F621C3" w:rsidRPr="00DA7C14">
              <w:rPr>
                <w:rFonts w:ascii="Cambria" w:hAnsi="Cambria"/>
                <w:b/>
                <w:bCs/>
                <w:color w:val="FFFFFF" w:themeColor="background1"/>
                <w:sz w:val="19"/>
                <w:szCs w:val="19"/>
              </w:rPr>
              <w:t>:</w:t>
            </w:r>
          </w:p>
        </w:tc>
        <w:tc>
          <w:tcPr>
            <w:tcW w:w="5670" w:type="dxa"/>
            <w:vAlign w:val="center"/>
          </w:tcPr>
          <w:p w:rsidR="00F621C3" w:rsidRPr="00DA7C14" w:rsidRDefault="00683336" w:rsidP="00E17D30">
            <w:pPr>
              <w:jc w:val="both"/>
              <w:rPr>
                <w:rFonts w:ascii="Cambria" w:hAnsi="Cambria"/>
                <w:bCs/>
                <w:sz w:val="19"/>
                <w:szCs w:val="19"/>
              </w:rPr>
            </w:pPr>
            <w:proofErr w:type="spellStart"/>
            <w:r w:rsidRPr="00DA7C14">
              <w:rPr>
                <w:rFonts w:ascii="Cambria" w:hAnsi="Cambria"/>
                <w:bCs/>
                <w:sz w:val="19"/>
                <w:szCs w:val="19"/>
              </w:rPr>
              <w:t>Atanasio</w:t>
            </w:r>
            <w:proofErr w:type="spellEnd"/>
            <w:r w:rsidRPr="00DA7C14">
              <w:rPr>
                <w:rFonts w:ascii="Cambria" w:hAnsi="Cambria"/>
                <w:bCs/>
                <w:sz w:val="19"/>
                <w:szCs w:val="19"/>
              </w:rPr>
              <w:t xml:space="preserve"> </w:t>
            </w:r>
            <w:proofErr w:type="spellStart"/>
            <w:r w:rsidRPr="00DA7C14">
              <w:rPr>
                <w:rFonts w:ascii="Cambria" w:hAnsi="Cambria"/>
                <w:bCs/>
                <w:sz w:val="19"/>
                <w:szCs w:val="19"/>
              </w:rPr>
              <w:t>Galvis</w:t>
            </w:r>
            <w:proofErr w:type="spellEnd"/>
            <w:r w:rsidRPr="00DA7C14">
              <w:rPr>
                <w:rFonts w:ascii="Cambria" w:hAnsi="Cambria"/>
                <w:bCs/>
                <w:sz w:val="19"/>
                <w:szCs w:val="19"/>
              </w:rPr>
              <w:t xml:space="preserve"> Quintero and his children</w:t>
            </w:r>
            <w:r w:rsidRPr="00DA7C14">
              <w:rPr>
                <w:rStyle w:val="FootnoteReference"/>
                <w:rFonts w:ascii="Cambria" w:hAnsi="Cambria"/>
                <w:bCs/>
                <w:sz w:val="19"/>
                <w:szCs w:val="19"/>
                <w:lang w:val="es-ES"/>
              </w:rPr>
              <w:footnoteReference w:id="2"/>
            </w:r>
          </w:p>
        </w:tc>
      </w:tr>
      <w:tr w:rsidR="00F621C3" w:rsidRPr="00DA7C14" w:rsidTr="00B06BB7">
        <w:tc>
          <w:tcPr>
            <w:tcW w:w="3690" w:type="dxa"/>
            <w:tcBorders>
              <w:top w:val="single" w:sz="6" w:space="0" w:color="auto"/>
              <w:bottom w:val="single" w:sz="6" w:space="0" w:color="auto"/>
            </w:tcBorders>
            <w:shd w:val="clear" w:color="auto" w:fill="67AE3C"/>
            <w:vAlign w:val="center"/>
          </w:tcPr>
          <w:p w:rsidR="00F621C3" w:rsidRPr="00DA7C14" w:rsidRDefault="005816E5" w:rsidP="005816E5">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 xml:space="preserve">Respondent </w:t>
            </w:r>
            <w:r w:rsidR="00F621C3" w:rsidRPr="00DA7C14">
              <w:rPr>
                <w:rFonts w:ascii="Cambria" w:hAnsi="Cambria"/>
                <w:b/>
                <w:bCs/>
                <w:color w:val="FFFFFF" w:themeColor="background1"/>
                <w:sz w:val="19"/>
                <w:szCs w:val="19"/>
              </w:rPr>
              <w:t>State:</w:t>
            </w:r>
          </w:p>
        </w:tc>
        <w:tc>
          <w:tcPr>
            <w:tcW w:w="5670" w:type="dxa"/>
            <w:vAlign w:val="center"/>
          </w:tcPr>
          <w:p w:rsidR="00F621C3" w:rsidRPr="00DA7C14" w:rsidRDefault="00683336" w:rsidP="00E17D30">
            <w:pPr>
              <w:jc w:val="both"/>
              <w:rPr>
                <w:rFonts w:ascii="Cambria" w:hAnsi="Cambria"/>
                <w:bCs/>
                <w:sz w:val="19"/>
                <w:szCs w:val="19"/>
              </w:rPr>
            </w:pPr>
            <w:r w:rsidRPr="00DA7C14">
              <w:rPr>
                <w:rFonts w:ascii="Cambria" w:hAnsi="Cambria"/>
                <w:bCs/>
                <w:sz w:val="19"/>
                <w:szCs w:val="19"/>
              </w:rPr>
              <w:t>Colombia</w:t>
            </w:r>
            <w:r w:rsidRPr="00DA7C14">
              <w:rPr>
                <w:rStyle w:val="FootnoteReference"/>
                <w:rFonts w:ascii="Cambria" w:hAnsi="Cambria"/>
                <w:bCs/>
                <w:sz w:val="19"/>
                <w:szCs w:val="19"/>
              </w:rPr>
              <w:footnoteReference w:id="3"/>
            </w:r>
          </w:p>
        </w:tc>
      </w:tr>
      <w:tr w:rsidR="00E47F3D" w:rsidRPr="00DA7C14" w:rsidTr="00B06BB7">
        <w:tc>
          <w:tcPr>
            <w:tcW w:w="3690" w:type="dxa"/>
            <w:tcBorders>
              <w:top w:val="single" w:sz="6" w:space="0" w:color="auto"/>
              <w:bottom w:val="single" w:sz="6" w:space="0" w:color="auto"/>
            </w:tcBorders>
            <w:shd w:val="clear" w:color="auto" w:fill="67AE3C"/>
            <w:vAlign w:val="center"/>
          </w:tcPr>
          <w:p w:rsidR="00E47F3D" w:rsidRPr="00DA7C14" w:rsidRDefault="00E47F3D" w:rsidP="00E7588C">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 xml:space="preserve">Rights </w:t>
            </w:r>
            <w:r w:rsidR="00E7588C" w:rsidRPr="00DA7C14">
              <w:rPr>
                <w:rFonts w:ascii="Cambria" w:hAnsi="Cambria"/>
                <w:b/>
                <w:bCs/>
                <w:color w:val="FFFFFF" w:themeColor="background1"/>
                <w:sz w:val="19"/>
                <w:szCs w:val="19"/>
              </w:rPr>
              <w:t>invoked:</w:t>
            </w:r>
          </w:p>
        </w:tc>
        <w:tc>
          <w:tcPr>
            <w:tcW w:w="5670" w:type="dxa"/>
            <w:vAlign w:val="center"/>
          </w:tcPr>
          <w:p w:rsidR="00E47F3D" w:rsidRPr="00DA7C14" w:rsidRDefault="00683336" w:rsidP="00E17D30">
            <w:pPr>
              <w:jc w:val="both"/>
              <w:rPr>
                <w:rFonts w:ascii="Cambria" w:hAnsi="Cambria"/>
                <w:bCs/>
                <w:sz w:val="19"/>
                <w:szCs w:val="19"/>
              </w:rPr>
            </w:pPr>
            <w:r w:rsidRPr="00DA7C14">
              <w:rPr>
                <w:rFonts w:ascii="Cambria" w:hAnsi="Cambria"/>
                <w:bCs/>
                <w:sz w:val="19"/>
                <w:szCs w:val="19"/>
              </w:rPr>
              <w:t>Articles 5 (right to humane treatment), 8 (right to a fair trial) and 11 (right to privacy) of the American Convention on Human Right</w:t>
            </w:r>
            <w:r w:rsidR="00F41B76" w:rsidRPr="00DA7C14">
              <w:rPr>
                <w:rFonts w:ascii="Cambria" w:hAnsi="Cambria"/>
                <w:bCs/>
                <w:sz w:val="19"/>
                <w:szCs w:val="19"/>
              </w:rPr>
              <w:t>s</w:t>
            </w:r>
            <w:r w:rsidRPr="00DA7C14">
              <w:rPr>
                <w:rStyle w:val="FootnoteReference"/>
                <w:rFonts w:ascii="Cambria" w:hAnsi="Cambria"/>
                <w:bCs/>
                <w:sz w:val="19"/>
                <w:szCs w:val="19"/>
                <w:lang w:val="es-PA"/>
              </w:rPr>
              <w:footnoteReference w:id="4"/>
            </w:r>
            <w:r w:rsidRPr="00DA7C14">
              <w:rPr>
                <w:rFonts w:ascii="Cambria" w:hAnsi="Cambria"/>
                <w:bCs/>
                <w:sz w:val="19"/>
                <w:szCs w:val="19"/>
              </w:rPr>
              <w:t xml:space="preserve"> and Articles I (right to life, liberty and personal security), V (right to protection of honor, personal reputation and private and family life), VIII (right to residence and movement), XI (right to the preservation of health and to well-being) and XVIII (right to a fair trial) of the American Declaration of the Rights and Duties of Man</w:t>
            </w:r>
            <w:r w:rsidRPr="00DA7C14">
              <w:rPr>
                <w:rStyle w:val="FootnoteReference"/>
                <w:rFonts w:ascii="Cambria" w:hAnsi="Cambria"/>
                <w:bCs/>
                <w:sz w:val="19"/>
                <w:szCs w:val="19"/>
                <w:lang w:val="es-PA"/>
              </w:rPr>
              <w:footnoteReference w:id="5"/>
            </w:r>
          </w:p>
        </w:tc>
      </w:tr>
    </w:tbl>
    <w:p w:rsidR="00F621C3" w:rsidRPr="00DA7C14" w:rsidRDefault="00F621C3" w:rsidP="00E25CCE">
      <w:pPr>
        <w:spacing w:before="220" w:after="220"/>
        <w:ind w:firstLine="720"/>
        <w:jc w:val="both"/>
        <w:rPr>
          <w:rFonts w:asciiTheme="majorHAnsi" w:hAnsiTheme="majorHAnsi"/>
          <w:b/>
          <w:bCs/>
          <w:sz w:val="19"/>
          <w:szCs w:val="19"/>
        </w:rPr>
      </w:pPr>
      <w:r w:rsidRPr="00DA7C14">
        <w:rPr>
          <w:rFonts w:asciiTheme="majorHAnsi" w:hAnsiTheme="majorHAnsi"/>
          <w:b/>
          <w:bCs/>
          <w:sz w:val="19"/>
          <w:szCs w:val="19"/>
        </w:rPr>
        <w:t>II.</w:t>
      </w:r>
      <w:r w:rsidRPr="00DA7C14">
        <w:rPr>
          <w:rFonts w:asciiTheme="majorHAnsi" w:hAnsiTheme="majorHAnsi"/>
          <w:b/>
          <w:bCs/>
          <w:sz w:val="19"/>
          <w:szCs w:val="19"/>
        </w:rPr>
        <w:tab/>
        <w:t>PROCE</w:t>
      </w:r>
      <w:r w:rsidR="00321AFD" w:rsidRPr="00DA7C14">
        <w:rPr>
          <w:rFonts w:asciiTheme="majorHAnsi" w:hAnsiTheme="majorHAnsi"/>
          <w:b/>
          <w:bCs/>
          <w:sz w:val="19"/>
          <w:szCs w:val="19"/>
        </w:rPr>
        <w:t>EDINGS</w:t>
      </w:r>
      <w:r w:rsidRPr="00DA7C14">
        <w:rPr>
          <w:rFonts w:asciiTheme="majorHAnsi" w:hAnsiTheme="majorHAnsi"/>
          <w:b/>
          <w:bCs/>
          <w:sz w:val="19"/>
          <w:szCs w:val="19"/>
        </w:rPr>
        <w:t xml:space="preserve"> BEFORE THE IACHR</w:t>
      </w:r>
      <w:r w:rsidR="00653EA6" w:rsidRPr="00DA7C14">
        <w:rPr>
          <w:rStyle w:val="FootnoteReference"/>
          <w:rFonts w:ascii="Cambria" w:hAnsi="Cambria"/>
          <w:b/>
          <w:sz w:val="19"/>
          <w:szCs w:val="19"/>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A7C14" w:rsidTr="00B06BB7">
        <w:tc>
          <w:tcPr>
            <w:tcW w:w="3690" w:type="dxa"/>
            <w:tcBorders>
              <w:top w:val="single" w:sz="6" w:space="0" w:color="auto"/>
              <w:bottom w:val="single" w:sz="6" w:space="0" w:color="auto"/>
            </w:tcBorders>
            <w:shd w:val="clear" w:color="auto" w:fill="67AE3C"/>
            <w:vAlign w:val="center"/>
          </w:tcPr>
          <w:p w:rsidR="00F621C3" w:rsidRPr="00DA7C14" w:rsidRDefault="00B06BB7" w:rsidP="00B06BB7">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Filing of the petition</w:t>
            </w:r>
            <w:r w:rsidR="00F621C3" w:rsidRPr="00DA7C14">
              <w:rPr>
                <w:rFonts w:ascii="Cambria" w:hAnsi="Cambria"/>
                <w:b/>
                <w:bCs/>
                <w:color w:val="FFFFFF" w:themeColor="background1"/>
                <w:sz w:val="19"/>
                <w:szCs w:val="19"/>
              </w:rPr>
              <w:t>:</w:t>
            </w:r>
          </w:p>
        </w:tc>
        <w:tc>
          <w:tcPr>
            <w:tcW w:w="5670" w:type="dxa"/>
            <w:vAlign w:val="center"/>
          </w:tcPr>
          <w:p w:rsidR="00F621C3" w:rsidRPr="00DA7C14" w:rsidRDefault="00E17D30" w:rsidP="00E17D30">
            <w:pPr>
              <w:jc w:val="both"/>
              <w:rPr>
                <w:rFonts w:ascii="Cambria" w:hAnsi="Cambria"/>
                <w:bCs/>
                <w:sz w:val="19"/>
                <w:szCs w:val="19"/>
              </w:rPr>
            </w:pPr>
            <w:r w:rsidRPr="00DA7C14">
              <w:rPr>
                <w:rFonts w:ascii="Cambria" w:hAnsi="Cambria"/>
                <w:bCs/>
                <w:sz w:val="19"/>
                <w:szCs w:val="19"/>
              </w:rPr>
              <w:t>July 1, 2008</w:t>
            </w:r>
          </w:p>
        </w:tc>
      </w:tr>
      <w:tr w:rsidR="00F621C3" w:rsidRPr="00DA7C14" w:rsidTr="00B06BB7">
        <w:tc>
          <w:tcPr>
            <w:tcW w:w="3690" w:type="dxa"/>
            <w:tcBorders>
              <w:top w:val="single" w:sz="6" w:space="0" w:color="auto"/>
              <w:bottom w:val="single" w:sz="6" w:space="0" w:color="auto"/>
            </w:tcBorders>
            <w:shd w:val="clear" w:color="auto" w:fill="67AE3C"/>
            <w:vAlign w:val="center"/>
          </w:tcPr>
          <w:p w:rsidR="00F621C3" w:rsidRPr="00DA7C14" w:rsidRDefault="00F621C3" w:rsidP="003771A3">
            <w:pPr>
              <w:jc w:val="center"/>
              <w:rPr>
                <w:rFonts w:ascii="Cambria" w:hAnsi="Cambria"/>
                <w:b/>
                <w:color w:val="FFFFFF" w:themeColor="background1"/>
                <w:sz w:val="19"/>
                <w:szCs w:val="19"/>
              </w:rPr>
            </w:pPr>
            <w:r w:rsidRPr="00DA7C14">
              <w:rPr>
                <w:rFonts w:ascii="Cambria" w:hAnsi="Cambria"/>
                <w:b/>
                <w:color w:val="FFFFFF" w:themeColor="background1"/>
                <w:sz w:val="19"/>
                <w:szCs w:val="19"/>
              </w:rPr>
              <w:t xml:space="preserve">Additional information received at the </w:t>
            </w:r>
            <w:r w:rsidR="003771A3" w:rsidRPr="00DA7C14">
              <w:rPr>
                <w:rFonts w:ascii="Cambria" w:hAnsi="Cambria"/>
                <w:b/>
                <w:color w:val="FFFFFF" w:themeColor="background1"/>
                <w:sz w:val="19"/>
                <w:szCs w:val="19"/>
              </w:rPr>
              <w:t>s</w:t>
            </w:r>
            <w:r w:rsidRPr="00DA7C14">
              <w:rPr>
                <w:rFonts w:ascii="Cambria" w:hAnsi="Cambria"/>
                <w:b/>
                <w:color w:val="FFFFFF" w:themeColor="background1"/>
                <w:sz w:val="19"/>
                <w:szCs w:val="19"/>
              </w:rPr>
              <w:t>tage</w:t>
            </w:r>
            <w:r w:rsidR="003771A3" w:rsidRPr="00DA7C14">
              <w:rPr>
                <w:rFonts w:ascii="Cambria" w:hAnsi="Cambria"/>
                <w:b/>
                <w:color w:val="FFFFFF" w:themeColor="background1"/>
                <w:sz w:val="19"/>
                <w:szCs w:val="19"/>
              </w:rPr>
              <w:t xml:space="preserve"> of initial review</w:t>
            </w:r>
            <w:r w:rsidRPr="00DA7C14">
              <w:rPr>
                <w:rFonts w:ascii="Cambria" w:hAnsi="Cambria"/>
                <w:b/>
                <w:color w:val="FFFFFF" w:themeColor="background1"/>
                <w:sz w:val="19"/>
                <w:szCs w:val="19"/>
              </w:rPr>
              <w:t>:</w:t>
            </w:r>
          </w:p>
        </w:tc>
        <w:tc>
          <w:tcPr>
            <w:tcW w:w="5670" w:type="dxa"/>
            <w:vAlign w:val="center"/>
          </w:tcPr>
          <w:p w:rsidR="00F621C3" w:rsidRPr="00DA7C14" w:rsidRDefault="00530C8B" w:rsidP="00E17D30">
            <w:pPr>
              <w:jc w:val="both"/>
              <w:rPr>
                <w:rFonts w:ascii="Cambria" w:hAnsi="Cambria"/>
                <w:bCs/>
                <w:sz w:val="19"/>
                <w:szCs w:val="19"/>
              </w:rPr>
            </w:pPr>
            <w:r w:rsidRPr="00DA7C14">
              <w:rPr>
                <w:rFonts w:ascii="Cambria" w:hAnsi="Cambria"/>
                <w:bCs/>
                <w:sz w:val="19"/>
                <w:szCs w:val="19"/>
              </w:rPr>
              <w:t>April 21, 2010</w:t>
            </w:r>
          </w:p>
        </w:tc>
      </w:tr>
      <w:tr w:rsidR="00F621C3" w:rsidRPr="00DA7C14" w:rsidTr="00B06BB7">
        <w:tc>
          <w:tcPr>
            <w:tcW w:w="3690" w:type="dxa"/>
            <w:tcBorders>
              <w:top w:val="single" w:sz="6" w:space="0" w:color="auto"/>
              <w:bottom w:val="single" w:sz="6" w:space="0" w:color="auto"/>
            </w:tcBorders>
            <w:shd w:val="clear" w:color="auto" w:fill="67AE3C"/>
            <w:vAlign w:val="center"/>
          </w:tcPr>
          <w:p w:rsidR="00F621C3" w:rsidRPr="00DA7C14" w:rsidRDefault="00B06BB7" w:rsidP="00B06BB7">
            <w:pPr>
              <w:jc w:val="center"/>
              <w:rPr>
                <w:rFonts w:ascii="Cambria" w:hAnsi="Cambria"/>
                <w:b/>
                <w:bCs/>
                <w:color w:val="FFFFFF" w:themeColor="background1"/>
                <w:sz w:val="19"/>
                <w:szCs w:val="19"/>
              </w:rPr>
            </w:pPr>
            <w:r w:rsidRPr="00DA7C14">
              <w:rPr>
                <w:rFonts w:ascii="Cambria" w:hAnsi="Cambria"/>
                <w:b/>
                <w:color w:val="FFFFFF" w:themeColor="background1"/>
                <w:sz w:val="19"/>
                <w:szCs w:val="19"/>
              </w:rPr>
              <w:t>Notification of the petition to</w:t>
            </w:r>
            <w:r w:rsidR="00F621C3" w:rsidRPr="00DA7C14">
              <w:rPr>
                <w:rFonts w:ascii="Cambria" w:hAnsi="Cambria"/>
                <w:b/>
                <w:color w:val="FFFFFF" w:themeColor="background1"/>
                <w:sz w:val="19"/>
                <w:szCs w:val="19"/>
              </w:rPr>
              <w:t xml:space="preserve"> the State:</w:t>
            </w:r>
          </w:p>
        </w:tc>
        <w:tc>
          <w:tcPr>
            <w:tcW w:w="5670" w:type="dxa"/>
            <w:vAlign w:val="center"/>
          </w:tcPr>
          <w:p w:rsidR="00F621C3" w:rsidRPr="00DA7C14" w:rsidRDefault="00A3533B" w:rsidP="00E17D30">
            <w:pPr>
              <w:jc w:val="both"/>
              <w:rPr>
                <w:rFonts w:ascii="Cambria" w:hAnsi="Cambria"/>
                <w:bCs/>
                <w:sz w:val="19"/>
                <w:szCs w:val="19"/>
              </w:rPr>
            </w:pPr>
            <w:r w:rsidRPr="00DA7C14">
              <w:rPr>
                <w:rFonts w:ascii="Cambria" w:hAnsi="Cambria"/>
                <w:bCs/>
                <w:sz w:val="19"/>
                <w:szCs w:val="19"/>
              </w:rPr>
              <w:t>July 3, 2014</w:t>
            </w:r>
          </w:p>
        </w:tc>
      </w:tr>
      <w:tr w:rsidR="00F621C3" w:rsidRPr="00DA7C14" w:rsidTr="00B06BB7">
        <w:trPr>
          <w:trHeight w:val="264"/>
        </w:trPr>
        <w:tc>
          <w:tcPr>
            <w:tcW w:w="3690" w:type="dxa"/>
            <w:tcBorders>
              <w:top w:val="single" w:sz="6" w:space="0" w:color="auto"/>
              <w:bottom w:val="single" w:sz="6" w:space="0" w:color="auto"/>
            </w:tcBorders>
            <w:shd w:val="clear" w:color="auto" w:fill="67AE3C"/>
            <w:vAlign w:val="center"/>
          </w:tcPr>
          <w:p w:rsidR="00F621C3" w:rsidRPr="00DA7C14" w:rsidRDefault="00F621C3" w:rsidP="00E17D30">
            <w:pPr>
              <w:jc w:val="center"/>
              <w:rPr>
                <w:rFonts w:ascii="Cambria" w:hAnsi="Cambria"/>
                <w:b/>
                <w:bCs/>
                <w:color w:val="FFFFFF" w:themeColor="background1"/>
                <w:sz w:val="19"/>
                <w:szCs w:val="19"/>
              </w:rPr>
            </w:pPr>
            <w:r w:rsidRPr="00DA7C14">
              <w:rPr>
                <w:rFonts w:ascii="Cambria" w:hAnsi="Cambria"/>
                <w:b/>
                <w:color w:val="FFFFFF" w:themeColor="background1"/>
                <w:sz w:val="19"/>
                <w:szCs w:val="19"/>
              </w:rPr>
              <w:t>State’s first response:</w:t>
            </w:r>
          </w:p>
        </w:tc>
        <w:tc>
          <w:tcPr>
            <w:tcW w:w="5670" w:type="dxa"/>
            <w:vAlign w:val="center"/>
          </w:tcPr>
          <w:p w:rsidR="00F621C3" w:rsidRPr="00DA7C14" w:rsidRDefault="00A3533B" w:rsidP="00E17D30">
            <w:pPr>
              <w:jc w:val="both"/>
              <w:rPr>
                <w:rFonts w:ascii="Cambria" w:hAnsi="Cambria"/>
                <w:bCs/>
                <w:sz w:val="19"/>
                <w:szCs w:val="19"/>
              </w:rPr>
            </w:pPr>
            <w:r w:rsidRPr="00DA7C14">
              <w:rPr>
                <w:rFonts w:ascii="Cambria" w:hAnsi="Cambria"/>
                <w:bCs/>
                <w:sz w:val="19"/>
                <w:szCs w:val="19"/>
              </w:rPr>
              <w:t>August 15, 2014</w:t>
            </w:r>
          </w:p>
        </w:tc>
      </w:tr>
      <w:tr w:rsidR="003771A3" w:rsidRPr="00DA7C14" w:rsidTr="00B06BB7">
        <w:tc>
          <w:tcPr>
            <w:tcW w:w="3690" w:type="dxa"/>
            <w:tcBorders>
              <w:top w:val="single" w:sz="6" w:space="0" w:color="auto"/>
              <w:bottom w:val="single" w:sz="6" w:space="0" w:color="auto"/>
            </w:tcBorders>
            <w:shd w:val="clear" w:color="auto" w:fill="67AE3C"/>
            <w:vAlign w:val="center"/>
          </w:tcPr>
          <w:p w:rsidR="003771A3" w:rsidRPr="00DA7C14" w:rsidRDefault="003771A3" w:rsidP="0023351C">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Additional observations from the petition</w:t>
            </w:r>
            <w:r w:rsidR="0023351C" w:rsidRPr="00DA7C14">
              <w:rPr>
                <w:rFonts w:ascii="Cambria" w:hAnsi="Cambria"/>
                <w:b/>
                <w:bCs/>
                <w:color w:val="FFFFFF" w:themeColor="background1"/>
                <w:sz w:val="19"/>
                <w:szCs w:val="19"/>
              </w:rPr>
              <w:t>er</w:t>
            </w:r>
            <w:r w:rsidRPr="00DA7C14">
              <w:rPr>
                <w:rFonts w:ascii="Cambria" w:hAnsi="Cambria"/>
                <w:b/>
                <w:bCs/>
                <w:color w:val="FFFFFF" w:themeColor="background1"/>
                <w:sz w:val="19"/>
                <w:szCs w:val="19"/>
              </w:rPr>
              <w:t>:</w:t>
            </w:r>
          </w:p>
        </w:tc>
        <w:tc>
          <w:tcPr>
            <w:tcW w:w="5670" w:type="dxa"/>
            <w:vAlign w:val="center"/>
          </w:tcPr>
          <w:p w:rsidR="003771A3" w:rsidRPr="00DA7C14" w:rsidRDefault="00A3533B" w:rsidP="00E17D30">
            <w:pPr>
              <w:jc w:val="both"/>
              <w:rPr>
                <w:rFonts w:ascii="Cambria" w:hAnsi="Cambria"/>
                <w:bCs/>
                <w:sz w:val="19"/>
                <w:szCs w:val="19"/>
              </w:rPr>
            </w:pPr>
            <w:r w:rsidRPr="00DA7C14">
              <w:rPr>
                <w:rFonts w:ascii="Cambria" w:hAnsi="Cambria"/>
                <w:bCs/>
                <w:sz w:val="19"/>
                <w:szCs w:val="19"/>
              </w:rPr>
              <w:t>November 20, 2014 and August 30, 2018</w:t>
            </w:r>
          </w:p>
        </w:tc>
      </w:tr>
      <w:tr w:rsidR="003771A3" w:rsidRPr="00DA7C14" w:rsidTr="00B06BB7">
        <w:tc>
          <w:tcPr>
            <w:tcW w:w="3690" w:type="dxa"/>
            <w:tcBorders>
              <w:top w:val="single" w:sz="6" w:space="0" w:color="auto"/>
              <w:bottom w:val="single" w:sz="6" w:space="0" w:color="auto"/>
            </w:tcBorders>
            <w:shd w:val="clear" w:color="auto" w:fill="67AE3C"/>
            <w:vAlign w:val="center"/>
          </w:tcPr>
          <w:p w:rsidR="003771A3" w:rsidRPr="00DA7C14" w:rsidRDefault="003771A3" w:rsidP="00653EA6">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Additional observations from the State:</w:t>
            </w:r>
          </w:p>
        </w:tc>
        <w:tc>
          <w:tcPr>
            <w:tcW w:w="5670" w:type="dxa"/>
            <w:vAlign w:val="center"/>
          </w:tcPr>
          <w:p w:rsidR="003771A3" w:rsidRPr="00DA7C14" w:rsidRDefault="00A3533B" w:rsidP="00E17D30">
            <w:pPr>
              <w:jc w:val="both"/>
              <w:rPr>
                <w:rFonts w:ascii="Cambria" w:hAnsi="Cambria"/>
                <w:bCs/>
                <w:sz w:val="19"/>
                <w:szCs w:val="19"/>
              </w:rPr>
            </w:pPr>
            <w:r w:rsidRPr="00DA7C14">
              <w:rPr>
                <w:rFonts w:ascii="Cambria" w:hAnsi="Cambria"/>
                <w:bCs/>
                <w:sz w:val="19"/>
                <w:szCs w:val="19"/>
              </w:rPr>
              <w:t>July 17, 2015</w:t>
            </w:r>
          </w:p>
        </w:tc>
      </w:tr>
      <w:tr w:rsidR="003771A3" w:rsidRPr="00DA7C14" w:rsidTr="00B06BB7">
        <w:tc>
          <w:tcPr>
            <w:tcW w:w="3690" w:type="dxa"/>
            <w:tcBorders>
              <w:top w:val="single" w:sz="6" w:space="0" w:color="auto"/>
              <w:bottom w:val="single" w:sz="6" w:space="0" w:color="auto"/>
            </w:tcBorders>
            <w:shd w:val="clear" w:color="auto" w:fill="67AE3C"/>
            <w:vAlign w:val="center"/>
          </w:tcPr>
          <w:p w:rsidR="003771A3" w:rsidRPr="00DA7C14" w:rsidRDefault="00B06BB7" w:rsidP="00D75084">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Notification</w:t>
            </w:r>
            <w:r w:rsidR="003771A3" w:rsidRPr="00DA7C14">
              <w:rPr>
                <w:rFonts w:ascii="Cambria" w:hAnsi="Cambria"/>
                <w:b/>
                <w:bCs/>
                <w:color w:val="FFFFFF" w:themeColor="background1"/>
                <w:sz w:val="19"/>
                <w:szCs w:val="19"/>
              </w:rPr>
              <w:t xml:space="preserve"> of the possible archiving of the petition:</w:t>
            </w:r>
          </w:p>
        </w:tc>
        <w:tc>
          <w:tcPr>
            <w:tcW w:w="5670" w:type="dxa"/>
            <w:vAlign w:val="center"/>
          </w:tcPr>
          <w:p w:rsidR="003771A3" w:rsidRPr="00DA7C14" w:rsidRDefault="00A3533B" w:rsidP="00E17D30">
            <w:pPr>
              <w:jc w:val="both"/>
              <w:rPr>
                <w:rFonts w:ascii="Cambria" w:hAnsi="Cambria"/>
                <w:bCs/>
                <w:sz w:val="19"/>
                <w:szCs w:val="19"/>
              </w:rPr>
            </w:pPr>
            <w:r w:rsidRPr="00DA7C14">
              <w:rPr>
                <w:rFonts w:ascii="Cambria" w:hAnsi="Cambria"/>
                <w:bCs/>
                <w:sz w:val="19"/>
                <w:szCs w:val="19"/>
              </w:rPr>
              <w:t>November 20, 2017</w:t>
            </w:r>
          </w:p>
        </w:tc>
      </w:tr>
      <w:tr w:rsidR="003771A3" w:rsidRPr="00DA7C14" w:rsidTr="00B06BB7">
        <w:tc>
          <w:tcPr>
            <w:tcW w:w="3690" w:type="dxa"/>
            <w:tcBorders>
              <w:top w:val="single" w:sz="6" w:space="0" w:color="auto"/>
              <w:bottom w:val="single" w:sz="6" w:space="0" w:color="auto"/>
            </w:tcBorders>
            <w:shd w:val="clear" w:color="auto" w:fill="67AE3C"/>
            <w:vAlign w:val="center"/>
          </w:tcPr>
          <w:p w:rsidR="003771A3" w:rsidRPr="00DA7C14" w:rsidRDefault="00B06BB7" w:rsidP="00B06BB7">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P</w:t>
            </w:r>
            <w:r w:rsidR="003771A3" w:rsidRPr="00DA7C14">
              <w:rPr>
                <w:rFonts w:ascii="Cambria" w:hAnsi="Cambria"/>
                <w:b/>
                <w:bCs/>
                <w:color w:val="FFFFFF" w:themeColor="background1"/>
                <w:sz w:val="19"/>
                <w:szCs w:val="19"/>
              </w:rPr>
              <w:t>etitioner</w:t>
            </w:r>
            <w:r w:rsidRPr="00DA7C14">
              <w:rPr>
                <w:rFonts w:ascii="Cambria" w:hAnsi="Cambria"/>
                <w:b/>
                <w:bCs/>
                <w:color w:val="FFFFFF" w:themeColor="background1"/>
                <w:sz w:val="19"/>
                <w:szCs w:val="19"/>
              </w:rPr>
              <w:t>’s</w:t>
            </w:r>
            <w:r w:rsidR="003771A3" w:rsidRPr="00DA7C14">
              <w:rPr>
                <w:rFonts w:ascii="Cambria" w:hAnsi="Cambria"/>
                <w:b/>
                <w:bCs/>
                <w:color w:val="FFFFFF" w:themeColor="background1"/>
                <w:sz w:val="19"/>
                <w:szCs w:val="19"/>
              </w:rPr>
              <w:t xml:space="preserve"> respon</w:t>
            </w:r>
            <w:r w:rsidRPr="00DA7C14">
              <w:rPr>
                <w:rFonts w:ascii="Cambria" w:hAnsi="Cambria"/>
                <w:b/>
                <w:bCs/>
                <w:color w:val="FFFFFF" w:themeColor="background1"/>
                <w:sz w:val="19"/>
                <w:szCs w:val="19"/>
              </w:rPr>
              <w:t>se</w:t>
            </w:r>
            <w:r w:rsidR="003771A3" w:rsidRPr="00DA7C14">
              <w:rPr>
                <w:rFonts w:ascii="Cambria" w:hAnsi="Cambria"/>
                <w:b/>
                <w:bCs/>
                <w:color w:val="FFFFFF" w:themeColor="background1"/>
                <w:sz w:val="19"/>
                <w:szCs w:val="19"/>
              </w:rPr>
              <w:t xml:space="preserve"> to the notification regarding the possible archiving of the petition:</w:t>
            </w:r>
          </w:p>
        </w:tc>
        <w:tc>
          <w:tcPr>
            <w:tcW w:w="5670" w:type="dxa"/>
            <w:vAlign w:val="center"/>
          </w:tcPr>
          <w:p w:rsidR="003771A3" w:rsidRPr="00DA7C14" w:rsidRDefault="00A3533B" w:rsidP="00E17D30">
            <w:pPr>
              <w:jc w:val="both"/>
              <w:rPr>
                <w:rFonts w:ascii="Cambria" w:hAnsi="Cambria"/>
                <w:bCs/>
                <w:sz w:val="19"/>
                <w:szCs w:val="19"/>
              </w:rPr>
            </w:pPr>
            <w:r w:rsidRPr="00DA7C14">
              <w:rPr>
                <w:rFonts w:ascii="Cambria" w:hAnsi="Cambria"/>
                <w:bCs/>
                <w:sz w:val="19"/>
                <w:szCs w:val="19"/>
              </w:rPr>
              <w:t>August 30, 2018</w:t>
            </w:r>
          </w:p>
        </w:tc>
      </w:tr>
    </w:tbl>
    <w:p w:rsidR="00F621C3" w:rsidRPr="00DA7C14" w:rsidRDefault="00F621C3" w:rsidP="00E25CCE">
      <w:pPr>
        <w:spacing w:before="220" w:after="220"/>
        <w:ind w:firstLine="720"/>
        <w:jc w:val="both"/>
        <w:rPr>
          <w:rFonts w:asciiTheme="majorHAnsi" w:hAnsiTheme="majorHAnsi"/>
          <w:b/>
          <w:bCs/>
          <w:sz w:val="19"/>
          <w:szCs w:val="19"/>
        </w:rPr>
      </w:pPr>
      <w:r w:rsidRPr="00DA7C14">
        <w:rPr>
          <w:rFonts w:asciiTheme="majorHAnsi" w:hAnsiTheme="majorHAnsi"/>
          <w:b/>
          <w:bCs/>
          <w:sz w:val="19"/>
          <w:szCs w:val="19"/>
        </w:rPr>
        <w:t xml:space="preserve">III. </w:t>
      </w:r>
      <w:r w:rsidRPr="00DA7C14">
        <w:rPr>
          <w:rFonts w:asciiTheme="majorHAnsi" w:hAnsiTheme="majorHAnsi"/>
          <w:b/>
          <w:bCs/>
          <w:sz w:val="19"/>
          <w:szCs w:val="19"/>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A7C14" w:rsidTr="001F1902">
        <w:trPr>
          <w:cantSplit/>
        </w:trPr>
        <w:tc>
          <w:tcPr>
            <w:tcW w:w="3690" w:type="dxa"/>
            <w:tcBorders>
              <w:top w:val="single" w:sz="4" w:space="0" w:color="auto"/>
              <w:bottom w:val="single" w:sz="6" w:space="0" w:color="auto"/>
            </w:tcBorders>
            <w:shd w:val="clear" w:color="auto" w:fill="67AE3C"/>
            <w:vAlign w:val="center"/>
          </w:tcPr>
          <w:p w:rsidR="00F621C3" w:rsidRPr="00DA7C14" w:rsidRDefault="00F621C3" w:rsidP="00E17D30">
            <w:pPr>
              <w:jc w:val="center"/>
              <w:rPr>
                <w:rFonts w:ascii="Cambria" w:hAnsi="Cambria"/>
                <w:b/>
                <w:bCs/>
                <w:i/>
                <w:color w:val="FFFFFF" w:themeColor="background1"/>
                <w:sz w:val="19"/>
                <w:szCs w:val="19"/>
              </w:rPr>
            </w:pPr>
            <w:r w:rsidRPr="00DA7C14">
              <w:rPr>
                <w:rFonts w:ascii="Cambria" w:hAnsi="Cambria"/>
                <w:b/>
                <w:bCs/>
                <w:color w:val="FFFFFF" w:themeColor="background1"/>
                <w:sz w:val="19"/>
                <w:szCs w:val="19"/>
              </w:rPr>
              <w:t>Competence</w:t>
            </w:r>
            <w:r w:rsidRPr="00DA7C14">
              <w:rPr>
                <w:rFonts w:ascii="Cambria" w:hAnsi="Cambria"/>
                <w:b/>
                <w:bCs/>
                <w:i/>
                <w:color w:val="FFFFFF" w:themeColor="background1"/>
                <w:sz w:val="19"/>
                <w:szCs w:val="19"/>
              </w:rPr>
              <w:t xml:space="preserve"> </w:t>
            </w:r>
            <w:proofErr w:type="spellStart"/>
            <w:r w:rsidRPr="00DA7C14">
              <w:rPr>
                <w:rFonts w:ascii="Cambria" w:hAnsi="Cambria"/>
                <w:b/>
                <w:bCs/>
                <w:i/>
                <w:color w:val="FFFFFF" w:themeColor="background1"/>
                <w:sz w:val="19"/>
                <w:szCs w:val="19"/>
              </w:rPr>
              <w:t>Ratione</w:t>
            </w:r>
            <w:proofErr w:type="spellEnd"/>
            <w:r w:rsidRPr="00DA7C14">
              <w:rPr>
                <w:rFonts w:ascii="Cambria" w:hAnsi="Cambria"/>
                <w:b/>
                <w:bCs/>
                <w:i/>
                <w:color w:val="FFFFFF" w:themeColor="background1"/>
                <w:sz w:val="19"/>
                <w:szCs w:val="19"/>
              </w:rPr>
              <w:t xml:space="preserve"> personae:</w:t>
            </w:r>
          </w:p>
        </w:tc>
        <w:tc>
          <w:tcPr>
            <w:tcW w:w="5670" w:type="dxa"/>
            <w:vAlign w:val="center"/>
          </w:tcPr>
          <w:p w:rsidR="00F621C3" w:rsidRPr="00DA7C14" w:rsidRDefault="00A3533B" w:rsidP="00E17D30">
            <w:pPr>
              <w:rPr>
                <w:rFonts w:asciiTheme="majorHAnsi" w:hAnsiTheme="majorHAnsi"/>
                <w:bCs/>
                <w:sz w:val="19"/>
                <w:szCs w:val="19"/>
              </w:rPr>
            </w:pPr>
            <w:r w:rsidRPr="00DA7C14">
              <w:rPr>
                <w:rFonts w:asciiTheme="majorHAnsi" w:hAnsiTheme="majorHAnsi"/>
                <w:bCs/>
                <w:sz w:val="19"/>
                <w:szCs w:val="19"/>
              </w:rPr>
              <w:t>Yes</w:t>
            </w:r>
          </w:p>
        </w:tc>
      </w:tr>
      <w:tr w:rsidR="00F621C3" w:rsidRPr="00DA7C14" w:rsidTr="001F1902">
        <w:trPr>
          <w:cantSplit/>
        </w:trPr>
        <w:tc>
          <w:tcPr>
            <w:tcW w:w="3690" w:type="dxa"/>
            <w:tcBorders>
              <w:top w:val="single" w:sz="6" w:space="0" w:color="auto"/>
              <w:bottom w:val="single" w:sz="6" w:space="0" w:color="auto"/>
            </w:tcBorders>
            <w:shd w:val="clear" w:color="auto" w:fill="67AE3C"/>
            <w:vAlign w:val="center"/>
          </w:tcPr>
          <w:p w:rsidR="00F621C3" w:rsidRPr="00DA7C14" w:rsidRDefault="00F621C3" w:rsidP="00E17D30">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Competence</w:t>
            </w:r>
            <w:r w:rsidRPr="00DA7C14">
              <w:rPr>
                <w:rFonts w:ascii="Cambria" w:hAnsi="Cambria"/>
                <w:b/>
                <w:bCs/>
                <w:i/>
                <w:color w:val="FFFFFF" w:themeColor="background1"/>
                <w:sz w:val="19"/>
                <w:szCs w:val="19"/>
              </w:rPr>
              <w:t xml:space="preserve"> </w:t>
            </w:r>
            <w:proofErr w:type="spellStart"/>
            <w:r w:rsidRPr="00DA7C14">
              <w:rPr>
                <w:rFonts w:ascii="Cambria" w:hAnsi="Cambria"/>
                <w:b/>
                <w:bCs/>
                <w:i/>
                <w:color w:val="FFFFFF" w:themeColor="background1"/>
                <w:sz w:val="19"/>
                <w:szCs w:val="19"/>
              </w:rPr>
              <w:t>Ratione</w:t>
            </w:r>
            <w:proofErr w:type="spellEnd"/>
            <w:r w:rsidRPr="00DA7C14">
              <w:rPr>
                <w:rFonts w:ascii="Cambria" w:hAnsi="Cambria"/>
                <w:b/>
                <w:bCs/>
                <w:i/>
                <w:color w:val="FFFFFF" w:themeColor="background1"/>
                <w:sz w:val="19"/>
                <w:szCs w:val="19"/>
              </w:rPr>
              <w:t xml:space="preserve"> loci</w:t>
            </w:r>
            <w:r w:rsidRPr="00DA7C14">
              <w:rPr>
                <w:rFonts w:ascii="Cambria" w:hAnsi="Cambria"/>
                <w:b/>
                <w:bCs/>
                <w:color w:val="FFFFFF" w:themeColor="background1"/>
                <w:sz w:val="19"/>
                <w:szCs w:val="19"/>
              </w:rPr>
              <w:t>:</w:t>
            </w:r>
          </w:p>
        </w:tc>
        <w:tc>
          <w:tcPr>
            <w:tcW w:w="5670" w:type="dxa"/>
            <w:vAlign w:val="center"/>
          </w:tcPr>
          <w:p w:rsidR="00F621C3" w:rsidRPr="00DA7C14" w:rsidRDefault="00A3533B" w:rsidP="00E17D30">
            <w:pPr>
              <w:rPr>
                <w:rFonts w:asciiTheme="majorHAnsi" w:hAnsiTheme="majorHAnsi"/>
                <w:bCs/>
                <w:sz w:val="19"/>
                <w:szCs w:val="19"/>
              </w:rPr>
            </w:pPr>
            <w:r w:rsidRPr="00DA7C14">
              <w:rPr>
                <w:rFonts w:asciiTheme="majorHAnsi" w:hAnsiTheme="majorHAnsi"/>
                <w:bCs/>
                <w:sz w:val="19"/>
                <w:szCs w:val="19"/>
              </w:rPr>
              <w:t>Yes</w:t>
            </w:r>
          </w:p>
        </w:tc>
      </w:tr>
      <w:tr w:rsidR="00F621C3" w:rsidRPr="00DA7C14" w:rsidTr="001F1902">
        <w:trPr>
          <w:cantSplit/>
        </w:trPr>
        <w:tc>
          <w:tcPr>
            <w:tcW w:w="3690" w:type="dxa"/>
            <w:tcBorders>
              <w:top w:val="single" w:sz="6" w:space="0" w:color="auto"/>
              <w:bottom w:val="single" w:sz="6" w:space="0" w:color="auto"/>
            </w:tcBorders>
            <w:shd w:val="clear" w:color="auto" w:fill="67AE3C"/>
            <w:vAlign w:val="center"/>
          </w:tcPr>
          <w:p w:rsidR="00F621C3" w:rsidRPr="00DA7C14" w:rsidRDefault="00F621C3" w:rsidP="00E17D30">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Competence</w:t>
            </w:r>
            <w:r w:rsidRPr="00DA7C14">
              <w:rPr>
                <w:rFonts w:ascii="Cambria" w:hAnsi="Cambria"/>
                <w:b/>
                <w:bCs/>
                <w:i/>
                <w:color w:val="FFFFFF" w:themeColor="background1"/>
                <w:sz w:val="19"/>
                <w:szCs w:val="19"/>
              </w:rPr>
              <w:t xml:space="preserve"> </w:t>
            </w:r>
            <w:proofErr w:type="spellStart"/>
            <w:r w:rsidRPr="00DA7C14">
              <w:rPr>
                <w:rFonts w:ascii="Cambria" w:hAnsi="Cambria"/>
                <w:b/>
                <w:bCs/>
                <w:i/>
                <w:color w:val="FFFFFF" w:themeColor="background1"/>
                <w:sz w:val="19"/>
                <w:szCs w:val="19"/>
              </w:rPr>
              <w:t>Ratione</w:t>
            </w:r>
            <w:proofErr w:type="spellEnd"/>
            <w:r w:rsidRPr="00DA7C14">
              <w:rPr>
                <w:rFonts w:ascii="Cambria" w:hAnsi="Cambria"/>
                <w:b/>
                <w:bCs/>
                <w:i/>
                <w:color w:val="FFFFFF" w:themeColor="background1"/>
                <w:sz w:val="19"/>
                <w:szCs w:val="19"/>
              </w:rPr>
              <w:t xml:space="preserve"> </w:t>
            </w:r>
            <w:proofErr w:type="spellStart"/>
            <w:r w:rsidRPr="00DA7C14">
              <w:rPr>
                <w:rFonts w:ascii="Cambria" w:hAnsi="Cambria"/>
                <w:b/>
                <w:bCs/>
                <w:i/>
                <w:color w:val="FFFFFF" w:themeColor="background1"/>
                <w:sz w:val="19"/>
                <w:szCs w:val="19"/>
              </w:rPr>
              <w:t>temporis</w:t>
            </w:r>
            <w:proofErr w:type="spellEnd"/>
            <w:r w:rsidRPr="00DA7C14">
              <w:rPr>
                <w:rFonts w:ascii="Cambria" w:hAnsi="Cambria"/>
                <w:b/>
                <w:bCs/>
                <w:color w:val="FFFFFF" w:themeColor="background1"/>
                <w:sz w:val="19"/>
                <w:szCs w:val="19"/>
              </w:rPr>
              <w:t>:</w:t>
            </w:r>
          </w:p>
        </w:tc>
        <w:tc>
          <w:tcPr>
            <w:tcW w:w="5670" w:type="dxa"/>
            <w:vAlign w:val="center"/>
          </w:tcPr>
          <w:p w:rsidR="00F621C3" w:rsidRPr="00DA7C14" w:rsidRDefault="00A3533B" w:rsidP="00E17D30">
            <w:pPr>
              <w:rPr>
                <w:rFonts w:asciiTheme="majorHAnsi" w:hAnsiTheme="majorHAnsi"/>
                <w:bCs/>
                <w:sz w:val="19"/>
                <w:szCs w:val="19"/>
              </w:rPr>
            </w:pPr>
            <w:r w:rsidRPr="00DA7C14">
              <w:rPr>
                <w:rFonts w:asciiTheme="majorHAnsi" w:hAnsiTheme="majorHAnsi"/>
                <w:bCs/>
                <w:sz w:val="19"/>
                <w:szCs w:val="19"/>
              </w:rPr>
              <w:t>Yes</w:t>
            </w:r>
          </w:p>
        </w:tc>
      </w:tr>
      <w:tr w:rsidR="00F621C3" w:rsidRPr="00DA7C14" w:rsidTr="001F1902">
        <w:trPr>
          <w:cantSplit/>
        </w:trPr>
        <w:tc>
          <w:tcPr>
            <w:tcW w:w="3690" w:type="dxa"/>
            <w:tcBorders>
              <w:top w:val="single" w:sz="6" w:space="0" w:color="auto"/>
              <w:bottom w:val="single" w:sz="6" w:space="0" w:color="auto"/>
            </w:tcBorders>
            <w:shd w:val="clear" w:color="auto" w:fill="67AE3C"/>
            <w:vAlign w:val="center"/>
          </w:tcPr>
          <w:p w:rsidR="00F621C3" w:rsidRPr="00DA7C14" w:rsidRDefault="00F621C3" w:rsidP="00E17D30">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Competence</w:t>
            </w:r>
            <w:r w:rsidRPr="00DA7C14">
              <w:rPr>
                <w:rFonts w:ascii="Cambria" w:hAnsi="Cambria"/>
                <w:b/>
                <w:bCs/>
                <w:i/>
                <w:color w:val="FFFFFF" w:themeColor="background1"/>
                <w:sz w:val="19"/>
                <w:szCs w:val="19"/>
              </w:rPr>
              <w:t xml:space="preserve"> </w:t>
            </w:r>
            <w:proofErr w:type="spellStart"/>
            <w:r w:rsidRPr="00DA7C14">
              <w:rPr>
                <w:rFonts w:ascii="Cambria" w:hAnsi="Cambria"/>
                <w:b/>
                <w:bCs/>
                <w:i/>
                <w:color w:val="FFFFFF" w:themeColor="background1"/>
                <w:sz w:val="19"/>
                <w:szCs w:val="19"/>
              </w:rPr>
              <w:t>Ratione</w:t>
            </w:r>
            <w:proofErr w:type="spellEnd"/>
            <w:r w:rsidRPr="00DA7C14">
              <w:rPr>
                <w:rFonts w:ascii="Cambria" w:hAnsi="Cambria"/>
                <w:b/>
                <w:bCs/>
                <w:i/>
                <w:color w:val="FFFFFF" w:themeColor="background1"/>
                <w:sz w:val="19"/>
                <w:szCs w:val="19"/>
              </w:rPr>
              <w:t xml:space="preserve"> </w:t>
            </w:r>
            <w:proofErr w:type="spellStart"/>
            <w:r w:rsidRPr="00DA7C14">
              <w:rPr>
                <w:rFonts w:ascii="Cambria" w:hAnsi="Cambria"/>
                <w:b/>
                <w:bCs/>
                <w:i/>
                <w:color w:val="FFFFFF" w:themeColor="background1"/>
                <w:sz w:val="19"/>
                <w:szCs w:val="19"/>
              </w:rPr>
              <w:t>materiae</w:t>
            </w:r>
            <w:proofErr w:type="spellEnd"/>
            <w:r w:rsidRPr="00DA7C14">
              <w:rPr>
                <w:rFonts w:ascii="Cambria" w:hAnsi="Cambria"/>
                <w:b/>
                <w:bCs/>
                <w:color w:val="FFFFFF" w:themeColor="background1"/>
                <w:sz w:val="19"/>
                <w:szCs w:val="19"/>
              </w:rPr>
              <w:t>:</w:t>
            </w:r>
          </w:p>
        </w:tc>
        <w:tc>
          <w:tcPr>
            <w:tcW w:w="5670" w:type="dxa"/>
            <w:vAlign w:val="center"/>
          </w:tcPr>
          <w:p w:rsidR="00F621C3" w:rsidRPr="00DA7C14" w:rsidRDefault="00A3533B" w:rsidP="00E17D30">
            <w:pPr>
              <w:jc w:val="both"/>
              <w:rPr>
                <w:rFonts w:asciiTheme="majorHAnsi" w:hAnsiTheme="majorHAnsi"/>
                <w:bCs/>
                <w:sz w:val="19"/>
                <w:szCs w:val="19"/>
              </w:rPr>
            </w:pPr>
            <w:r w:rsidRPr="00DA7C14">
              <w:rPr>
                <w:rFonts w:asciiTheme="majorHAnsi" w:hAnsiTheme="majorHAnsi"/>
                <w:bCs/>
                <w:sz w:val="19"/>
                <w:szCs w:val="19"/>
              </w:rPr>
              <w:t>Yes, American Convention (deposit of instrument of ratification made on July 31, 1973)</w:t>
            </w:r>
          </w:p>
        </w:tc>
      </w:tr>
    </w:tbl>
    <w:p w:rsidR="00F621C3" w:rsidRPr="00DA7C14" w:rsidRDefault="00F621C3" w:rsidP="00E25CCE">
      <w:pPr>
        <w:spacing w:before="220" w:after="220"/>
        <w:ind w:firstLine="720"/>
        <w:jc w:val="both"/>
        <w:rPr>
          <w:rFonts w:asciiTheme="majorHAnsi" w:hAnsiTheme="majorHAnsi"/>
          <w:b/>
          <w:bCs/>
          <w:sz w:val="19"/>
          <w:szCs w:val="19"/>
        </w:rPr>
      </w:pPr>
      <w:r w:rsidRPr="00DA7C14">
        <w:rPr>
          <w:rFonts w:asciiTheme="majorHAnsi" w:hAnsiTheme="majorHAnsi"/>
          <w:b/>
          <w:bCs/>
          <w:sz w:val="19"/>
          <w:szCs w:val="19"/>
        </w:rPr>
        <w:t xml:space="preserve">IV. </w:t>
      </w:r>
      <w:r w:rsidRPr="00DA7C14">
        <w:rPr>
          <w:rFonts w:asciiTheme="majorHAnsi" w:hAnsiTheme="majorHAnsi"/>
          <w:b/>
          <w:bCs/>
          <w:sz w:val="19"/>
          <w:szCs w:val="19"/>
        </w:rPr>
        <w:tab/>
        <w:t xml:space="preserve">DUPLICATION OF PROCEDURES AND INTERNATIONAL </w:t>
      </w:r>
      <w:r w:rsidRPr="00DA7C14">
        <w:rPr>
          <w:rFonts w:asciiTheme="majorHAnsi" w:hAnsiTheme="majorHAnsi"/>
          <w:b/>
          <w:bCs/>
          <w:i/>
          <w:sz w:val="19"/>
          <w:szCs w:val="19"/>
        </w:rPr>
        <w:t>RES JUDICATA</w:t>
      </w:r>
      <w:r w:rsidRPr="00DA7C14">
        <w:rPr>
          <w:rFonts w:asciiTheme="majorHAnsi" w:hAnsiTheme="majorHAnsi"/>
          <w:b/>
          <w:bCs/>
          <w:sz w:val="19"/>
          <w:szCs w:val="19"/>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DA7C14" w:rsidTr="001F1902">
        <w:trPr>
          <w:cantSplit/>
        </w:trPr>
        <w:tc>
          <w:tcPr>
            <w:tcW w:w="3690" w:type="dxa"/>
            <w:tcBorders>
              <w:top w:val="single" w:sz="4" w:space="0" w:color="auto"/>
              <w:bottom w:val="single" w:sz="6" w:space="0" w:color="auto"/>
            </w:tcBorders>
            <w:shd w:val="clear" w:color="auto" w:fill="67AE3C"/>
            <w:vAlign w:val="center"/>
          </w:tcPr>
          <w:p w:rsidR="00F621C3" w:rsidRPr="00DA7C14" w:rsidRDefault="00F621C3" w:rsidP="00E17D30">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 xml:space="preserve">Duplication of procedures and International </w:t>
            </w:r>
            <w:r w:rsidRPr="00DA7C14">
              <w:rPr>
                <w:rFonts w:ascii="Cambria" w:hAnsi="Cambria"/>
                <w:b/>
                <w:bCs/>
                <w:i/>
                <w:color w:val="FFFFFF" w:themeColor="background1"/>
                <w:sz w:val="19"/>
                <w:szCs w:val="19"/>
              </w:rPr>
              <w:t>res judicata</w:t>
            </w:r>
            <w:r w:rsidRPr="00DA7C14">
              <w:rPr>
                <w:rFonts w:ascii="Cambria" w:hAnsi="Cambria"/>
                <w:b/>
                <w:bCs/>
                <w:color w:val="FFFFFF" w:themeColor="background1"/>
                <w:sz w:val="19"/>
                <w:szCs w:val="19"/>
              </w:rPr>
              <w:t>:</w:t>
            </w:r>
          </w:p>
        </w:tc>
        <w:tc>
          <w:tcPr>
            <w:tcW w:w="5670" w:type="dxa"/>
            <w:vAlign w:val="center"/>
          </w:tcPr>
          <w:p w:rsidR="00F621C3" w:rsidRPr="00DA7C14" w:rsidRDefault="00A3533B" w:rsidP="00E17D30">
            <w:pPr>
              <w:jc w:val="both"/>
              <w:rPr>
                <w:rFonts w:ascii="Cambria" w:hAnsi="Cambria"/>
                <w:bCs/>
                <w:sz w:val="19"/>
                <w:szCs w:val="19"/>
              </w:rPr>
            </w:pPr>
            <w:r w:rsidRPr="00DA7C14">
              <w:rPr>
                <w:rFonts w:ascii="Cambria" w:hAnsi="Cambria"/>
                <w:bCs/>
                <w:sz w:val="19"/>
                <w:szCs w:val="19"/>
              </w:rPr>
              <w:t>No</w:t>
            </w:r>
          </w:p>
        </w:tc>
      </w:tr>
      <w:tr w:rsidR="00F621C3" w:rsidRPr="00DA7C14" w:rsidTr="001F1902">
        <w:trPr>
          <w:cantSplit/>
        </w:trPr>
        <w:tc>
          <w:tcPr>
            <w:tcW w:w="3690" w:type="dxa"/>
            <w:tcBorders>
              <w:top w:val="single" w:sz="6" w:space="0" w:color="auto"/>
              <w:bottom w:val="single" w:sz="6" w:space="0" w:color="auto"/>
            </w:tcBorders>
            <w:shd w:val="clear" w:color="auto" w:fill="67AE3C"/>
            <w:vAlign w:val="center"/>
          </w:tcPr>
          <w:p w:rsidR="00F621C3" w:rsidRPr="00DA7C14" w:rsidRDefault="00F621C3" w:rsidP="00E17D30">
            <w:pPr>
              <w:jc w:val="center"/>
              <w:rPr>
                <w:rFonts w:ascii="Cambria" w:hAnsi="Cambria"/>
                <w:b/>
                <w:bCs/>
                <w:i/>
                <w:color w:val="FFFFFF" w:themeColor="background1"/>
                <w:sz w:val="19"/>
                <w:szCs w:val="19"/>
              </w:rPr>
            </w:pPr>
            <w:r w:rsidRPr="00DA7C14">
              <w:rPr>
                <w:rFonts w:ascii="Cambria" w:hAnsi="Cambria"/>
                <w:b/>
                <w:bCs/>
                <w:color w:val="FFFFFF" w:themeColor="background1"/>
                <w:sz w:val="19"/>
                <w:szCs w:val="19"/>
              </w:rPr>
              <w:t>Rights declared admissible</w:t>
            </w:r>
          </w:p>
        </w:tc>
        <w:tc>
          <w:tcPr>
            <w:tcW w:w="5670" w:type="dxa"/>
            <w:vAlign w:val="center"/>
          </w:tcPr>
          <w:p w:rsidR="00F621C3" w:rsidRPr="00DA7C14" w:rsidRDefault="00A3533B" w:rsidP="00E17D30">
            <w:pPr>
              <w:jc w:val="both"/>
              <w:rPr>
                <w:rFonts w:ascii="Cambria" w:hAnsi="Cambria"/>
                <w:bCs/>
                <w:sz w:val="19"/>
                <w:szCs w:val="19"/>
              </w:rPr>
            </w:pPr>
            <w:r w:rsidRPr="00DA7C14">
              <w:rPr>
                <w:rFonts w:ascii="Cambria" w:hAnsi="Cambria"/>
                <w:bCs/>
                <w:sz w:val="19"/>
                <w:szCs w:val="19"/>
              </w:rPr>
              <w:t>Articles 5 (right to humane treatment)</w:t>
            </w:r>
            <w:r w:rsidR="00342A7D" w:rsidRPr="00DA7C14">
              <w:rPr>
                <w:rFonts w:ascii="Cambria" w:hAnsi="Cambria"/>
                <w:bCs/>
                <w:sz w:val="19"/>
                <w:szCs w:val="19"/>
              </w:rPr>
              <w:t>, 8 (right to a fair trial) and 25 (right to judicial protection) of the American Convention, in relation to its Article 1.1 (obligation to respect rights)</w:t>
            </w:r>
          </w:p>
        </w:tc>
      </w:tr>
      <w:tr w:rsidR="00F621C3" w:rsidRPr="00DA7C14" w:rsidTr="001F1902">
        <w:trPr>
          <w:cantSplit/>
        </w:trPr>
        <w:tc>
          <w:tcPr>
            <w:tcW w:w="3690" w:type="dxa"/>
            <w:tcBorders>
              <w:top w:val="single" w:sz="6" w:space="0" w:color="auto"/>
              <w:bottom w:val="single" w:sz="6" w:space="0" w:color="auto"/>
            </w:tcBorders>
            <w:shd w:val="clear" w:color="auto" w:fill="67AE3C"/>
            <w:vAlign w:val="center"/>
          </w:tcPr>
          <w:p w:rsidR="00F621C3" w:rsidRPr="00DA7C14" w:rsidRDefault="00F621C3" w:rsidP="00E17D30">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Exhaustion of domestic remedies or applicability of an exception to the rule:</w:t>
            </w:r>
          </w:p>
        </w:tc>
        <w:tc>
          <w:tcPr>
            <w:tcW w:w="5670" w:type="dxa"/>
            <w:vAlign w:val="center"/>
          </w:tcPr>
          <w:p w:rsidR="00F621C3" w:rsidRPr="00DA7C14" w:rsidRDefault="004D677A" w:rsidP="00E17D30">
            <w:pPr>
              <w:rPr>
                <w:rFonts w:ascii="Cambria" w:hAnsi="Cambria"/>
                <w:bCs/>
                <w:sz w:val="19"/>
                <w:szCs w:val="19"/>
              </w:rPr>
            </w:pPr>
            <w:r w:rsidRPr="00DA7C14">
              <w:rPr>
                <w:rFonts w:ascii="Cambria" w:hAnsi="Cambria"/>
                <w:bCs/>
                <w:sz w:val="19"/>
                <w:szCs w:val="19"/>
              </w:rPr>
              <w:t>Yes, on February 18, 2010</w:t>
            </w:r>
          </w:p>
          <w:p w:rsidR="00F621C3" w:rsidRPr="00DA7C14" w:rsidRDefault="00F621C3" w:rsidP="00E17D30">
            <w:pPr>
              <w:rPr>
                <w:rFonts w:ascii="Cambria" w:hAnsi="Cambria"/>
                <w:bCs/>
                <w:sz w:val="19"/>
                <w:szCs w:val="19"/>
              </w:rPr>
            </w:pPr>
          </w:p>
        </w:tc>
      </w:tr>
      <w:tr w:rsidR="00F621C3" w:rsidRPr="00DA7C14" w:rsidTr="001F1902">
        <w:trPr>
          <w:cantSplit/>
        </w:trPr>
        <w:tc>
          <w:tcPr>
            <w:tcW w:w="3690" w:type="dxa"/>
            <w:tcBorders>
              <w:top w:val="single" w:sz="6" w:space="0" w:color="auto"/>
              <w:bottom w:val="single" w:sz="6" w:space="0" w:color="auto"/>
            </w:tcBorders>
            <w:shd w:val="clear" w:color="auto" w:fill="67AE3C"/>
            <w:vAlign w:val="center"/>
          </w:tcPr>
          <w:p w:rsidR="00F621C3" w:rsidRPr="00DA7C14" w:rsidRDefault="00F621C3" w:rsidP="00E17D30">
            <w:pPr>
              <w:jc w:val="center"/>
              <w:rPr>
                <w:rFonts w:ascii="Cambria" w:hAnsi="Cambria"/>
                <w:b/>
                <w:bCs/>
                <w:color w:val="FFFFFF" w:themeColor="background1"/>
                <w:sz w:val="19"/>
                <w:szCs w:val="19"/>
              </w:rPr>
            </w:pPr>
            <w:r w:rsidRPr="00DA7C14">
              <w:rPr>
                <w:rFonts w:ascii="Cambria" w:hAnsi="Cambria"/>
                <w:b/>
                <w:bCs/>
                <w:color w:val="FFFFFF" w:themeColor="background1"/>
                <w:sz w:val="19"/>
                <w:szCs w:val="19"/>
              </w:rPr>
              <w:t>Timeliness of the petition:</w:t>
            </w:r>
          </w:p>
        </w:tc>
        <w:tc>
          <w:tcPr>
            <w:tcW w:w="5670" w:type="dxa"/>
            <w:vAlign w:val="center"/>
          </w:tcPr>
          <w:p w:rsidR="00F621C3" w:rsidRPr="00DA7C14" w:rsidRDefault="004D677A" w:rsidP="00E17D30">
            <w:pPr>
              <w:rPr>
                <w:rFonts w:asciiTheme="majorHAnsi" w:hAnsiTheme="majorHAnsi"/>
                <w:bCs/>
                <w:sz w:val="19"/>
                <w:szCs w:val="19"/>
              </w:rPr>
            </w:pPr>
            <w:r w:rsidRPr="00DA7C14">
              <w:rPr>
                <w:rFonts w:asciiTheme="majorHAnsi" w:hAnsiTheme="majorHAnsi"/>
                <w:bCs/>
                <w:sz w:val="19"/>
                <w:szCs w:val="19"/>
              </w:rPr>
              <w:t>Yes, on July 1, 2008</w:t>
            </w:r>
          </w:p>
        </w:tc>
      </w:tr>
    </w:tbl>
    <w:p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t xml:space="preserve">FACTS </w:t>
      </w:r>
      <w:r w:rsidR="005816E5" w:rsidRPr="000B6B7A">
        <w:rPr>
          <w:rFonts w:asciiTheme="majorHAnsi" w:hAnsiTheme="majorHAnsi"/>
          <w:b/>
          <w:sz w:val="20"/>
          <w:szCs w:val="20"/>
        </w:rPr>
        <w:t>ALLEGED</w:t>
      </w:r>
    </w:p>
    <w:p w:rsidR="00F621C3" w:rsidRDefault="00106D2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06D25">
        <w:rPr>
          <w:rFonts w:ascii="Cambria" w:hAnsi="Cambria"/>
          <w:sz w:val="20"/>
          <w:szCs w:val="20"/>
        </w:rPr>
        <w:t xml:space="preserve">Oscar </w:t>
      </w:r>
      <w:proofErr w:type="spellStart"/>
      <w:r w:rsidRPr="00106D25">
        <w:rPr>
          <w:rFonts w:ascii="Cambria" w:hAnsi="Cambria"/>
          <w:sz w:val="20"/>
          <w:szCs w:val="20"/>
        </w:rPr>
        <w:t>Darío</w:t>
      </w:r>
      <w:proofErr w:type="spellEnd"/>
      <w:r w:rsidRPr="00106D25">
        <w:rPr>
          <w:rFonts w:ascii="Cambria" w:hAnsi="Cambria"/>
          <w:sz w:val="20"/>
          <w:szCs w:val="20"/>
        </w:rPr>
        <w:t xml:space="preserve"> Villegas Posada (hereinafter "the petitioner") </w:t>
      </w:r>
      <w:r w:rsidR="0017549C">
        <w:rPr>
          <w:rFonts w:ascii="Cambria" w:hAnsi="Cambria"/>
          <w:sz w:val="20"/>
          <w:szCs w:val="20"/>
        </w:rPr>
        <w:t>filed</w:t>
      </w:r>
      <w:r w:rsidRPr="00106D25">
        <w:rPr>
          <w:rFonts w:ascii="Cambria" w:hAnsi="Cambria"/>
          <w:sz w:val="20"/>
          <w:szCs w:val="20"/>
        </w:rPr>
        <w:t xml:space="preserve"> the petition on behalf of Mr. </w:t>
      </w:r>
      <w:proofErr w:type="spellStart"/>
      <w:r w:rsidRPr="00106D25">
        <w:rPr>
          <w:rFonts w:ascii="Cambria" w:hAnsi="Cambria"/>
          <w:sz w:val="20"/>
          <w:szCs w:val="20"/>
        </w:rPr>
        <w:t>Atanasio</w:t>
      </w:r>
      <w:proofErr w:type="spellEnd"/>
      <w:r w:rsidRPr="00106D25">
        <w:rPr>
          <w:rFonts w:ascii="Cambria" w:hAnsi="Cambria"/>
          <w:sz w:val="20"/>
          <w:szCs w:val="20"/>
        </w:rPr>
        <w:t xml:space="preserve"> </w:t>
      </w:r>
      <w:proofErr w:type="spellStart"/>
      <w:r w:rsidRPr="00106D25">
        <w:rPr>
          <w:rFonts w:ascii="Cambria" w:hAnsi="Cambria"/>
          <w:sz w:val="20"/>
          <w:szCs w:val="20"/>
        </w:rPr>
        <w:t>Galvis</w:t>
      </w:r>
      <w:proofErr w:type="spellEnd"/>
      <w:r w:rsidRPr="00106D25">
        <w:rPr>
          <w:rFonts w:ascii="Cambria" w:hAnsi="Cambria"/>
          <w:sz w:val="20"/>
          <w:szCs w:val="20"/>
        </w:rPr>
        <w:t xml:space="preserve"> Quintero and his three sons, Wilson Alejandro </w:t>
      </w:r>
      <w:proofErr w:type="spellStart"/>
      <w:r w:rsidRPr="00106D25">
        <w:rPr>
          <w:rFonts w:ascii="Cambria" w:hAnsi="Cambria"/>
          <w:sz w:val="20"/>
          <w:szCs w:val="20"/>
        </w:rPr>
        <w:t>Galvis</w:t>
      </w:r>
      <w:proofErr w:type="spellEnd"/>
      <w:r w:rsidRPr="00106D25">
        <w:rPr>
          <w:rFonts w:ascii="Cambria" w:hAnsi="Cambria"/>
          <w:sz w:val="20"/>
          <w:szCs w:val="20"/>
        </w:rPr>
        <w:t xml:space="preserve"> Klinger, Juan Gabriel </w:t>
      </w:r>
      <w:proofErr w:type="spellStart"/>
      <w:r w:rsidRPr="00106D25">
        <w:rPr>
          <w:rFonts w:ascii="Cambria" w:hAnsi="Cambria"/>
          <w:sz w:val="20"/>
          <w:szCs w:val="20"/>
        </w:rPr>
        <w:t>Galvis</w:t>
      </w:r>
      <w:proofErr w:type="spellEnd"/>
      <w:r w:rsidRPr="00106D25">
        <w:rPr>
          <w:rFonts w:ascii="Cambria" w:hAnsi="Cambria"/>
          <w:sz w:val="20"/>
          <w:szCs w:val="20"/>
        </w:rPr>
        <w:t xml:space="preserve"> Klinger and Pablo Andrés </w:t>
      </w:r>
      <w:proofErr w:type="spellStart"/>
      <w:r w:rsidRPr="00106D25">
        <w:rPr>
          <w:rFonts w:ascii="Cambria" w:hAnsi="Cambria"/>
          <w:sz w:val="20"/>
          <w:szCs w:val="20"/>
        </w:rPr>
        <w:t>Galvis</w:t>
      </w:r>
      <w:proofErr w:type="spellEnd"/>
      <w:r w:rsidRPr="00106D25">
        <w:rPr>
          <w:rFonts w:ascii="Cambria" w:hAnsi="Cambria"/>
          <w:sz w:val="20"/>
          <w:szCs w:val="20"/>
        </w:rPr>
        <w:t xml:space="preserve"> Kl</w:t>
      </w:r>
      <w:r w:rsidR="0017549C">
        <w:rPr>
          <w:rFonts w:ascii="Cambria" w:hAnsi="Cambria"/>
          <w:sz w:val="20"/>
          <w:szCs w:val="20"/>
        </w:rPr>
        <w:t>inger (hereinafter "the alleged</w:t>
      </w:r>
      <w:r w:rsidRPr="00106D25">
        <w:rPr>
          <w:rFonts w:ascii="Cambria" w:hAnsi="Cambria"/>
          <w:sz w:val="20"/>
          <w:szCs w:val="20"/>
        </w:rPr>
        <w:t xml:space="preserve"> victims "), husband and children respectively of Mrs. Marta </w:t>
      </w:r>
      <w:proofErr w:type="spellStart"/>
      <w:r w:rsidRPr="00106D25">
        <w:rPr>
          <w:rFonts w:ascii="Cambria" w:hAnsi="Cambria"/>
          <w:sz w:val="20"/>
          <w:szCs w:val="20"/>
        </w:rPr>
        <w:t>Lucía</w:t>
      </w:r>
      <w:proofErr w:type="spellEnd"/>
      <w:r w:rsidRPr="00106D25">
        <w:rPr>
          <w:rFonts w:ascii="Cambria" w:hAnsi="Cambria"/>
          <w:sz w:val="20"/>
          <w:szCs w:val="20"/>
        </w:rPr>
        <w:t xml:space="preserve"> </w:t>
      </w:r>
      <w:r w:rsidR="0017549C">
        <w:rPr>
          <w:rFonts w:ascii="Cambria" w:hAnsi="Cambria"/>
          <w:sz w:val="20"/>
          <w:szCs w:val="20"/>
        </w:rPr>
        <w:t>Klinger Rodríguez (hereinafter “</w:t>
      </w:r>
      <w:r w:rsidRPr="00106D25">
        <w:rPr>
          <w:rFonts w:ascii="Cambria" w:hAnsi="Cambria"/>
          <w:sz w:val="20"/>
          <w:szCs w:val="20"/>
        </w:rPr>
        <w:t>Mrs. Klinger ") who was killed by a member of the army</w:t>
      </w:r>
      <w:r>
        <w:rPr>
          <w:rFonts w:ascii="Cambria" w:hAnsi="Cambria"/>
          <w:sz w:val="20"/>
          <w:szCs w:val="20"/>
        </w:rPr>
        <w:t>.</w:t>
      </w:r>
    </w:p>
    <w:p w:rsidR="004C3BE2" w:rsidRDefault="0017549C"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states</w:t>
      </w:r>
      <w:r w:rsidR="00106D25" w:rsidRPr="00106D25">
        <w:rPr>
          <w:rFonts w:ascii="Cambria" w:hAnsi="Cambria"/>
          <w:sz w:val="20"/>
          <w:szCs w:val="20"/>
        </w:rPr>
        <w:t xml:space="preserve"> that on the night of October 15, 1993, National Army </w:t>
      </w:r>
      <w:r w:rsidR="009445C4">
        <w:rPr>
          <w:rFonts w:ascii="Cambria" w:hAnsi="Cambria"/>
          <w:sz w:val="20"/>
          <w:szCs w:val="20"/>
        </w:rPr>
        <w:t xml:space="preserve">Second </w:t>
      </w:r>
      <w:r w:rsidR="00106D25" w:rsidRPr="00106D25">
        <w:rPr>
          <w:rFonts w:ascii="Cambria" w:hAnsi="Cambria"/>
          <w:sz w:val="20"/>
          <w:szCs w:val="20"/>
        </w:rPr>
        <w:t xml:space="preserve">Lieutenant Jesus </w:t>
      </w:r>
      <w:proofErr w:type="spellStart"/>
      <w:r w:rsidR="00106D25" w:rsidRPr="00106D25">
        <w:rPr>
          <w:rFonts w:ascii="Cambria" w:hAnsi="Cambria"/>
          <w:sz w:val="20"/>
          <w:szCs w:val="20"/>
        </w:rPr>
        <w:t>Fabián</w:t>
      </w:r>
      <w:proofErr w:type="spellEnd"/>
      <w:r w:rsidR="00106D25" w:rsidRPr="00106D25">
        <w:rPr>
          <w:rFonts w:ascii="Cambria" w:hAnsi="Cambria"/>
          <w:sz w:val="20"/>
          <w:szCs w:val="20"/>
        </w:rPr>
        <w:t xml:space="preserve"> Ro</w:t>
      </w:r>
      <w:r>
        <w:rPr>
          <w:rFonts w:ascii="Cambria" w:hAnsi="Cambria"/>
          <w:sz w:val="20"/>
          <w:szCs w:val="20"/>
        </w:rPr>
        <w:t xml:space="preserve">jas </w:t>
      </w:r>
      <w:proofErr w:type="spellStart"/>
      <w:r>
        <w:rPr>
          <w:rFonts w:ascii="Cambria" w:hAnsi="Cambria"/>
          <w:sz w:val="20"/>
          <w:szCs w:val="20"/>
        </w:rPr>
        <w:t>Bohorquez</w:t>
      </w:r>
      <w:proofErr w:type="spellEnd"/>
      <w:r>
        <w:rPr>
          <w:rFonts w:ascii="Cambria" w:hAnsi="Cambria"/>
          <w:sz w:val="20"/>
          <w:szCs w:val="20"/>
        </w:rPr>
        <w:t xml:space="preserve"> (hereinafter "</w:t>
      </w:r>
      <w:r w:rsidR="00106D25" w:rsidRPr="00106D25">
        <w:rPr>
          <w:rFonts w:ascii="Cambria" w:hAnsi="Cambria"/>
          <w:sz w:val="20"/>
          <w:szCs w:val="20"/>
        </w:rPr>
        <w:t xml:space="preserve">second lieutenant Rojas"), was in the "El Bosque" bar, consuming alcoholic beverages with other soldiers when, </w:t>
      </w:r>
      <w:r>
        <w:rPr>
          <w:rFonts w:ascii="Cambria" w:hAnsi="Cambria"/>
          <w:sz w:val="20"/>
          <w:szCs w:val="20"/>
        </w:rPr>
        <w:t>u</w:t>
      </w:r>
      <w:r w:rsidR="0082007D">
        <w:rPr>
          <w:rFonts w:ascii="Cambria" w:hAnsi="Cambria"/>
          <w:sz w:val="20"/>
          <w:szCs w:val="20"/>
        </w:rPr>
        <w:t>nder the influence of</w:t>
      </w:r>
      <w:r>
        <w:rPr>
          <w:rFonts w:ascii="Cambria" w:hAnsi="Cambria"/>
          <w:sz w:val="20"/>
          <w:szCs w:val="20"/>
        </w:rPr>
        <w:t xml:space="preserve"> </w:t>
      </w:r>
      <w:r w:rsidR="00106D25" w:rsidRPr="00106D25">
        <w:rPr>
          <w:rFonts w:ascii="Cambria" w:hAnsi="Cambria"/>
          <w:sz w:val="20"/>
          <w:szCs w:val="20"/>
        </w:rPr>
        <w:t xml:space="preserve">alcohol, he had a discussion with the </w:t>
      </w:r>
      <w:r>
        <w:rPr>
          <w:rFonts w:ascii="Cambria" w:hAnsi="Cambria"/>
          <w:sz w:val="20"/>
          <w:szCs w:val="20"/>
        </w:rPr>
        <w:t>bar owner</w:t>
      </w:r>
      <w:r w:rsidR="00106D25" w:rsidRPr="00106D25">
        <w:rPr>
          <w:rFonts w:ascii="Cambria" w:hAnsi="Cambria"/>
          <w:sz w:val="20"/>
          <w:szCs w:val="20"/>
        </w:rPr>
        <w:t xml:space="preserve">, </w:t>
      </w:r>
      <w:r>
        <w:rPr>
          <w:rFonts w:ascii="Cambria" w:hAnsi="Cambria"/>
          <w:sz w:val="20"/>
          <w:szCs w:val="20"/>
        </w:rPr>
        <w:t>pulled</w:t>
      </w:r>
      <w:r w:rsidR="00106D25" w:rsidRPr="00106D25">
        <w:rPr>
          <w:rFonts w:ascii="Cambria" w:hAnsi="Cambria"/>
          <w:sz w:val="20"/>
          <w:szCs w:val="20"/>
        </w:rPr>
        <w:t xml:space="preserve"> out a firearm and started firing. As a result, the bar </w:t>
      </w:r>
      <w:r>
        <w:rPr>
          <w:rFonts w:ascii="Cambria" w:hAnsi="Cambria"/>
          <w:sz w:val="20"/>
          <w:szCs w:val="20"/>
        </w:rPr>
        <w:t>owner</w:t>
      </w:r>
      <w:r w:rsidR="00106D25" w:rsidRPr="00106D25">
        <w:rPr>
          <w:rFonts w:ascii="Cambria" w:hAnsi="Cambria"/>
          <w:sz w:val="20"/>
          <w:szCs w:val="20"/>
        </w:rPr>
        <w:t xml:space="preserve"> and </w:t>
      </w:r>
      <w:r>
        <w:rPr>
          <w:rFonts w:ascii="Cambria" w:hAnsi="Cambria"/>
          <w:sz w:val="20"/>
          <w:szCs w:val="20"/>
        </w:rPr>
        <w:t>Mrs. Klinger, who worked in the</w:t>
      </w:r>
      <w:r w:rsidR="00106D25" w:rsidRPr="00106D25">
        <w:rPr>
          <w:rFonts w:ascii="Cambria" w:hAnsi="Cambria"/>
          <w:sz w:val="20"/>
          <w:szCs w:val="20"/>
        </w:rPr>
        <w:t xml:space="preserve"> establishment, </w:t>
      </w:r>
      <w:r>
        <w:rPr>
          <w:rFonts w:ascii="Cambria" w:hAnsi="Cambria"/>
          <w:sz w:val="20"/>
          <w:szCs w:val="20"/>
        </w:rPr>
        <w:t>were killed. T</w:t>
      </w:r>
      <w:r w:rsidR="00106D25" w:rsidRPr="00106D25">
        <w:rPr>
          <w:rFonts w:ascii="Cambria" w:hAnsi="Cambria"/>
          <w:sz w:val="20"/>
          <w:szCs w:val="20"/>
        </w:rPr>
        <w:t xml:space="preserve">he </w:t>
      </w:r>
      <w:r>
        <w:rPr>
          <w:rFonts w:ascii="Cambria" w:hAnsi="Cambria"/>
          <w:sz w:val="20"/>
          <w:szCs w:val="20"/>
        </w:rPr>
        <w:t>owner</w:t>
      </w:r>
      <w:r w:rsidR="00106D25" w:rsidRPr="00106D25">
        <w:rPr>
          <w:rFonts w:ascii="Cambria" w:hAnsi="Cambria"/>
          <w:sz w:val="20"/>
          <w:szCs w:val="20"/>
        </w:rPr>
        <w:t xml:space="preserve">'s son was </w:t>
      </w:r>
      <w:r>
        <w:rPr>
          <w:rFonts w:ascii="Cambria" w:hAnsi="Cambria"/>
          <w:sz w:val="20"/>
          <w:szCs w:val="20"/>
        </w:rPr>
        <w:t xml:space="preserve">also </w:t>
      </w:r>
      <w:r w:rsidR="00106D25" w:rsidRPr="00106D25">
        <w:rPr>
          <w:rFonts w:ascii="Cambria" w:hAnsi="Cambria"/>
          <w:sz w:val="20"/>
          <w:szCs w:val="20"/>
        </w:rPr>
        <w:t>seriously injured</w:t>
      </w:r>
      <w:r>
        <w:rPr>
          <w:rFonts w:ascii="Cambria" w:hAnsi="Cambria"/>
          <w:sz w:val="20"/>
          <w:szCs w:val="20"/>
        </w:rPr>
        <w:t>.</w:t>
      </w:r>
    </w:p>
    <w:p w:rsidR="004C3BE2" w:rsidRDefault="00106D2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06D25">
        <w:rPr>
          <w:rFonts w:ascii="Cambria" w:hAnsi="Cambria"/>
          <w:sz w:val="20"/>
          <w:szCs w:val="20"/>
        </w:rPr>
        <w:t xml:space="preserve">As a consequence of these events, Second Lieutenant Rojas was prosecuted </w:t>
      </w:r>
      <w:r w:rsidR="009445C4">
        <w:rPr>
          <w:rFonts w:ascii="Cambria" w:hAnsi="Cambria"/>
          <w:sz w:val="20"/>
          <w:szCs w:val="20"/>
        </w:rPr>
        <w:t xml:space="preserve">in criminal proceedings </w:t>
      </w:r>
      <w:r w:rsidRPr="00106D25">
        <w:rPr>
          <w:rFonts w:ascii="Cambria" w:hAnsi="Cambria"/>
          <w:sz w:val="20"/>
          <w:szCs w:val="20"/>
        </w:rPr>
        <w:t xml:space="preserve">and sentenced, </w:t>
      </w:r>
      <w:r w:rsidR="009445C4">
        <w:rPr>
          <w:rFonts w:ascii="Cambria" w:hAnsi="Cambria"/>
          <w:sz w:val="20"/>
          <w:szCs w:val="20"/>
        </w:rPr>
        <w:t>on May 31, 1995, by</w:t>
      </w:r>
      <w:r w:rsidRPr="00106D25">
        <w:rPr>
          <w:rFonts w:ascii="Cambria" w:hAnsi="Cambria"/>
          <w:sz w:val="20"/>
          <w:szCs w:val="20"/>
        </w:rPr>
        <w:t xml:space="preserve"> the Thirty-Sixth Criminal </w:t>
      </w:r>
      <w:r w:rsidR="009445C4" w:rsidRPr="00106D25">
        <w:rPr>
          <w:rFonts w:ascii="Cambria" w:hAnsi="Cambria"/>
          <w:sz w:val="20"/>
          <w:szCs w:val="20"/>
        </w:rPr>
        <w:t xml:space="preserve">Circuit </w:t>
      </w:r>
      <w:r w:rsidRPr="00106D25">
        <w:rPr>
          <w:rFonts w:ascii="Cambria" w:hAnsi="Cambria"/>
          <w:sz w:val="20"/>
          <w:szCs w:val="20"/>
        </w:rPr>
        <w:t>Court of Bogotá, to a forty-eight-yea</w:t>
      </w:r>
      <w:r w:rsidR="009445C4">
        <w:rPr>
          <w:rFonts w:ascii="Cambria" w:hAnsi="Cambria"/>
          <w:sz w:val="20"/>
          <w:szCs w:val="20"/>
        </w:rPr>
        <w:t>r prison sentence for the offenses of homicide, concurrently</w:t>
      </w:r>
      <w:r w:rsidRPr="00106D25">
        <w:rPr>
          <w:rFonts w:ascii="Cambria" w:hAnsi="Cambria"/>
          <w:sz w:val="20"/>
          <w:szCs w:val="20"/>
        </w:rPr>
        <w:t xml:space="preserve"> with attempted homicide and illega</w:t>
      </w:r>
      <w:r w:rsidR="009445C4">
        <w:rPr>
          <w:rFonts w:ascii="Cambria" w:hAnsi="Cambria"/>
          <w:sz w:val="20"/>
          <w:szCs w:val="20"/>
        </w:rPr>
        <w:t>l possession of a firearm</w:t>
      </w:r>
      <w:r w:rsidRPr="00106D25">
        <w:rPr>
          <w:rFonts w:ascii="Cambria" w:hAnsi="Cambria"/>
          <w:sz w:val="20"/>
          <w:szCs w:val="20"/>
        </w:rPr>
        <w:t xml:space="preserve">. </w:t>
      </w:r>
      <w:r w:rsidR="009445C4">
        <w:rPr>
          <w:rFonts w:ascii="Cambria" w:hAnsi="Cambria"/>
          <w:sz w:val="20"/>
          <w:szCs w:val="20"/>
        </w:rPr>
        <w:t>T</w:t>
      </w:r>
      <w:r w:rsidRPr="00106D25">
        <w:rPr>
          <w:rFonts w:ascii="Cambria" w:hAnsi="Cambria"/>
          <w:sz w:val="20"/>
          <w:szCs w:val="20"/>
        </w:rPr>
        <w:t>he second lieutenant</w:t>
      </w:r>
      <w:r w:rsidR="009445C4">
        <w:rPr>
          <w:rFonts w:ascii="Cambria" w:hAnsi="Cambria"/>
          <w:sz w:val="20"/>
          <w:szCs w:val="20"/>
        </w:rPr>
        <w:t xml:space="preserve"> appealed this decision, which was upheld</w:t>
      </w:r>
      <w:r w:rsidRPr="00106D25">
        <w:rPr>
          <w:rFonts w:ascii="Cambria" w:hAnsi="Cambria"/>
          <w:sz w:val="20"/>
          <w:szCs w:val="20"/>
        </w:rPr>
        <w:t xml:space="preserve"> by the Superior Court of the Judicial District of Bogotá </w:t>
      </w:r>
      <w:r w:rsidR="00D3047D">
        <w:rPr>
          <w:rFonts w:ascii="Cambria" w:hAnsi="Cambria"/>
          <w:sz w:val="20"/>
          <w:szCs w:val="20"/>
        </w:rPr>
        <w:t>in</w:t>
      </w:r>
      <w:r w:rsidR="00C8408D">
        <w:rPr>
          <w:rFonts w:ascii="Cambria" w:hAnsi="Cambria"/>
          <w:sz w:val="20"/>
          <w:szCs w:val="20"/>
        </w:rPr>
        <w:t xml:space="preserve"> </w:t>
      </w:r>
      <w:r w:rsidR="009445C4">
        <w:rPr>
          <w:rFonts w:ascii="Cambria" w:hAnsi="Cambria"/>
          <w:sz w:val="20"/>
          <w:szCs w:val="20"/>
        </w:rPr>
        <w:t>a decision dated</w:t>
      </w:r>
      <w:r w:rsidRPr="00106D25">
        <w:rPr>
          <w:rFonts w:ascii="Cambria" w:hAnsi="Cambria"/>
          <w:sz w:val="20"/>
          <w:szCs w:val="20"/>
        </w:rPr>
        <w:t xml:space="preserve"> Septe</w:t>
      </w:r>
      <w:r w:rsidR="009445C4">
        <w:rPr>
          <w:rFonts w:ascii="Cambria" w:hAnsi="Cambria"/>
          <w:sz w:val="20"/>
          <w:szCs w:val="20"/>
        </w:rPr>
        <w:t>mber 27, 1995. He then filed a cassation appeal that was dismissed</w:t>
      </w:r>
      <w:r w:rsidRPr="00106D25">
        <w:rPr>
          <w:rFonts w:ascii="Cambria" w:hAnsi="Cambria"/>
          <w:sz w:val="20"/>
          <w:szCs w:val="20"/>
        </w:rPr>
        <w:t xml:space="preserve"> by the Criminal Cassation Chamber of the Supreme Court of Justice on April 20, 1999. </w:t>
      </w:r>
      <w:r w:rsidR="009445C4">
        <w:rPr>
          <w:rFonts w:ascii="Cambria" w:hAnsi="Cambria"/>
          <w:sz w:val="20"/>
          <w:szCs w:val="20"/>
        </w:rPr>
        <w:t xml:space="preserve">Second </w:t>
      </w:r>
      <w:r w:rsidRPr="00106D25">
        <w:rPr>
          <w:rFonts w:ascii="Cambria" w:hAnsi="Cambria"/>
          <w:sz w:val="20"/>
          <w:szCs w:val="20"/>
        </w:rPr>
        <w:t xml:space="preserve">Lieutenant Rojas was also subject to disciplinary action by the </w:t>
      </w:r>
      <w:r w:rsidR="009445C4">
        <w:rPr>
          <w:rFonts w:ascii="Cambria" w:hAnsi="Cambria"/>
          <w:sz w:val="20"/>
          <w:szCs w:val="20"/>
        </w:rPr>
        <w:t xml:space="preserve">Armed Forces Deputy Prosecutor, </w:t>
      </w:r>
      <w:r w:rsidR="0082007D">
        <w:rPr>
          <w:rFonts w:ascii="Cambria" w:hAnsi="Cambria"/>
          <w:sz w:val="20"/>
          <w:szCs w:val="20"/>
        </w:rPr>
        <w:t>which resulted in his discharge</w:t>
      </w:r>
      <w:r w:rsidRPr="00106D25">
        <w:rPr>
          <w:rFonts w:ascii="Cambria" w:hAnsi="Cambria"/>
          <w:sz w:val="20"/>
          <w:szCs w:val="20"/>
        </w:rPr>
        <w:t xml:space="preserve"> by resolution No. 250 of June 5, 1995</w:t>
      </w:r>
      <w:r>
        <w:rPr>
          <w:rFonts w:ascii="Cambria" w:hAnsi="Cambria"/>
          <w:sz w:val="20"/>
          <w:szCs w:val="20"/>
        </w:rPr>
        <w:t>.</w:t>
      </w:r>
    </w:p>
    <w:p w:rsidR="004C3BE2" w:rsidRDefault="00DD655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On July 6, 1995, the alleged victims filed a claim for direct reparation against the State, requesting that each be awarded compensation for moral damages caused by the death of their relative. The alleged victims </w:t>
      </w:r>
      <w:r w:rsidR="00031A1C">
        <w:rPr>
          <w:rFonts w:ascii="Cambria" w:hAnsi="Cambria"/>
          <w:sz w:val="20"/>
          <w:szCs w:val="20"/>
        </w:rPr>
        <w:t>held the State</w:t>
      </w:r>
      <w:r w:rsidRPr="00DD655F">
        <w:rPr>
          <w:rFonts w:ascii="Cambria" w:hAnsi="Cambria"/>
          <w:sz w:val="20"/>
          <w:szCs w:val="20"/>
        </w:rPr>
        <w:t xml:space="preserve"> </w:t>
      </w:r>
      <w:r w:rsidR="00031A1C">
        <w:rPr>
          <w:rFonts w:ascii="Cambria" w:hAnsi="Cambria"/>
          <w:sz w:val="20"/>
          <w:szCs w:val="20"/>
        </w:rPr>
        <w:t>responsible</w:t>
      </w:r>
      <w:r w:rsidRPr="00DD655F">
        <w:rPr>
          <w:rFonts w:ascii="Cambria" w:hAnsi="Cambria"/>
          <w:sz w:val="20"/>
          <w:szCs w:val="20"/>
        </w:rPr>
        <w:t xml:space="preserve"> for Mrs. Klinger</w:t>
      </w:r>
      <w:r w:rsidR="00031A1C">
        <w:rPr>
          <w:rFonts w:ascii="Cambria" w:hAnsi="Cambria"/>
          <w:sz w:val="20"/>
          <w:szCs w:val="20"/>
        </w:rPr>
        <w:t>’s death</w:t>
      </w:r>
      <w:r w:rsidRPr="00DD655F">
        <w:rPr>
          <w:rFonts w:ascii="Cambria" w:hAnsi="Cambria"/>
          <w:sz w:val="20"/>
          <w:szCs w:val="20"/>
        </w:rPr>
        <w:t xml:space="preserve">, </w:t>
      </w:r>
      <w:r w:rsidR="00031A1C">
        <w:rPr>
          <w:rFonts w:ascii="Cambria" w:hAnsi="Cambria"/>
          <w:sz w:val="20"/>
          <w:szCs w:val="20"/>
        </w:rPr>
        <w:t>as</w:t>
      </w:r>
      <w:r w:rsidRPr="00DD655F">
        <w:rPr>
          <w:rFonts w:ascii="Cambria" w:hAnsi="Cambria"/>
          <w:sz w:val="20"/>
          <w:szCs w:val="20"/>
        </w:rPr>
        <w:t xml:space="preserve"> Second Lieutenant Rojas </w:t>
      </w:r>
      <w:r w:rsidR="00031A1C">
        <w:rPr>
          <w:rFonts w:ascii="Cambria" w:hAnsi="Cambria"/>
          <w:sz w:val="20"/>
          <w:szCs w:val="20"/>
        </w:rPr>
        <w:t xml:space="preserve">had a documented history of </w:t>
      </w:r>
      <w:r w:rsidRPr="00DD655F">
        <w:rPr>
          <w:rFonts w:ascii="Cambria" w:hAnsi="Cambria"/>
          <w:sz w:val="20"/>
          <w:szCs w:val="20"/>
        </w:rPr>
        <w:t xml:space="preserve">irresponsible use of firearms (unnecessary </w:t>
      </w:r>
      <w:r w:rsidR="00E46AC3">
        <w:rPr>
          <w:rFonts w:ascii="Cambria" w:hAnsi="Cambria"/>
          <w:sz w:val="20"/>
          <w:szCs w:val="20"/>
        </w:rPr>
        <w:t>shooting into the air and against colleagues), against which the authorities had failed to take the necessary action to protect the population</w:t>
      </w:r>
      <w:r>
        <w:rPr>
          <w:rFonts w:ascii="Cambria" w:hAnsi="Cambria"/>
          <w:sz w:val="20"/>
          <w:szCs w:val="20"/>
        </w:rPr>
        <w:t>.</w:t>
      </w:r>
    </w:p>
    <w:p w:rsidR="004C3BE2" w:rsidRDefault="00DD655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On August 26, 1999, the Administrat</w:t>
      </w:r>
      <w:r w:rsidR="00E46AC3">
        <w:rPr>
          <w:rFonts w:ascii="Cambria" w:hAnsi="Cambria"/>
          <w:sz w:val="20"/>
          <w:szCs w:val="20"/>
        </w:rPr>
        <w:t>ive Court of Cundinamarca dismissed</w:t>
      </w:r>
      <w:r w:rsidRPr="00DD655F">
        <w:rPr>
          <w:rFonts w:ascii="Cambria" w:hAnsi="Cambria"/>
          <w:sz w:val="20"/>
          <w:szCs w:val="20"/>
        </w:rPr>
        <w:t xml:space="preserve"> the</w:t>
      </w:r>
      <w:r w:rsidR="00E46AC3">
        <w:rPr>
          <w:rFonts w:ascii="Cambria" w:hAnsi="Cambria"/>
          <w:sz w:val="20"/>
          <w:szCs w:val="20"/>
        </w:rPr>
        <w:t>ir</w:t>
      </w:r>
      <w:r w:rsidRPr="00DD655F">
        <w:rPr>
          <w:rFonts w:ascii="Cambria" w:hAnsi="Cambria"/>
          <w:sz w:val="20"/>
          <w:szCs w:val="20"/>
        </w:rPr>
        <w:t xml:space="preserve"> claim, </w:t>
      </w:r>
      <w:r w:rsidR="00E46AC3">
        <w:rPr>
          <w:rFonts w:ascii="Cambria" w:hAnsi="Cambria"/>
          <w:sz w:val="20"/>
          <w:szCs w:val="20"/>
        </w:rPr>
        <w:t xml:space="preserve">on the grounds that at the time of the events, Second </w:t>
      </w:r>
      <w:r w:rsidRPr="00DD655F">
        <w:rPr>
          <w:rFonts w:ascii="Cambria" w:hAnsi="Cambria"/>
          <w:sz w:val="20"/>
          <w:szCs w:val="20"/>
        </w:rPr>
        <w:t xml:space="preserve">Lieutenant Rojas was </w:t>
      </w:r>
      <w:r w:rsidR="00E46AC3">
        <w:rPr>
          <w:rFonts w:ascii="Cambria" w:hAnsi="Cambria"/>
          <w:sz w:val="20"/>
          <w:szCs w:val="20"/>
        </w:rPr>
        <w:t>not in</w:t>
      </w:r>
      <w:r w:rsidRPr="00DD655F">
        <w:rPr>
          <w:rFonts w:ascii="Cambria" w:hAnsi="Cambria"/>
          <w:sz w:val="20"/>
          <w:szCs w:val="20"/>
        </w:rPr>
        <w:t xml:space="preserve"> uniform and that th</w:t>
      </w:r>
      <w:r w:rsidR="00E46AC3">
        <w:rPr>
          <w:rFonts w:ascii="Cambria" w:hAnsi="Cambria"/>
          <w:sz w:val="20"/>
          <w:szCs w:val="20"/>
        </w:rPr>
        <w:t>e weapon he used had not been officially issued</w:t>
      </w:r>
      <w:r w:rsidRPr="00DD655F">
        <w:rPr>
          <w:rFonts w:ascii="Cambria" w:hAnsi="Cambria"/>
          <w:sz w:val="20"/>
          <w:szCs w:val="20"/>
        </w:rPr>
        <w:t>. The Court c</w:t>
      </w:r>
      <w:r w:rsidR="00E46AC3">
        <w:rPr>
          <w:rFonts w:ascii="Cambria" w:hAnsi="Cambria"/>
          <w:sz w:val="20"/>
          <w:szCs w:val="20"/>
        </w:rPr>
        <w:t>oncluded that "</w:t>
      </w:r>
      <w:r w:rsidR="00C377C3">
        <w:rPr>
          <w:rFonts w:ascii="Cambria" w:hAnsi="Cambria"/>
          <w:sz w:val="20"/>
          <w:szCs w:val="20"/>
        </w:rPr>
        <w:t>the harmful</w:t>
      </w:r>
      <w:r w:rsidR="006A5543">
        <w:rPr>
          <w:rFonts w:ascii="Cambria" w:hAnsi="Cambria"/>
          <w:sz w:val="20"/>
          <w:szCs w:val="20"/>
        </w:rPr>
        <w:t xml:space="preserve"> conduct</w:t>
      </w:r>
      <w:r w:rsidR="00C8408D">
        <w:rPr>
          <w:rFonts w:ascii="Cambria" w:hAnsi="Cambria"/>
          <w:sz w:val="20"/>
          <w:szCs w:val="20"/>
        </w:rPr>
        <w:t xml:space="preserve"> </w:t>
      </w:r>
      <w:r w:rsidRPr="00DD655F">
        <w:rPr>
          <w:rFonts w:ascii="Cambria" w:hAnsi="Cambria"/>
          <w:sz w:val="20"/>
          <w:szCs w:val="20"/>
        </w:rPr>
        <w:t>can</w:t>
      </w:r>
      <w:r w:rsidR="00F2781F">
        <w:rPr>
          <w:rFonts w:ascii="Cambria" w:hAnsi="Cambria"/>
          <w:sz w:val="20"/>
          <w:szCs w:val="20"/>
        </w:rPr>
        <w:t xml:space="preserve"> solely</w:t>
      </w:r>
      <w:r w:rsidRPr="00DD655F">
        <w:rPr>
          <w:rFonts w:ascii="Cambria" w:hAnsi="Cambria"/>
          <w:sz w:val="20"/>
          <w:szCs w:val="20"/>
        </w:rPr>
        <w:t xml:space="preserve"> be attributed to </w:t>
      </w:r>
      <w:proofErr w:type="spellStart"/>
      <w:r w:rsidRPr="00DD655F">
        <w:rPr>
          <w:rFonts w:ascii="Cambria" w:hAnsi="Cambria"/>
          <w:sz w:val="20"/>
          <w:szCs w:val="20"/>
        </w:rPr>
        <w:t>Jesús</w:t>
      </w:r>
      <w:proofErr w:type="spellEnd"/>
      <w:r w:rsidRPr="00DD655F">
        <w:rPr>
          <w:rFonts w:ascii="Cambria" w:hAnsi="Cambria"/>
          <w:sz w:val="20"/>
          <w:szCs w:val="20"/>
        </w:rPr>
        <w:t xml:space="preserve"> Fabian Rojas </w:t>
      </w:r>
      <w:proofErr w:type="spellStart"/>
      <w:r w:rsidRPr="00DD655F">
        <w:rPr>
          <w:rFonts w:ascii="Cambria" w:hAnsi="Cambria"/>
          <w:sz w:val="20"/>
          <w:szCs w:val="20"/>
        </w:rPr>
        <w:t>Boharquez</w:t>
      </w:r>
      <w:proofErr w:type="spellEnd"/>
      <w:r w:rsidR="00E46AC3">
        <w:rPr>
          <w:rFonts w:ascii="Cambria" w:hAnsi="Cambria"/>
          <w:sz w:val="20"/>
          <w:szCs w:val="20"/>
        </w:rPr>
        <w:t xml:space="preserve"> as an individual </w:t>
      </w:r>
      <w:r w:rsidRPr="00DD655F">
        <w:rPr>
          <w:rFonts w:ascii="Cambria" w:hAnsi="Cambria"/>
          <w:sz w:val="20"/>
          <w:szCs w:val="20"/>
        </w:rPr>
        <w:t xml:space="preserve">fault </w:t>
      </w:r>
      <w:r w:rsidR="007C1E53">
        <w:rPr>
          <w:rFonts w:ascii="Cambria" w:hAnsi="Cambria"/>
          <w:sz w:val="20"/>
          <w:szCs w:val="20"/>
        </w:rPr>
        <w:t>unconnected</w:t>
      </w:r>
      <w:r w:rsidR="00E46AC3">
        <w:rPr>
          <w:rFonts w:ascii="Cambria" w:hAnsi="Cambria"/>
          <w:sz w:val="20"/>
          <w:szCs w:val="20"/>
        </w:rPr>
        <w:t xml:space="preserve"> in any way to</w:t>
      </w:r>
      <w:r w:rsidRPr="00DD655F">
        <w:rPr>
          <w:rFonts w:ascii="Cambria" w:hAnsi="Cambria"/>
          <w:sz w:val="20"/>
          <w:szCs w:val="20"/>
        </w:rPr>
        <w:t xml:space="preserve"> </w:t>
      </w:r>
      <w:r w:rsidR="0082007D">
        <w:rPr>
          <w:rFonts w:ascii="Cambria" w:hAnsi="Cambria"/>
          <w:sz w:val="20"/>
          <w:szCs w:val="20"/>
        </w:rPr>
        <w:t xml:space="preserve">the </w:t>
      </w:r>
      <w:r w:rsidRPr="00DD655F">
        <w:rPr>
          <w:rFonts w:ascii="Cambria" w:hAnsi="Cambria"/>
          <w:sz w:val="20"/>
          <w:szCs w:val="20"/>
        </w:rPr>
        <w:t>respon</w:t>
      </w:r>
      <w:r>
        <w:rPr>
          <w:rFonts w:ascii="Cambria" w:hAnsi="Cambria"/>
          <w:sz w:val="20"/>
          <w:szCs w:val="20"/>
        </w:rPr>
        <w:t>sibility of the administration.</w:t>
      </w:r>
      <w:r w:rsidR="00E46AC3">
        <w:rPr>
          <w:rFonts w:ascii="Cambria" w:hAnsi="Cambria"/>
          <w:sz w:val="20"/>
          <w:szCs w:val="20"/>
        </w:rPr>
        <w:t>”</w:t>
      </w:r>
    </w:p>
    <w:p w:rsidR="004C3BE2" w:rsidRDefault="00DD655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The alleged victims filed an appeal against this decision, which was </w:t>
      </w:r>
      <w:r w:rsidR="007C1E53">
        <w:rPr>
          <w:rFonts w:ascii="Cambria" w:hAnsi="Cambria"/>
          <w:sz w:val="20"/>
          <w:szCs w:val="20"/>
        </w:rPr>
        <w:t>transferred</w:t>
      </w:r>
      <w:r w:rsidRPr="00DD655F">
        <w:rPr>
          <w:rFonts w:ascii="Cambria" w:hAnsi="Cambria"/>
          <w:sz w:val="20"/>
          <w:szCs w:val="20"/>
        </w:rPr>
        <w:t xml:space="preserve"> to the Council of State on October 12, 1999. In support of their appeal, the alleged victims </w:t>
      </w:r>
      <w:r w:rsidR="0082007D">
        <w:rPr>
          <w:rFonts w:ascii="Cambria" w:hAnsi="Cambria"/>
          <w:sz w:val="20"/>
          <w:szCs w:val="20"/>
        </w:rPr>
        <w:t>submitted</w:t>
      </w:r>
      <w:r w:rsidRPr="00DD655F">
        <w:rPr>
          <w:rFonts w:ascii="Cambria" w:hAnsi="Cambria"/>
          <w:sz w:val="20"/>
          <w:szCs w:val="20"/>
        </w:rPr>
        <w:t xml:space="preserve"> that </w:t>
      </w:r>
      <w:r w:rsidR="0082007D">
        <w:rPr>
          <w:rFonts w:ascii="Cambria" w:hAnsi="Cambria"/>
          <w:sz w:val="20"/>
          <w:szCs w:val="20"/>
        </w:rPr>
        <w:t>the record contained no evidence</w:t>
      </w:r>
      <w:r w:rsidR="007C1E53">
        <w:rPr>
          <w:rFonts w:ascii="Cambria" w:hAnsi="Cambria"/>
          <w:sz w:val="20"/>
          <w:szCs w:val="20"/>
        </w:rPr>
        <w:t xml:space="preserve"> supporting</w:t>
      </w:r>
      <w:r w:rsidRPr="00DD655F">
        <w:rPr>
          <w:rFonts w:ascii="Cambria" w:hAnsi="Cambria"/>
          <w:sz w:val="20"/>
          <w:szCs w:val="20"/>
        </w:rPr>
        <w:t xml:space="preserve"> the conclusion </w:t>
      </w:r>
      <w:r w:rsidR="007C1E53">
        <w:rPr>
          <w:rFonts w:ascii="Cambria" w:hAnsi="Cambria"/>
          <w:sz w:val="20"/>
          <w:szCs w:val="20"/>
        </w:rPr>
        <w:t>that</w:t>
      </w:r>
      <w:r w:rsidRPr="00DD655F">
        <w:rPr>
          <w:rFonts w:ascii="Cambria" w:hAnsi="Cambria"/>
          <w:sz w:val="20"/>
          <w:szCs w:val="20"/>
        </w:rPr>
        <w:t xml:space="preserve"> the weapon used was not </w:t>
      </w:r>
      <w:r w:rsidR="007C1E53">
        <w:rPr>
          <w:rFonts w:ascii="Cambria" w:hAnsi="Cambria"/>
          <w:sz w:val="20"/>
          <w:szCs w:val="20"/>
        </w:rPr>
        <w:t>officially issued</w:t>
      </w:r>
      <w:r w:rsidRPr="00DD655F">
        <w:rPr>
          <w:rFonts w:ascii="Cambria" w:hAnsi="Cambria"/>
          <w:sz w:val="20"/>
          <w:szCs w:val="20"/>
        </w:rPr>
        <w:t xml:space="preserve">; that the authorities were aware of the danger </w:t>
      </w:r>
      <w:r w:rsidR="007C1E53">
        <w:rPr>
          <w:rFonts w:ascii="Cambria" w:hAnsi="Cambria"/>
          <w:sz w:val="20"/>
          <w:szCs w:val="20"/>
        </w:rPr>
        <w:t>posed by</w:t>
      </w:r>
      <w:r w:rsidRPr="00DD655F">
        <w:rPr>
          <w:rFonts w:ascii="Cambria" w:hAnsi="Cambria"/>
          <w:sz w:val="20"/>
          <w:szCs w:val="20"/>
        </w:rPr>
        <w:t xml:space="preserve"> the second lieutenant and that they had been </w:t>
      </w:r>
      <w:r w:rsidR="007C1E53">
        <w:rPr>
          <w:rFonts w:ascii="Cambria" w:hAnsi="Cambria"/>
          <w:sz w:val="20"/>
          <w:szCs w:val="20"/>
        </w:rPr>
        <w:t xml:space="preserve">recommended that he be retired, </w:t>
      </w:r>
      <w:r w:rsidRPr="00DD655F">
        <w:rPr>
          <w:rFonts w:ascii="Cambria" w:hAnsi="Cambria"/>
          <w:sz w:val="20"/>
          <w:szCs w:val="20"/>
        </w:rPr>
        <w:t xml:space="preserve">and that on previous occasions the second lieutenant had visited the </w:t>
      </w:r>
      <w:r w:rsidR="007C1E53" w:rsidRPr="00DD655F">
        <w:rPr>
          <w:rFonts w:ascii="Cambria" w:hAnsi="Cambria"/>
          <w:sz w:val="20"/>
          <w:szCs w:val="20"/>
        </w:rPr>
        <w:t>"El Bosque"</w:t>
      </w:r>
      <w:r w:rsidR="007C1E53">
        <w:rPr>
          <w:rFonts w:ascii="Cambria" w:hAnsi="Cambria"/>
          <w:sz w:val="20"/>
          <w:szCs w:val="20"/>
        </w:rPr>
        <w:t xml:space="preserve"> </w:t>
      </w:r>
      <w:r w:rsidRPr="00DD655F">
        <w:rPr>
          <w:rFonts w:ascii="Cambria" w:hAnsi="Cambria"/>
          <w:sz w:val="20"/>
          <w:szCs w:val="20"/>
        </w:rPr>
        <w:t xml:space="preserve">bar </w:t>
      </w:r>
      <w:r w:rsidR="007C1E53">
        <w:rPr>
          <w:rFonts w:ascii="Cambria" w:hAnsi="Cambria"/>
          <w:sz w:val="20"/>
          <w:szCs w:val="20"/>
        </w:rPr>
        <w:t>patrol</w:t>
      </w:r>
      <w:r w:rsidR="001961FF">
        <w:rPr>
          <w:rFonts w:ascii="Cambria" w:hAnsi="Cambria"/>
          <w:sz w:val="20"/>
          <w:szCs w:val="20"/>
        </w:rPr>
        <w:t>ling in uniform and</w:t>
      </w:r>
      <w:r w:rsidR="00927316">
        <w:rPr>
          <w:rFonts w:ascii="Cambria" w:hAnsi="Cambria"/>
          <w:sz w:val="20"/>
          <w:szCs w:val="20"/>
        </w:rPr>
        <w:t xml:space="preserve"> using his service firearm to </w:t>
      </w:r>
      <w:r w:rsidRPr="00DD655F">
        <w:rPr>
          <w:rFonts w:ascii="Cambria" w:hAnsi="Cambria"/>
          <w:sz w:val="20"/>
          <w:szCs w:val="20"/>
        </w:rPr>
        <w:t>demonstrate his "authority".</w:t>
      </w:r>
    </w:p>
    <w:p w:rsidR="004C3BE2" w:rsidRDefault="00DD655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On February 18, 2010, the </w:t>
      </w:r>
      <w:r w:rsidR="00FB3E73">
        <w:rPr>
          <w:rFonts w:ascii="Cambria" w:hAnsi="Cambria"/>
          <w:sz w:val="20"/>
          <w:szCs w:val="20"/>
        </w:rPr>
        <w:t>3</w:t>
      </w:r>
      <w:r w:rsidR="00FB3E73" w:rsidRPr="00FB3E73">
        <w:rPr>
          <w:rFonts w:ascii="Cambria" w:hAnsi="Cambria"/>
          <w:sz w:val="20"/>
          <w:szCs w:val="20"/>
          <w:vertAlign w:val="superscript"/>
        </w:rPr>
        <w:t>rd</w:t>
      </w:r>
      <w:r w:rsidR="00FB3E73">
        <w:rPr>
          <w:rFonts w:ascii="Cambria" w:hAnsi="Cambria"/>
          <w:sz w:val="20"/>
          <w:szCs w:val="20"/>
        </w:rPr>
        <w:t xml:space="preserve"> </w:t>
      </w:r>
      <w:r w:rsidRPr="00DD655F">
        <w:rPr>
          <w:rFonts w:ascii="Cambria" w:hAnsi="Cambria"/>
          <w:sz w:val="20"/>
          <w:szCs w:val="20"/>
        </w:rPr>
        <w:t>Contentious Administrative Chamber o</w:t>
      </w:r>
      <w:r w:rsidR="00FB3E73">
        <w:rPr>
          <w:rFonts w:ascii="Cambria" w:hAnsi="Cambria"/>
          <w:sz w:val="20"/>
          <w:szCs w:val="20"/>
        </w:rPr>
        <w:t>f the Council of State upheld</w:t>
      </w:r>
      <w:r w:rsidRPr="00DD655F">
        <w:rPr>
          <w:rFonts w:ascii="Cambria" w:hAnsi="Cambria"/>
          <w:sz w:val="20"/>
          <w:szCs w:val="20"/>
        </w:rPr>
        <w:t xml:space="preserve"> the judgment of first instance, considering that </w:t>
      </w:r>
      <w:r w:rsidR="006B03FB">
        <w:rPr>
          <w:rFonts w:ascii="Cambria" w:hAnsi="Cambria"/>
          <w:sz w:val="20"/>
          <w:szCs w:val="20"/>
        </w:rPr>
        <w:t>it could not be inferred</w:t>
      </w:r>
      <w:r w:rsidR="006B03FB" w:rsidRPr="00DD655F">
        <w:rPr>
          <w:rFonts w:ascii="Cambria" w:hAnsi="Cambria"/>
          <w:sz w:val="20"/>
          <w:szCs w:val="20"/>
        </w:rPr>
        <w:t xml:space="preserve"> </w:t>
      </w:r>
      <w:r w:rsidR="00FB3E73">
        <w:rPr>
          <w:rFonts w:ascii="Cambria" w:hAnsi="Cambria"/>
          <w:sz w:val="20"/>
          <w:szCs w:val="20"/>
        </w:rPr>
        <w:t>the</w:t>
      </w:r>
      <w:r w:rsidRPr="00DD655F">
        <w:rPr>
          <w:rFonts w:ascii="Cambria" w:hAnsi="Cambria"/>
          <w:sz w:val="20"/>
          <w:szCs w:val="20"/>
        </w:rPr>
        <w:t xml:space="preserve"> Nation</w:t>
      </w:r>
      <w:r w:rsidR="006B03FB">
        <w:rPr>
          <w:rFonts w:ascii="Cambria" w:hAnsi="Cambria"/>
          <w:sz w:val="20"/>
          <w:szCs w:val="20"/>
        </w:rPr>
        <w:t xml:space="preserve"> was responsible</w:t>
      </w:r>
      <w:r w:rsidRPr="00DD655F">
        <w:rPr>
          <w:rFonts w:ascii="Cambria" w:hAnsi="Cambria"/>
          <w:sz w:val="20"/>
          <w:szCs w:val="20"/>
        </w:rPr>
        <w:t xml:space="preserve"> </w:t>
      </w:r>
      <w:r w:rsidR="00C377C3">
        <w:rPr>
          <w:rFonts w:ascii="Cambria" w:hAnsi="Cambria"/>
          <w:sz w:val="20"/>
          <w:szCs w:val="20"/>
        </w:rPr>
        <w:t>or</w:t>
      </w:r>
      <w:r w:rsidRPr="00DD655F">
        <w:rPr>
          <w:rFonts w:ascii="Cambria" w:hAnsi="Cambria"/>
          <w:sz w:val="20"/>
          <w:szCs w:val="20"/>
        </w:rPr>
        <w:t xml:space="preserve"> that the authorities </w:t>
      </w:r>
      <w:r w:rsidR="00363E01">
        <w:rPr>
          <w:rFonts w:ascii="Cambria" w:hAnsi="Cambria"/>
          <w:sz w:val="20"/>
          <w:szCs w:val="20"/>
        </w:rPr>
        <w:t>could possibly</w:t>
      </w:r>
      <w:r w:rsidR="00FB3E73">
        <w:rPr>
          <w:rFonts w:ascii="Cambria" w:hAnsi="Cambria"/>
          <w:sz w:val="20"/>
          <w:szCs w:val="20"/>
        </w:rPr>
        <w:t xml:space="preserve"> foresee</w:t>
      </w:r>
      <w:r w:rsidRPr="00DD655F">
        <w:rPr>
          <w:rFonts w:ascii="Cambria" w:hAnsi="Cambria"/>
          <w:sz w:val="20"/>
          <w:szCs w:val="20"/>
        </w:rPr>
        <w:t xml:space="preserve"> that the Second lieutenant </w:t>
      </w:r>
      <w:r w:rsidR="00FB3E73">
        <w:rPr>
          <w:rFonts w:ascii="Cambria" w:hAnsi="Cambria"/>
          <w:sz w:val="20"/>
          <w:szCs w:val="20"/>
        </w:rPr>
        <w:t>would</w:t>
      </w:r>
      <w:r w:rsidRPr="00DD655F">
        <w:rPr>
          <w:rFonts w:ascii="Cambria" w:hAnsi="Cambria"/>
          <w:sz w:val="20"/>
          <w:szCs w:val="20"/>
        </w:rPr>
        <w:t xml:space="preserve"> commit actions like those of October 15, 1993</w:t>
      </w:r>
      <w:r>
        <w:rPr>
          <w:rFonts w:ascii="Cambria" w:hAnsi="Cambria"/>
          <w:sz w:val="20"/>
          <w:szCs w:val="20"/>
        </w:rPr>
        <w:t>.</w:t>
      </w:r>
    </w:p>
    <w:p w:rsidR="004C3BE2" w:rsidRDefault="00DD655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Despite these decisions, the petitioner alleges that the State is responsible for the death of Mrs. Klinger and, therefore, is </w:t>
      </w:r>
      <w:r w:rsidR="005E1348">
        <w:rPr>
          <w:rFonts w:ascii="Cambria" w:hAnsi="Cambria"/>
          <w:sz w:val="20"/>
          <w:szCs w:val="20"/>
        </w:rPr>
        <w:t xml:space="preserve">liable to compensate </w:t>
      </w:r>
      <w:r w:rsidRPr="00DD655F">
        <w:rPr>
          <w:rFonts w:ascii="Cambria" w:hAnsi="Cambria"/>
          <w:sz w:val="20"/>
          <w:szCs w:val="20"/>
        </w:rPr>
        <w:t xml:space="preserve">the alleged victims, based on the following arguments: (1) That the weapon used by Second Lieutenant Rojas was </w:t>
      </w:r>
      <w:r w:rsidR="005E1348">
        <w:rPr>
          <w:rFonts w:ascii="Cambria" w:hAnsi="Cambria"/>
          <w:sz w:val="20"/>
          <w:szCs w:val="20"/>
        </w:rPr>
        <w:t>an officially issued firearm</w:t>
      </w:r>
      <w:r w:rsidRPr="00DD655F">
        <w:rPr>
          <w:rFonts w:ascii="Cambria" w:hAnsi="Cambria"/>
          <w:sz w:val="20"/>
          <w:szCs w:val="20"/>
        </w:rPr>
        <w:t xml:space="preserve">, and that the judicial authorities concluded </w:t>
      </w:r>
      <w:r w:rsidR="005E1348">
        <w:rPr>
          <w:rFonts w:ascii="Cambria" w:hAnsi="Cambria"/>
          <w:sz w:val="20"/>
          <w:szCs w:val="20"/>
        </w:rPr>
        <w:t>to the contrary</w:t>
      </w:r>
      <w:r w:rsidRPr="00DD655F">
        <w:rPr>
          <w:rFonts w:ascii="Cambria" w:hAnsi="Cambria"/>
          <w:sz w:val="20"/>
          <w:szCs w:val="20"/>
        </w:rPr>
        <w:t xml:space="preserve"> without conducting a proper investigation; (2) That even </w:t>
      </w:r>
      <w:r w:rsidR="005E1348">
        <w:rPr>
          <w:rFonts w:ascii="Cambria" w:hAnsi="Cambria"/>
          <w:sz w:val="20"/>
          <w:szCs w:val="20"/>
        </w:rPr>
        <w:t>given</w:t>
      </w:r>
      <w:r w:rsidRPr="00DD655F">
        <w:rPr>
          <w:rFonts w:ascii="Cambria" w:hAnsi="Cambria"/>
          <w:sz w:val="20"/>
          <w:szCs w:val="20"/>
        </w:rPr>
        <w:t xml:space="preserve"> that the </w:t>
      </w:r>
      <w:r w:rsidR="005E1348">
        <w:rPr>
          <w:rFonts w:ascii="Cambria" w:hAnsi="Cambria"/>
          <w:sz w:val="20"/>
          <w:szCs w:val="20"/>
        </w:rPr>
        <w:t>firearm was not officially issued</w:t>
      </w:r>
      <w:r w:rsidRPr="00DD655F">
        <w:rPr>
          <w:rFonts w:ascii="Cambria" w:hAnsi="Cambria"/>
          <w:sz w:val="20"/>
          <w:szCs w:val="20"/>
        </w:rPr>
        <w:t>, the State would be re</w:t>
      </w:r>
      <w:r w:rsidR="005E1348">
        <w:rPr>
          <w:rFonts w:ascii="Cambria" w:hAnsi="Cambria"/>
          <w:sz w:val="20"/>
          <w:szCs w:val="20"/>
        </w:rPr>
        <w:t xml:space="preserve">sponsible for failing to act </w:t>
      </w:r>
      <w:r w:rsidRPr="00DD655F">
        <w:rPr>
          <w:rFonts w:ascii="Cambria" w:hAnsi="Cambria"/>
          <w:sz w:val="20"/>
          <w:szCs w:val="20"/>
        </w:rPr>
        <w:t xml:space="preserve">to protect the public despite </w:t>
      </w:r>
      <w:r w:rsidR="005E1348">
        <w:rPr>
          <w:rFonts w:ascii="Cambria" w:hAnsi="Cambria"/>
          <w:sz w:val="20"/>
          <w:szCs w:val="20"/>
        </w:rPr>
        <w:t>being aware</w:t>
      </w:r>
      <w:r w:rsidRPr="00DD655F">
        <w:rPr>
          <w:rFonts w:ascii="Cambria" w:hAnsi="Cambria"/>
          <w:sz w:val="20"/>
          <w:szCs w:val="20"/>
        </w:rPr>
        <w:t xml:space="preserve"> of the </w:t>
      </w:r>
      <w:r w:rsidR="005E1348">
        <w:rPr>
          <w:rFonts w:ascii="Cambria" w:hAnsi="Cambria"/>
          <w:sz w:val="20"/>
          <w:szCs w:val="20"/>
        </w:rPr>
        <w:t>second lieutenant’s violent nature and his</w:t>
      </w:r>
      <w:r w:rsidRPr="00DD655F">
        <w:rPr>
          <w:rFonts w:ascii="Cambria" w:hAnsi="Cambria"/>
          <w:sz w:val="20"/>
          <w:szCs w:val="20"/>
        </w:rPr>
        <w:t xml:space="preserve"> </w:t>
      </w:r>
      <w:r w:rsidR="005E1348">
        <w:rPr>
          <w:rFonts w:ascii="Cambria" w:hAnsi="Cambria"/>
          <w:sz w:val="20"/>
          <w:szCs w:val="20"/>
        </w:rPr>
        <w:t>history</w:t>
      </w:r>
      <w:r w:rsidRPr="00DD655F">
        <w:rPr>
          <w:rFonts w:ascii="Cambria" w:hAnsi="Cambria"/>
          <w:sz w:val="20"/>
          <w:szCs w:val="20"/>
        </w:rPr>
        <w:t xml:space="preserve"> of </w:t>
      </w:r>
      <w:r w:rsidR="005E1348">
        <w:rPr>
          <w:rFonts w:ascii="Cambria" w:hAnsi="Cambria"/>
          <w:sz w:val="20"/>
          <w:szCs w:val="20"/>
        </w:rPr>
        <w:t>irresponsible use of firearms</w:t>
      </w:r>
      <w:r w:rsidRPr="00DD655F">
        <w:rPr>
          <w:rFonts w:ascii="Cambria" w:hAnsi="Cambria"/>
          <w:sz w:val="20"/>
          <w:szCs w:val="20"/>
        </w:rPr>
        <w:t xml:space="preserve">; (3) That it is not true that Second Lieutenant Rojas was </w:t>
      </w:r>
      <w:r w:rsidR="005E1348">
        <w:rPr>
          <w:rFonts w:ascii="Cambria" w:hAnsi="Cambria"/>
          <w:sz w:val="20"/>
          <w:szCs w:val="20"/>
        </w:rPr>
        <w:t>not on duty when he committed the offenses</w:t>
      </w:r>
      <w:r w:rsidR="009777CB">
        <w:rPr>
          <w:rFonts w:ascii="Cambria" w:hAnsi="Cambria"/>
          <w:sz w:val="20"/>
          <w:szCs w:val="20"/>
        </w:rPr>
        <w:t>; instead</w:t>
      </w:r>
      <w:r w:rsidRPr="00DD655F">
        <w:rPr>
          <w:rFonts w:ascii="Cambria" w:hAnsi="Cambria"/>
          <w:sz w:val="20"/>
          <w:szCs w:val="20"/>
        </w:rPr>
        <w:t xml:space="preserve"> he was </w:t>
      </w:r>
      <w:r w:rsidR="0082007D">
        <w:rPr>
          <w:rFonts w:ascii="Cambria" w:hAnsi="Cambria"/>
          <w:sz w:val="20"/>
          <w:szCs w:val="20"/>
        </w:rPr>
        <w:t>on official du</w:t>
      </w:r>
      <w:r w:rsidR="009777CB">
        <w:rPr>
          <w:rFonts w:ascii="Cambria" w:hAnsi="Cambria"/>
          <w:sz w:val="20"/>
          <w:szCs w:val="20"/>
        </w:rPr>
        <w:t>ty, but in dereliction thereof</w:t>
      </w:r>
      <w:r w:rsidRPr="00DD655F">
        <w:rPr>
          <w:rFonts w:ascii="Cambria" w:hAnsi="Cambria"/>
          <w:sz w:val="20"/>
          <w:szCs w:val="20"/>
        </w:rPr>
        <w:t xml:space="preserve">; and (4) That </w:t>
      </w:r>
      <w:r w:rsidR="005E1348">
        <w:rPr>
          <w:rFonts w:ascii="Cambria" w:hAnsi="Cambria"/>
          <w:sz w:val="20"/>
          <w:szCs w:val="20"/>
        </w:rPr>
        <w:t>on</w:t>
      </w:r>
      <w:r w:rsidR="005E1348" w:rsidRPr="00DD655F">
        <w:rPr>
          <w:rFonts w:ascii="Cambria" w:hAnsi="Cambria"/>
          <w:sz w:val="20"/>
          <w:szCs w:val="20"/>
        </w:rPr>
        <w:t xml:space="preserve"> previous occasions</w:t>
      </w:r>
      <w:r w:rsidR="005E1348">
        <w:rPr>
          <w:rFonts w:ascii="Cambria" w:hAnsi="Cambria"/>
          <w:sz w:val="20"/>
          <w:szCs w:val="20"/>
        </w:rPr>
        <w:t>,</w:t>
      </w:r>
      <w:r w:rsidR="005E1348" w:rsidRPr="00DD655F">
        <w:rPr>
          <w:rFonts w:ascii="Cambria" w:hAnsi="Cambria"/>
          <w:sz w:val="20"/>
          <w:szCs w:val="20"/>
        </w:rPr>
        <w:t xml:space="preserve"> </w:t>
      </w:r>
      <w:r w:rsidRPr="00DD655F">
        <w:rPr>
          <w:rFonts w:ascii="Cambria" w:hAnsi="Cambria"/>
          <w:sz w:val="20"/>
          <w:szCs w:val="20"/>
        </w:rPr>
        <w:t xml:space="preserve">the second lieutenant had been in uniform at the "El Bosque" bar, so </w:t>
      </w:r>
      <w:r w:rsidR="005E1348">
        <w:rPr>
          <w:rFonts w:ascii="Cambria" w:hAnsi="Cambria"/>
          <w:sz w:val="20"/>
          <w:szCs w:val="20"/>
        </w:rPr>
        <w:t>that its employees knew his rank</w:t>
      </w:r>
      <w:r w:rsidRPr="00DD655F">
        <w:rPr>
          <w:rFonts w:ascii="Cambria" w:hAnsi="Cambria"/>
          <w:sz w:val="20"/>
          <w:szCs w:val="20"/>
        </w:rPr>
        <w:t>, which he used to intimidate them</w:t>
      </w:r>
      <w:r>
        <w:rPr>
          <w:rFonts w:ascii="Cambria" w:hAnsi="Cambria"/>
          <w:sz w:val="20"/>
          <w:szCs w:val="20"/>
        </w:rPr>
        <w:t>.</w:t>
      </w:r>
    </w:p>
    <w:p w:rsidR="004C3BE2" w:rsidRDefault="00DD655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lastRenderedPageBreak/>
        <w:t xml:space="preserve">The petitioner also </w:t>
      </w:r>
      <w:r w:rsidR="00550DB7">
        <w:rPr>
          <w:rFonts w:ascii="Cambria" w:hAnsi="Cambria"/>
          <w:sz w:val="20"/>
          <w:szCs w:val="20"/>
        </w:rPr>
        <w:t>argues</w:t>
      </w:r>
      <w:r w:rsidRPr="00DD655F">
        <w:rPr>
          <w:rFonts w:ascii="Cambria" w:hAnsi="Cambria"/>
          <w:sz w:val="20"/>
          <w:szCs w:val="20"/>
        </w:rPr>
        <w:t xml:space="preserve"> that </w:t>
      </w:r>
      <w:r w:rsidR="00550DB7">
        <w:rPr>
          <w:rFonts w:ascii="Cambria" w:hAnsi="Cambria"/>
          <w:sz w:val="20"/>
          <w:szCs w:val="20"/>
        </w:rPr>
        <w:t>although the alleged victims resorted to domestic legal remedies, their</w:t>
      </w:r>
      <w:r w:rsidR="002C0669">
        <w:rPr>
          <w:rFonts w:ascii="Cambria" w:hAnsi="Cambria"/>
          <w:sz w:val="20"/>
          <w:szCs w:val="20"/>
        </w:rPr>
        <w:t xml:space="preserve"> right </w:t>
      </w:r>
      <w:r w:rsidR="0083243B">
        <w:rPr>
          <w:rFonts w:ascii="Cambria" w:hAnsi="Cambria"/>
          <w:sz w:val="20"/>
          <w:szCs w:val="20"/>
        </w:rPr>
        <w:t>to</w:t>
      </w:r>
      <w:r w:rsidRPr="00DD655F">
        <w:rPr>
          <w:rFonts w:ascii="Cambria" w:hAnsi="Cambria"/>
          <w:sz w:val="20"/>
          <w:szCs w:val="20"/>
        </w:rPr>
        <w:t xml:space="preserve"> access </w:t>
      </w:r>
      <w:r w:rsidR="00550DB7">
        <w:rPr>
          <w:rFonts w:ascii="Cambria" w:hAnsi="Cambria"/>
          <w:sz w:val="20"/>
          <w:szCs w:val="20"/>
        </w:rPr>
        <w:t>to justice was violated because</w:t>
      </w:r>
      <w:r w:rsidRPr="00DD655F">
        <w:rPr>
          <w:rFonts w:ascii="Cambria" w:hAnsi="Cambria"/>
          <w:sz w:val="20"/>
          <w:szCs w:val="20"/>
        </w:rPr>
        <w:t xml:space="preserve"> </w:t>
      </w:r>
      <w:r w:rsidR="00550DB7">
        <w:rPr>
          <w:rFonts w:ascii="Cambria" w:hAnsi="Cambria"/>
          <w:sz w:val="20"/>
          <w:szCs w:val="20"/>
        </w:rPr>
        <w:t>there was no response</w:t>
      </w:r>
      <w:r w:rsidRPr="00DD655F">
        <w:rPr>
          <w:rFonts w:ascii="Cambria" w:hAnsi="Cambria"/>
          <w:sz w:val="20"/>
          <w:szCs w:val="20"/>
        </w:rPr>
        <w:t xml:space="preserve"> </w:t>
      </w:r>
      <w:r w:rsidR="00550DB7">
        <w:rPr>
          <w:rFonts w:ascii="Cambria" w:hAnsi="Cambria"/>
          <w:sz w:val="20"/>
          <w:szCs w:val="20"/>
        </w:rPr>
        <w:t xml:space="preserve">in accordance with the law </w:t>
      </w:r>
      <w:r w:rsidRPr="00DD655F">
        <w:rPr>
          <w:rFonts w:ascii="Cambria" w:hAnsi="Cambria"/>
          <w:sz w:val="20"/>
          <w:szCs w:val="20"/>
        </w:rPr>
        <w:t xml:space="preserve">within </w:t>
      </w:r>
      <w:r w:rsidR="00550DB7">
        <w:rPr>
          <w:rFonts w:ascii="Cambria" w:hAnsi="Cambria"/>
          <w:sz w:val="20"/>
          <w:szCs w:val="20"/>
        </w:rPr>
        <w:t>a</w:t>
      </w:r>
      <w:r w:rsidRPr="00DD655F">
        <w:rPr>
          <w:rFonts w:ascii="Cambria" w:hAnsi="Cambria"/>
          <w:sz w:val="20"/>
          <w:szCs w:val="20"/>
        </w:rPr>
        <w:t xml:space="preserve"> reasonable </w:t>
      </w:r>
      <w:r w:rsidR="002C0669">
        <w:rPr>
          <w:rFonts w:ascii="Cambria" w:hAnsi="Cambria"/>
          <w:sz w:val="20"/>
          <w:szCs w:val="20"/>
        </w:rPr>
        <w:t>period of time. In this regard, he</w:t>
      </w:r>
      <w:r w:rsidRPr="00DD655F">
        <w:rPr>
          <w:rFonts w:ascii="Cambria" w:hAnsi="Cambria"/>
          <w:sz w:val="20"/>
          <w:szCs w:val="20"/>
        </w:rPr>
        <w:t xml:space="preserve"> argue</w:t>
      </w:r>
      <w:r w:rsidR="002C0669">
        <w:rPr>
          <w:rFonts w:ascii="Cambria" w:hAnsi="Cambria"/>
          <w:sz w:val="20"/>
          <w:szCs w:val="20"/>
        </w:rPr>
        <w:t>s that at the time of filing the</w:t>
      </w:r>
      <w:r w:rsidRPr="00DD655F">
        <w:rPr>
          <w:rFonts w:ascii="Cambria" w:hAnsi="Cambria"/>
          <w:sz w:val="20"/>
          <w:szCs w:val="20"/>
        </w:rPr>
        <w:t xml:space="preserve"> petition on July 1, 2008, more than eight years had elapsed since his appeal had been </w:t>
      </w:r>
      <w:r w:rsidR="002C0669">
        <w:rPr>
          <w:rFonts w:ascii="Cambria" w:hAnsi="Cambria"/>
          <w:sz w:val="20"/>
          <w:szCs w:val="20"/>
        </w:rPr>
        <w:t>submitted</w:t>
      </w:r>
      <w:r w:rsidRPr="00DD655F">
        <w:rPr>
          <w:rFonts w:ascii="Cambria" w:hAnsi="Cambria"/>
          <w:sz w:val="20"/>
          <w:szCs w:val="20"/>
        </w:rPr>
        <w:t xml:space="preserve"> to the Council of State on October 12, </w:t>
      </w:r>
      <w:r w:rsidR="002C0669">
        <w:rPr>
          <w:rFonts w:ascii="Cambria" w:hAnsi="Cambria"/>
          <w:sz w:val="20"/>
          <w:szCs w:val="20"/>
        </w:rPr>
        <w:t>1999</w:t>
      </w:r>
      <w:r w:rsidRPr="00DD655F">
        <w:rPr>
          <w:rFonts w:ascii="Cambria" w:hAnsi="Cambria"/>
          <w:sz w:val="20"/>
          <w:szCs w:val="20"/>
        </w:rPr>
        <w:t xml:space="preserve">. </w:t>
      </w:r>
      <w:r w:rsidR="002C0669">
        <w:rPr>
          <w:rFonts w:ascii="Cambria" w:hAnsi="Cambria"/>
          <w:sz w:val="20"/>
          <w:szCs w:val="20"/>
        </w:rPr>
        <w:t xml:space="preserve">It was not until </w:t>
      </w:r>
      <w:r w:rsidRPr="00DD655F">
        <w:rPr>
          <w:rFonts w:ascii="Cambria" w:hAnsi="Cambria"/>
          <w:sz w:val="20"/>
          <w:szCs w:val="20"/>
        </w:rPr>
        <w:t xml:space="preserve">February </w:t>
      </w:r>
      <w:r w:rsidR="002C0669">
        <w:rPr>
          <w:rFonts w:ascii="Cambria" w:hAnsi="Cambria"/>
          <w:sz w:val="20"/>
          <w:szCs w:val="20"/>
        </w:rPr>
        <w:t xml:space="preserve">18, </w:t>
      </w:r>
      <w:r w:rsidRPr="00DD655F">
        <w:rPr>
          <w:rFonts w:ascii="Cambria" w:hAnsi="Cambria"/>
          <w:sz w:val="20"/>
          <w:szCs w:val="20"/>
        </w:rPr>
        <w:t>2010</w:t>
      </w:r>
      <w:r w:rsidR="00550DB7">
        <w:rPr>
          <w:rFonts w:ascii="Cambria" w:hAnsi="Cambria"/>
          <w:sz w:val="20"/>
          <w:szCs w:val="20"/>
        </w:rPr>
        <w:t>,</w:t>
      </w:r>
      <w:r w:rsidRPr="00DD655F">
        <w:rPr>
          <w:rFonts w:ascii="Cambria" w:hAnsi="Cambria"/>
          <w:sz w:val="20"/>
          <w:szCs w:val="20"/>
        </w:rPr>
        <w:t xml:space="preserve"> that the Council of State issued a decision regarding the appeal</w:t>
      </w:r>
      <w:r>
        <w:rPr>
          <w:rFonts w:ascii="Cambria" w:hAnsi="Cambria"/>
          <w:sz w:val="20"/>
          <w:szCs w:val="20"/>
        </w:rPr>
        <w:t>.</w:t>
      </w:r>
    </w:p>
    <w:p w:rsidR="004C3BE2" w:rsidRDefault="007C1A2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addition to the foregoing, he</w:t>
      </w:r>
      <w:r w:rsidR="00DD655F" w:rsidRPr="00DD655F">
        <w:rPr>
          <w:rFonts w:ascii="Cambria" w:hAnsi="Cambria"/>
          <w:sz w:val="20"/>
          <w:szCs w:val="20"/>
        </w:rPr>
        <w:t xml:space="preserve"> argues that </w:t>
      </w:r>
      <w:r>
        <w:rPr>
          <w:rFonts w:ascii="Cambria" w:hAnsi="Cambria"/>
          <w:sz w:val="20"/>
          <w:szCs w:val="20"/>
        </w:rPr>
        <w:t>his right to a fair trial</w:t>
      </w:r>
      <w:r w:rsidR="00DD655F" w:rsidRPr="00DD655F">
        <w:rPr>
          <w:rFonts w:ascii="Cambria" w:hAnsi="Cambria"/>
          <w:sz w:val="20"/>
          <w:szCs w:val="20"/>
        </w:rPr>
        <w:t xml:space="preserve"> was violated </w:t>
      </w:r>
      <w:r>
        <w:rPr>
          <w:rFonts w:ascii="Cambria" w:hAnsi="Cambria"/>
          <w:sz w:val="20"/>
          <w:szCs w:val="20"/>
        </w:rPr>
        <w:t>because</w:t>
      </w:r>
      <w:r w:rsidR="00DD655F" w:rsidRPr="00DD655F">
        <w:rPr>
          <w:rFonts w:ascii="Cambria" w:hAnsi="Cambria"/>
          <w:sz w:val="20"/>
          <w:szCs w:val="20"/>
        </w:rPr>
        <w:t xml:space="preserve"> the criminal investigation </w:t>
      </w:r>
      <w:r w:rsidR="007C71E5">
        <w:rPr>
          <w:rFonts w:ascii="Cambria" w:hAnsi="Cambria"/>
          <w:sz w:val="20"/>
          <w:szCs w:val="20"/>
        </w:rPr>
        <w:t>gave no priority to establishing</w:t>
      </w:r>
      <w:r w:rsidR="00DD655F" w:rsidRPr="00DD655F">
        <w:rPr>
          <w:rFonts w:ascii="Cambria" w:hAnsi="Cambria"/>
          <w:sz w:val="20"/>
          <w:szCs w:val="20"/>
        </w:rPr>
        <w:t xml:space="preserve"> </w:t>
      </w:r>
      <w:r w:rsidR="007C71E5">
        <w:rPr>
          <w:rFonts w:ascii="Cambria" w:hAnsi="Cambria"/>
          <w:sz w:val="20"/>
          <w:szCs w:val="20"/>
        </w:rPr>
        <w:t>the truth in connection with</w:t>
      </w:r>
      <w:r w:rsidR="00DD655F" w:rsidRPr="00DD655F">
        <w:rPr>
          <w:rFonts w:ascii="Cambria" w:hAnsi="Cambria"/>
          <w:sz w:val="20"/>
          <w:szCs w:val="20"/>
        </w:rPr>
        <w:t xml:space="preserve"> the weapon used, and that </w:t>
      </w:r>
      <w:r>
        <w:rPr>
          <w:rFonts w:ascii="Cambria" w:hAnsi="Cambria"/>
          <w:sz w:val="20"/>
          <w:szCs w:val="20"/>
        </w:rPr>
        <w:t xml:space="preserve">there was a failure to consider the available evidence </w:t>
      </w:r>
      <w:r w:rsidR="007C71E5">
        <w:rPr>
          <w:rFonts w:ascii="Cambria" w:hAnsi="Cambria"/>
          <w:sz w:val="20"/>
          <w:szCs w:val="20"/>
        </w:rPr>
        <w:t xml:space="preserve">as a whole </w:t>
      </w:r>
      <w:r>
        <w:rPr>
          <w:rFonts w:ascii="Cambria" w:hAnsi="Cambria"/>
          <w:sz w:val="20"/>
          <w:szCs w:val="20"/>
        </w:rPr>
        <w:t xml:space="preserve">in </w:t>
      </w:r>
      <w:r w:rsidR="00DD655F" w:rsidRPr="00DD655F">
        <w:rPr>
          <w:rFonts w:ascii="Cambria" w:hAnsi="Cambria"/>
          <w:sz w:val="20"/>
          <w:szCs w:val="20"/>
        </w:rPr>
        <w:t xml:space="preserve">the two </w:t>
      </w:r>
      <w:r w:rsidR="007C71E5">
        <w:rPr>
          <w:rFonts w:ascii="Cambria" w:hAnsi="Cambria"/>
          <w:sz w:val="20"/>
          <w:szCs w:val="20"/>
        </w:rPr>
        <w:t xml:space="preserve">instances of the </w:t>
      </w:r>
      <w:r>
        <w:rPr>
          <w:rFonts w:ascii="Cambria" w:hAnsi="Cambria"/>
          <w:sz w:val="20"/>
          <w:szCs w:val="20"/>
        </w:rPr>
        <w:t>proceedings for</w:t>
      </w:r>
      <w:r w:rsidR="00DD655F" w:rsidRPr="00DD655F">
        <w:rPr>
          <w:rFonts w:ascii="Cambria" w:hAnsi="Cambria"/>
          <w:sz w:val="20"/>
          <w:szCs w:val="20"/>
        </w:rPr>
        <w:t xml:space="preserve"> direct </w:t>
      </w:r>
      <w:r>
        <w:rPr>
          <w:rFonts w:ascii="Cambria" w:hAnsi="Cambria"/>
          <w:sz w:val="20"/>
          <w:szCs w:val="20"/>
        </w:rPr>
        <w:t>compensation</w:t>
      </w:r>
      <w:r w:rsidR="00DD655F" w:rsidRPr="00DD655F">
        <w:rPr>
          <w:rFonts w:ascii="Cambria" w:hAnsi="Cambria"/>
          <w:sz w:val="20"/>
          <w:szCs w:val="20"/>
        </w:rPr>
        <w:t xml:space="preserve">. </w:t>
      </w:r>
      <w:r>
        <w:rPr>
          <w:rFonts w:ascii="Cambria" w:hAnsi="Cambria"/>
          <w:sz w:val="20"/>
          <w:szCs w:val="20"/>
        </w:rPr>
        <w:t>He</w:t>
      </w:r>
      <w:r w:rsidR="00DD655F" w:rsidRPr="00DD655F">
        <w:rPr>
          <w:rFonts w:ascii="Cambria" w:hAnsi="Cambria"/>
          <w:sz w:val="20"/>
          <w:szCs w:val="20"/>
        </w:rPr>
        <w:t xml:space="preserve"> adds that the </w:t>
      </w:r>
      <w:r>
        <w:rPr>
          <w:rFonts w:ascii="Cambria" w:hAnsi="Cambria"/>
          <w:sz w:val="20"/>
          <w:szCs w:val="20"/>
        </w:rPr>
        <w:t>Council of State</w:t>
      </w:r>
      <w:r w:rsidR="00DD655F" w:rsidRPr="00DD655F">
        <w:rPr>
          <w:rFonts w:ascii="Cambria" w:hAnsi="Cambria"/>
          <w:sz w:val="20"/>
          <w:szCs w:val="20"/>
        </w:rPr>
        <w:t xml:space="preserve"> </w:t>
      </w:r>
      <w:r>
        <w:rPr>
          <w:rFonts w:ascii="Cambria" w:hAnsi="Cambria"/>
          <w:sz w:val="20"/>
          <w:szCs w:val="20"/>
        </w:rPr>
        <w:t xml:space="preserve">failed to apply its own case law whereby a </w:t>
      </w:r>
      <w:r w:rsidR="00DD655F" w:rsidRPr="00DD655F">
        <w:rPr>
          <w:rFonts w:ascii="Cambria" w:hAnsi="Cambria"/>
          <w:sz w:val="20"/>
          <w:szCs w:val="20"/>
        </w:rPr>
        <w:t xml:space="preserve">weapon used by a State agent is presumed </w:t>
      </w:r>
      <w:r>
        <w:rPr>
          <w:rFonts w:ascii="Cambria" w:hAnsi="Cambria"/>
          <w:sz w:val="20"/>
          <w:szCs w:val="20"/>
        </w:rPr>
        <w:t xml:space="preserve">to be officially issued unless </w:t>
      </w:r>
      <w:r w:rsidR="007C71E5">
        <w:rPr>
          <w:rFonts w:ascii="Cambria" w:hAnsi="Cambria"/>
          <w:sz w:val="20"/>
          <w:szCs w:val="20"/>
        </w:rPr>
        <w:t>there is evidence to the contrary</w:t>
      </w:r>
      <w:r>
        <w:rPr>
          <w:rFonts w:ascii="Cambria" w:hAnsi="Cambria"/>
          <w:sz w:val="20"/>
          <w:szCs w:val="20"/>
        </w:rPr>
        <w:t xml:space="preserve">, </w:t>
      </w:r>
      <w:r w:rsidR="00DD655F" w:rsidRPr="00DD655F">
        <w:rPr>
          <w:rFonts w:ascii="Cambria" w:hAnsi="Cambria"/>
          <w:sz w:val="20"/>
          <w:szCs w:val="20"/>
        </w:rPr>
        <w:t xml:space="preserve">and that the State is responsible for </w:t>
      </w:r>
      <w:r>
        <w:rPr>
          <w:rFonts w:ascii="Cambria" w:hAnsi="Cambria"/>
          <w:sz w:val="20"/>
          <w:szCs w:val="20"/>
        </w:rPr>
        <w:t>offenses</w:t>
      </w:r>
      <w:r w:rsidR="00DD655F" w:rsidRPr="00DD655F">
        <w:rPr>
          <w:rFonts w:ascii="Cambria" w:hAnsi="Cambria"/>
          <w:sz w:val="20"/>
          <w:szCs w:val="20"/>
        </w:rPr>
        <w:t xml:space="preserve"> committed </w:t>
      </w:r>
      <w:r w:rsidR="00E4695B">
        <w:rPr>
          <w:rFonts w:ascii="Cambria" w:hAnsi="Cambria"/>
          <w:sz w:val="20"/>
          <w:szCs w:val="20"/>
        </w:rPr>
        <w:t xml:space="preserve">by </w:t>
      </w:r>
      <w:r>
        <w:rPr>
          <w:rFonts w:ascii="Cambria" w:hAnsi="Cambria"/>
          <w:sz w:val="20"/>
          <w:szCs w:val="20"/>
        </w:rPr>
        <w:t>agents</w:t>
      </w:r>
      <w:r w:rsidR="00E4695B">
        <w:rPr>
          <w:rFonts w:ascii="Cambria" w:hAnsi="Cambria"/>
          <w:sz w:val="20"/>
          <w:szCs w:val="20"/>
        </w:rPr>
        <w:t xml:space="preserve"> of its Security Forces even when off-duty</w:t>
      </w:r>
      <w:r>
        <w:rPr>
          <w:rFonts w:ascii="Cambria" w:hAnsi="Cambria"/>
          <w:sz w:val="20"/>
          <w:szCs w:val="20"/>
        </w:rPr>
        <w:t>. He</w:t>
      </w:r>
      <w:r w:rsidR="00DD655F" w:rsidRPr="00DD655F">
        <w:rPr>
          <w:rFonts w:ascii="Cambria" w:hAnsi="Cambria"/>
          <w:sz w:val="20"/>
          <w:szCs w:val="20"/>
        </w:rPr>
        <w:t xml:space="preserve"> argues that </w:t>
      </w:r>
      <w:r w:rsidRPr="00DD655F">
        <w:rPr>
          <w:rFonts w:ascii="Cambria" w:hAnsi="Cambria"/>
          <w:sz w:val="20"/>
          <w:szCs w:val="20"/>
        </w:rPr>
        <w:t xml:space="preserve">the ineffectiveness of the domestic remedies </w:t>
      </w:r>
      <w:r>
        <w:rPr>
          <w:rFonts w:ascii="Cambria" w:hAnsi="Cambria"/>
          <w:sz w:val="20"/>
          <w:szCs w:val="20"/>
        </w:rPr>
        <w:t xml:space="preserve">at the internal level is </w:t>
      </w:r>
      <w:r w:rsidR="00E62FED">
        <w:rPr>
          <w:rFonts w:ascii="Cambria" w:hAnsi="Cambria"/>
          <w:sz w:val="20"/>
          <w:szCs w:val="20"/>
        </w:rPr>
        <w:t>demonstrated</w:t>
      </w:r>
      <w:r>
        <w:rPr>
          <w:rFonts w:ascii="Cambria" w:hAnsi="Cambria"/>
          <w:sz w:val="20"/>
          <w:szCs w:val="20"/>
        </w:rPr>
        <w:t xml:space="preserve"> by</w:t>
      </w:r>
      <w:r w:rsidRPr="00DD655F">
        <w:rPr>
          <w:rFonts w:ascii="Cambria" w:hAnsi="Cambria"/>
          <w:sz w:val="20"/>
          <w:szCs w:val="20"/>
        </w:rPr>
        <w:t xml:space="preserve"> </w:t>
      </w:r>
      <w:r w:rsidR="00DD655F" w:rsidRPr="00DD655F">
        <w:rPr>
          <w:rFonts w:ascii="Cambria" w:hAnsi="Cambria"/>
          <w:sz w:val="20"/>
          <w:szCs w:val="20"/>
        </w:rPr>
        <w:t xml:space="preserve">the fact that justice has not been done </w:t>
      </w:r>
      <w:r w:rsidR="00E62FED">
        <w:rPr>
          <w:rFonts w:ascii="Cambria" w:hAnsi="Cambria"/>
          <w:sz w:val="20"/>
          <w:szCs w:val="20"/>
        </w:rPr>
        <w:t>and that the alleged victims have not been provided with compensation</w:t>
      </w:r>
      <w:r w:rsidR="00DD655F" w:rsidRPr="00DD655F">
        <w:rPr>
          <w:rFonts w:ascii="Cambria" w:hAnsi="Cambria"/>
          <w:sz w:val="20"/>
          <w:szCs w:val="20"/>
        </w:rPr>
        <w:t xml:space="preserve">. Finally, the petitioner </w:t>
      </w:r>
      <w:r w:rsidR="00E4695B">
        <w:rPr>
          <w:rFonts w:ascii="Cambria" w:hAnsi="Cambria"/>
          <w:sz w:val="20"/>
          <w:szCs w:val="20"/>
        </w:rPr>
        <w:t>has no intention to</w:t>
      </w:r>
      <w:r w:rsidR="00DD655F" w:rsidRPr="00DD655F">
        <w:rPr>
          <w:rFonts w:ascii="Cambria" w:hAnsi="Cambria"/>
          <w:sz w:val="20"/>
          <w:szCs w:val="20"/>
        </w:rPr>
        <w:t xml:space="preserve"> use the Inter-American System as a "fourth instance", but to ensure that</w:t>
      </w:r>
      <w:r w:rsidR="008E4867">
        <w:rPr>
          <w:rFonts w:ascii="Cambria" w:hAnsi="Cambria"/>
          <w:sz w:val="20"/>
          <w:szCs w:val="20"/>
        </w:rPr>
        <w:t xml:space="preserve"> the entity </w:t>
      </w:r>
      <w:proofErr w:type="gramStart"/>
      <w:r w:rsidR="008E4867">
        <w:rPr>
          <w:rFonts w:ascii="Cambria" w:hAnsi="Cambria"/>
          <w:sz w:val="20"/>
          <w:szCs w:val="20"/>
        </w:rPr>
        <w:t xml:space="preserve">whose </w:t>
      </w:r>
      <w:r w:rsidR="00DD655F" w:rsidRPr="00DD655F">
        <w:rPr>
          <w:rFonts w:ascii="Cambria" w:hAnsi="Cambria"/>
          <w:sz w:val="20"/>
          <w:szCs w:val="20"/>
        </w:rPr>
        <w:t xml:space="preserve"> </w:t>
      </w:r>
      <w:r w:rsidR="00E4695B">
        <w:rPr>
          <w:rFonts w:ascii="Cambria" w:hAnsi="Cambria"/>
          <w:sz w:val="20"/>
          <w:szCs w:val="20"/>
        </w:rPr>
        <w:t>omission</w:t>
      </w:r>
      <w:proofErr w:type="gramEnd"/>
      <w:r w:rsidR="00E4695B">
        <w:rPr>
          <w:rFonts w:ascii="Cambria" w:hAnsi="Cambria"/>
          <w:sz w:val="20"/>
          <w:szCs w:val="20"/>
        </w:rPr>
        <w:t xml:space="preserve"> led to </w:t>
      </w:r>
      <w:r w:rsidR="00DD655F" w:rsidRPr="00DD655F">
        <w:rPr>
          <w:rFonts w:ascii="Cambria" w:hAnsi="Cambria"/>
          <w:sz w:val="20"/>
          <w:szCs w:val="20"/>
        </w:rPr>
        <w:t>Mrs. Klinger</w:t>
      </w:r>
      <w:r w:rsidR="00E62FED">
        <w:rPr>
          <w:rFonts w:ascii="Cambria" w:hAnsi="Cambria"/>
          <w:sz w:val="20"/>
          <w:szCs w:val="20"/>
        </w:rPr>
        <w:t>’s death</w:t>
      </w:r>
      <w:r w:rsidR="00DD655F" w:rsidRPr="00DD655F">
        <w:rPr>
          <w:rFonts w:ascii="Cambria" w:hAnsi="Cambria"/>
          <w:sz w:val="20"/>
          <w:szCs w:val="20"/>
        </w:rPr>
        <w:t xml:space="preserve"> </w:t>
      </w:r>
      <w:r w:rsidR="008E4867">
        <w:rPr>
          <w:rFonts w:ascii="Cambria" w:hAnsi="Cambria"/>
          <w:sz w:val="20"/>
          <w:szCs w:val="20"/>
        </w:rPr>
        <w:t xml:space="preserve"> assumes its responsibility</w:t>
      </w:r>
      <w:r w:rsidR="00E4695B">
        <w:rPr>
          <w:rFonts w:ascii="Cambria" w:hAnsi="Cambria"/>
          <w:sz w:val="20"/>
          <w:szCs w:val="20"/>
        </w:rPr>
        <w:t xml:space="preserve"> </w:t>
      </w:r>
      <w:r w:rsidR="008E4867">
        <w:rPr>
          <w:rFonts w:ascii="Cambria" w:hAnsi="Cambria"/>
          <w:sz w:val="20"/>
          <w:szCs w:val="20"/>
        </w:rPr>
        <w:t xml:space="preserve"> and</w:t>
      </w:r>
      <w:r w:rsidR="00C8408D">
        <w:rPr>
          <w:rFonts w:ascii="Cambria" w:hAnsi="Cambria"/>
          <w:sz w:val="20"/>
          <w:szCs w:val="20"/>
        </w:rPr>
        <w:t xml:space="preserve"> </w:t>
      </w:r>
      <w:r w:rsidR="00DD655F" w:rsidRPr="00DD655F">
        <w:rPr>
          <w:rFonts w:ascii="Cambria" w:hAnsi="Cambria"/>
          <w:sz w:val="20"/>
          <w:szCs w:val="20"/>
        </w:rPr>
        <w:t>t</w:t>
      </w:r>
      <w:r w:rsidR="00E62FED">
        <w:rPr>
          <w:rFonts w:ascii="Cambria" w:hAnsi="Cambria"/>
          <w:sz w:val="20"/>
          <w:szCs w:val="20"/>
        </w:rPr>
        <w:t>akes measures to prevent</w:t>
      </w:r>
      <w:r w:rsidR="00E4695B">
        <w:rPr>
          <w:rFonts w:ascii="Cambria" w:hAnsi="Cambria"/>
          <w:sz w:val="20"/>
          <w:szCs w:val="20"/>
        </w:rPr>
        <w:t xml:space="preserve"> </w:t>
      </w:r>
      <w:r w:rsidR="00E62FED">
        <w:rPr>
          <w:rFonts w:ascii="Cambria" w:hAnsi="Cambria"/>
          <w:sz w:val="20"/>
          <w:szCs w:val="20"/>
        </w:rPr>
        <w:t xml:space="preserve">individuals </w:t>
      </w:r>
      <w:r w:rsidR="00A637EE">
        <w:rPr>
          <w:rFonts w:ascii="Cambria" w:hAnsi="Cambria"/>
          <w:sz w:val="20"/>
          <w:szCs w:val="20"/>
        </w:rPr>
        <w:t>that are</w:t>
      </w:r>
      <w:r w:rsidR="00E62FED">
        <w:rPr>
          <w:rFonts w:ascii="Cambria" w:hAnsi="Cambria"/>
          <w:sz w:val="20"/>
          <w:szCs w:val="20"/>
        </w:rPr>
        <w:t xml:space="preserve"> a risk to society </w:t>
      </w:r>
      <w:r w:rsidR="00771E23">
        <w:rPr>
          <w:rFonts w:ascii="Cambria" w:hAnsi="Cambria"/>
          <w:sz w:val="20"/>
          <w:szCs w:val="20"/>
        </w:rPr>
        <w:t>from serving</w:t>
      </w:r>
      <w:r w:rsidR="00E62FED">
        <w:rPr>
          <w:rFonts w:ascii="Cambria" w:hAnsi="Cambria"/>
          <w:sz w:val="20"/>
          <w:szCs w:val="20"/>
        </w:rPr>
        <w:t xml:space="preserve"> </w:t>
      </w:r>
      <w:r w:rsidR="00A637EE">
        <w:rPr>
          <w:rFonts w:ascii="Cambria" w:hAnsi="Cambria"/>
          <w:sz w:val="20"/>
          <w:szCs w:val="20"/>
        </w:rPr>
        <w:t>in</w:t>
      </w:r>
      <w:r w:rsidR="008E4867">
        <w:rPr>
          <w:rFonts w:ascii="Cambria" w:hAnsi="Cambria"/>
          <w:sz w:val="20"/>
          <w:szCs w:val="20"/>
        </w:rPr>
        <w:t xml:space="preserve"> its ranks</w:t>
      </w:r>
      <w:r w:rsidR="00E62FED">
        <w:rPr>
          <w:rFonts w:ascii="Cambria" w:hAnsi="Cambria"/>
          <w:sz w:val="20"/>
          <w:szCs w:val="20"/>
        </w:rPr>
        <w:t>.</w:t>
      </w:r>
      <w:r w:rsidR="00DD655F" w:rsidRPr="00DD655F">
        <w:rPr>
          <w:rFonts w:ascii="Cambria" w:hAnsi="Cambria"/>
          <w:sz w:val="20"/>
          <w:szCs w:val="20"/>
        </w:rPr>
        <w:t xml:space="preserve"> </w:t>
      </w:r>
    </w:p>
    <w:p w:rsidR="004C3BE2" w:rsidRDefault="00DD655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For its part, the State considers that the petition </w:t>
      </w:r>
      <w:r w:rsidR="00E62FED">
        <w:rPr>
          <w:rFonts w:ascii="Cambria" w:hAnsi="Cambria"/>
          <w:sz w:val="20"/>
          <w:szCs w:val="20"/>
        </w:rPr>
        <w:t>is inadmissible</w:t>
      </w:r>
      <w:r w:rsidRPr="00DD655F">
        <w:rPr>
          <w:rFonts w:ascii="Cambria" w:hAnsi="Cambria"/>
          <w:sz w:val="20"/>
          <w:szCs w:val="20"/>
        </w:rPr>
        <w:t xml:space="preserve"> on the basis of Article 47.b of the American Convention, </w:t>
      </w:r>
      <w:r w:rsidR="00DE372E">
        <w:rPr>
          <w:rFonts w:ascii="Cambria" w:hAnsi="Cambria"/>
          <w:sz w:val="20"/>
          <w:szCs w:val="20"/>
        </w:rPr>
        <w:t>because</w:t>
      </w:r>
      <w:r w:rsidRPr="00DD655F">
        <w:rPr>
          <w:rFonts w:ascii="Cambria" w:hAnsi="Cambria"/>
          <w:sz w:val="20"/>
          <w:szCs w:val="20"/>
        </w:rPr>
        <w:t xml:space="preserve"> the facts </w:t>
      </w:r>
      <w:r w:rsidR="00DE372E">
        <w:rPr>
          <w:rFonts w:ascii="Cambria" w:hAnsi="Cambria"/>
          <w:sz w:val="20"/>
          <w:szCs w:val="20"/>
        </w:rPr>
        <w:t>alleged</w:t>
      </w:r>
      <w:r w:rsidRPr="00DD655F">
        <w:rPr>
          <w:rFonts w:ascii="Cambria" w:hAnsi="Cambria"/>
          <w:sz w:val="20"/>
          <w:szCs w:val="20"/>
        </w:rPr>
        <w:t xml:space="preserve"> by the petitioner </w:t>
      </w:r>
      <w:r w:rsidR="00DE372E">
        <w:rPr>
          <w:rFonts w:ascii="Cambria" w:hAnsi="Cambria"/>
          <w:sz w:val="20"/>
          <w:szCs w:val="20"/>
        </w:rPr>
        <w:t xml:space="preserve">fail to </w:t>
      </w:r>
      <w:r w:rsidRPr="00DD655F">
        <w:rPr>
          <w:rFonts w:ascii="Cambria" w:hAnsi="Cambria"/>
          <w:sz w:val="20"/>
          <w:szCs w:val="20"/>
        </w:rPr>
        <w:t xml:space="preserve">characterize </w:t>
      </w:r>
      <w:r w:rsidR="00DE372E">
        <w:rPr>
          <w:rFonts w:ascii="Cambria" w:hAnsi="Cambria"/>
          <w:sz w:val="20"/>
          <w:szCs w:val="20"/>
        </w:rPr>
        <w:t>human rights violations</w:t>
      </w:r>
      <w:r w:rsidRPr="00DD655F">
        <w:rPr>
          <w:rFonts w:ascii="Cambria" w:hAnsi="Cambria"/>
          <w:sz w:val="20"/>
          <w:szCs w:val="20"/>
        </w:rPr>
        <w:t xml:space="preserve">. </w:t>
      </w:r>
      <w:r w:rsidR="00A8073C">
        <w:rPr>
          <w:rFonts w:ascii="Cambria" w:hAnsi="Cambria"/>
          <w:sz w:val="20"/>
          <w:szCs w:val="20"/>
        </w:rPr>
        <w:t xml:space="preserve">It </w:t>
      </w:r>
      <w:r w:rsidR="00DE372E">
        <w:rPr>
          <w:rFonts w:ascii="Cambria" w:hAnsi="Cambria"/>
          <w:sz w:val="20"/>
          <w:szCs w:val="20"/>
        </w:rPr>
        <w:t>argues</w:t>
      </w:r>
      <w:r w:rsidR="00A8073C">
        <w:rPr>
          <w:rFonts w:ascii="Cambria" w:hAnsi="Cambria"/>
          <w:sz w:val="20"/>
          <w:szCs w:val="20"/>
        </w:rPr>
        <w:t xml:space="preserve"> that it has</w:t>
      </w:r>
      <w:r w:rsidRPr="00DD655F">
        <w:rPr>
          <w:rFonts w:ascii="Cambria" w:hAnsi="Cambria"/>
          <w:sz w:val="20"/>
          <w:szCs w:val="20"/>
        </w:rPr>
        <w:t xml:space="preserve"> fulfilled </w:t>
      </w:r>
      <w:r w:rsidR="00A8073C">
        <w:rPr>
          <w:rFonts w:ascii="Cambria" w:hAnsi="Cambria"/>
          <w:sz w:val="20"/>
          <w:szCs w:val="20"/>
        </w:rPr>
        <w:t>its obligation</w:t>
      </w:r>
      <w:r w:rsidRPr="00DD655F">
        <w:rPr>
          <w:rFonts w:ascii="Cambria" w:hAnsi="Cambria"/>
          <w:sz w:val="20"/>
          <w:szCs w:val="20"/>
        </w:rPr>
        <w:t xml:space="preserve"> to investigate the facts and punish the </w:t>
      </w:r>
      <w:r w:rsidR="00A8073C">
        <w:rPr>
          <w:rFonts w:ascii="Cambria" w:hAnsi="Cambria"/>
          <w:sz w:val="20"/>
          <w:szCs w:val="20"/>
        </w:rPr>
        <w:t>individual</w:t>
      </w:r>
      <w:r w:rsidRPr="00DD655F">
        <w:rPr>
          <w:rFonts w:ascii="Cambria" w:hAnsi="Cambria"/>
          <w:sz w:val="20"/>
          <w:szCs w:val="20"/>
        </w:rPr>
        <w:t xml:space="preserve"> responsible for Mrs. Klinger</w:t>
      </w:r>
      <w:r w:rsidR="00A8073C">
        <w:rPr>
          <w:rFonts w:ascii="Cambria" w:hAnsi="Cambria"/>
          <w:sz w:val="20"/>
          <w:szCs w:val="20"/>
        </w:rPr>
        <w:t>’s death</w:t>
      </w:r>
      <w:r w:rsidRPr="00DD655F">
        <w:rPr>
          <w:rFonts w:ascii="Cambria" w:hAnsi="Cambria"/>
          <w:sz w:val="20"/>
          <w:szCs w:val="20"/>
        </w:rPr>
        <w:t xml:space="preserve">, who was also </w:t>
      </w:r>
      <w:r w:rsidR="00A8073C">
        <w:rPr>
          <w:rFonts w:ascii="Cambria" w:hAnsi="Cambria"/>
          <w:sz w:val="20"/>
          <w:szCs w:val="20"/>
        </w:rPr>
        <w:t>liable to pay reparations</w:t>
      </w:r>
      <w:r w:rsidRPr="00DD655F">
        <w:rPr>
          <w:rFonts w:ascii="Cambria" w:hAnsi="Cambria"/>
          <w:sz w:val="20"/>
          <w:szCs w:val="20"/>
        </w:rPr>
        <w:t xml:space="preserve"> of one thousand two hundred grams of gold "in favor of who</w:t>
      </w:r>
      <w:r w:rsidR="00A8073C">
        <w:rPr>
          <w:rFonts w:ascii="Cambria" w:hAnsi="Cambria"/>
          <w:sz w:val="20"/>
          <w:szCs w:val="20"/>
        </w:rPr>
        <w:t>so</w:t>
      </w:r>
      <w:r w:rsidRPr="00DD655F">
        <w:rPr>
          <w:rFonts w:ascii="Cambria" w:hAnsi="Cambria"/>
          <w:sz w:val="20"/>
          <w:szCs w:val="20"/>
        </w:rPr>
        <w:t xml:space="preserve">ever proves </w:t>
      </w:r>
      <w:r w:rsidR="00A8073C">
        <w:rPr>
          <w:rFonts w:ascii="Cambria" w:hAnsi="Cambria"/>
          <w:sz w:val="20"/>
          <w:szCs w:val="20"/>
        </w:rPr>
        <w:t>in due form</w:t>
      </w:r>
      <w:r w:rsidRPr="00DD655F">
        <w:rPr>
          <w:rFonts w:ascii="Cambria" w:hAnsi="Cambria"/>
          <w:sz w:val="20"/>
          <w:szCs w:val="20"/>
        </w:rPr>
        <w:t xml:space="preserve"> to be </w:t>
      </w:r>
      <w:r w:rsidR="00A8073C">
        <w:rPr>
          <w:rFonts w:ascii="Cambria" w:hAnsi="Cambria"/>
          <w:sz w:val="20"/>
          <w:szCs w:val="20"/>
        </w:rPr>
        <w:t>directly prejudiced by</w:t>
      </w:r>
      <w:r w:rsidRPr="00DD655F">
        <w:rPr>
          <w:rFonts w:ascii="Cambria" w:hAnsi="Cambria"/>
          <w:sz w:val="20"/>
          <w:szCs w:val="20"/>
        </w:rPr>
        <w:t xml:space="preserve"> the death o</w:t>
      </w:r>
      <w:r w:rsidR="00A8073C">
        <w:rPr>
          <w:rFonts w:ascii="Cambria" w:hAnsi="Cambria"/>
          <w:sz w:val="20"/>
          <w:szCs w:val="20"/>
        </w:rPr>
        <w:t>f Marta Lucia Klinger Rodríguez</w:t>
      </w:r>
      <w:r w:rsidRPr="00DD655F">
        <w:rPr>
          <w:rFonts w:ascii="Cambria" w:hAnsi="Cambria"/>
          <w:sz w:val="20"/>
          <w:szCs w:val="20"/>
        </w:rPr>
        <w:t>"</w:t>
      </w:r>
      <w:r w:rsidR="00A8073C">
        <w:rPr>
          <w:rFonts w:ascii="Cambria" w:hAnsi="Cambria"/>
          <w:sz w:val="20"/>
          <w:szCs w:val="20"/>
        </w:rPr>
        <w:t>.</w:t>
      </w:r>
      <w:r w:rsidR="00A8073C">
        <w:rPr>
          <w:rStyle w:val="FootnoteReference"/>
          <w:rFonts w:ascii="Cambria" w:hAnsi="Cambria"/>
          <w:sz w:val="20"/>
          <w:szCs w:val="20"/>
          <w:lang w:val="es-CL"/>
        </w:rPr>
        <w:footnoteReference w:id="7"/>
      </w:r>
      <w:r w:rsidRPr="00DD655F">
        <w:rPr>
          <w:rFonts w:ascii="Cambria" w:hAnsi="Cambria"/>
          <w:sz w:val="20"/>
          <w:szCs w:val="20"/>
        </w:rPr>
        <w:t xml:space="preserve"> It argues that the petitioner's intention is for the Commission to act, contrary to its subsidiary nature, as a court of appeal to review </w:t>
      </w:r>
      <w:r w:rsidR="00584B11">
        <w:rPr>
          <w:rFonts w:ascii="Cambria" w:hAnsi="Cambria"/>
          <w:sz w:val="20"/>
          <w:szCs w:val="20"/>
        </w:rPr>
        <w:t>the conclusions of fact and law</w:t>
      </w:r>
      <w:r w:rsidRPr="00DD655F">
        <w:rPr>
          <w:rFonts w:ascii="Cambria" w:hAnsi="Cambria"/>
          <w:sz w:val="20"/>
          <w:szCs w:val="20"/>
        </w:rPr>
        <w:t xml:space="preserve"> reached in the contentious-administrative proceeding</w:t>
      </w:r>
      <w:r w:rsidR="00584B11">
        <w:rPr>
          <w:rFonts w:ascii="Cambria" w:hAnsi="Cambria"/>
          <w:sz w:val="20"/>
          <w:szCs w:val="20"/>
        </w:rPr>
        <w:t>s</w:t>
      </w:r>
      <w:r w:rsidR="00E53F36">
        <w:rPr>
          <w:rFonts w:ascii="Cambria" w:hAnsi="Cambria"/>
          <w:sz w:val="20"/>
          <w:szCs w:val="20"/>
        </w:rPr>
        <w:t>,</w:t>
      </w:r>
      <w:r w:rsidRPr="00DD655F">
        <w:rPr>
          <w:rFonts w:ascii="Cambria" w:hAnsi="Cambria"/>
          <w:sz w:val="20"/>
          <w:szCs w:val="20"/>
        </w:rPr>
        <w:t xml:space="preserve"> </w:t>
      </w:r>
      <w:r w:rsidR="00584B11">
        <w:rPr>
          <w:rFonts w:ascii="Cambria" w:hAnsi="Cambria"/>
          <w:sz w:val="20"/>
          <w:szCs w:val="20"/>
        </w:rPr>
        <w:t>which respected all due process guarantees</w:t>
      </w:r>
      <w:r w:rsidRPr="00DD655F">
        <w:rPr>
          <w:rFonts w:ascii="Cambria" w:hAnsi="Cambria"/>
          <w:sz w:val="20"/>
          <w:szCs w:val="20"/>
        </w:rPr>
        <w:t xml:space="preserve">. It alleges that the Council of State </w:t>
      </w:r>
      <w:r w:rsidR="00584B11">
        <w:rPr>
          <w:rFonts w:ascii="Cambria" w:hAnsi="Cambria"/>
          <w:sz w:val="20"/>
          <w:szCs w:val="20"/>
        </w:rPr>
        <w:t>decided</w:t>
      </w:r>
      <w:r w:rsidRPr="00DD655F">
        <w:rPr>
          <w:rFonts w:ascii="Cambria" w:hAnsi="Cambria"/>
          <w:sz w:val="20"/>
          <w:szCs w:val="20"/>
        </w:rPr>
        <w:t xml:space="preserve"> in a </w:t>
      </w:r>
      <w:r w:rsidR="00E53F36">
        <w:rPr>
          <w:rFonts w:ascii="Cambria" w:hAnsi="Cambria"/>
          <w:sz w:val="20"/>
          <w:szCs w:val="20"/>
        </w:rPr>
        <w:t>specific</w:t>
      </w:r>
      <w:r w:rsidRPr="00DD655F">
        <w:rPr>
          <w:rFonts w:ascii="Cambria" w:hAnsi="Cambria"/>
          <w:sz w:val="20"/>
          <w:szCs w:val="20"/>
        </w:rPr>
        <w:t xml:space="preserve">, precise and </w:t>
      </w:r>
      <w:r w:rsidR="00E53F36">
        <w:rPr>
          <w:rFonts w:ascii="Cambria" w:hAnsi="Cambria"/>
          <w:sz w:val="20"/>
          <w:szCs w:val="20"/>
        </w:rPr>
        <w:t>reasoned</w:t>
      </w:r>
      <w:r w:rsidRPr="00DD655F">
        <w:rPr>
          <w:rFonts w:ascii="Cambria" w:hAnsi="Cambria"/>
          <w:sz w:val="20"/>
          <w:szCs w:val="20"/>
        </w:rPr>
        <w:t xml:space="preserve"> manner </w:t>
      </w:r>
      <w:r w:rsidR="002306F2">
        <w:rPr>
          <w:rFonts w:ascii="Cambria" w:hAnsi="Cambria"/>
          <w:sz w:val="20"/>
          <w:szCs w:val="20"/>
        </w:rPr>
        <w:t xml:space="preserve">about </w:t>
      </w:r>
      <w:r w:rsidRPr="00DD655F">
        <w:rPr>
          <w:rFonts w:ascii="Cambria" w:hAnsi="Cambria"/>
          <w:sz w:val="20"/>
          <w:szCs w:val="20"/>
        </w:rPr>
        <w:t xml:space="preserve">the nature of the weapon used in the homicide and the </w:t>
      </w:r>
      <w:r w:rsidR="00584B11">
        <w:rPr>
          <w:rFonts w:ascii="Cambria" w:hAnsi="Cambria"/>
          <w:sz w:val="20"/>
          <w:szCs w:val="20"/>
        </w:rPr>
        <w:t>absence</w:t>
      </w:r>
      <w:r w:rsidRPr="00DD655F">
        <w:rPr>
          <w:rFonts w:ascii="Cambria" w:hAnsi="Cambria"/>
          <w:sz w:val="20"/>
          <w:szCs w:val="20"/>
        </w:rPr>
        <w:t xml:space="preserve"> of </w:t>
      </w:r>
      <w:r w:rsidR="00584B11">
        <w:rPr>
          <w:rFonts w:ascii="Cambria" w:hAnsi="Cambria"/>
          <w:sz w:val="20"/>
          <w:szCs w:val="20"/>
        </w:rPr>
        <w:t xml:space="preserve">a </w:t>
      </w:r>
      <w:r w:rsidRPr="00DD655F">
        <w:rPr>
          <w:rFonts w:ascii="Cambria" w:hAnsi="Cambria"/>
          <w:sz w:val="20"/>
          <w:szCs w:val="20"/>
        </w:rPr>
        <w:t xml:space="preserve">causal link between the damage </w:t>
      </w:r>
      <w:r w:rsidR="00E53F36">
        <w:rPr>
          <w:rFonts w:ascii="Cambria" w:hAnsi="Cambria"/>
          <w:sz w:val="20"/>
          <w:szCs w:val="20"/>
        </w:rPr>
        <w:t>inflicted</w:t>
      </w:r>
      <w:r w:rsidRPr="00DD655F">
        <w:rPr>
          <w:rFonts w:ascii="Cambria" w:hAnsi="Cambria"/>
          <w:sz w:val="20"/>
          <w:szCs w:val="20"/>
        </w:rPr>
        <w:t xml:space="preserve"> by the second lieutenant and the </w:t>
      </w:r>
      <w:r w:rsidR="00E53F36">
        <w:rPr>
          <w:rFonts w:ascii="Cambria" w:hAnsi="Cambria"/>
          <w:sz w:val="20"/>
          <w:szCs w:val="20"/>
        </w:rPr>
        <w:t>actions of the administration, and that</w:t>
      </w:r>
      <w:r w:rsidR="004F03CC">
        <w:rPr>
          <w:rFonts w:ascii="Cambria" w:hAnsi="Cambria"/>
          <w:sz w:val="20"/>
          <w:szCs w:val="20"/>
        </w:rPr>
        <w:t xml:space="preserve"> </w:t>
      </w:r>
      <w:r w:rsidRPr="00DD655F">
        <w:rPr>
          <w:rFonts w:ascii="Cambria" w:hAnsi="Cambria"/>
          <w:sz w:val="20"/>
          <w:szCs w:val="20"/>
        </w:rPr>
        <w:t xml:space="preserve">the </w:t>
      </w:r>
      <w:r w:rsidR="004F03CC">
        <w:rPr>
          <w:rFonts w:ascii="Cambria" w:hAnsi="Cambria"/>
          <w:sz w:val="20"/>
          <w:szCs w:val="20"/>
        </w:rPr>
        <w:t xml:space="preserve">petitioner’s </w:t>
      </w:r>
      <w:r w:rsidRPr="00DD655F">
        <w:rPr>
          <w:rFonts w:ascii="Cambria" w:hAnsi="Cambria"/>
          <w:sz w:val="20"/>
          <w:szCs w:val="20"/>
        </w:rPr>
        <w:t xml:space="preserve">allegations </w:t>
      </w:r>
      <w:r w:rsidR="004F03CC">
        <w:rPr>
          <w:rFonts w:ascii="Cambria" w:hAnsi="Cambria"/>
          <w:sz w:val="20"/>
          <w:szCs w:val="20"/>
        </w:rPr>
        <w:t>are merely limited to a</w:t>
      </w:r>
      <w:r w:rsidRPr="00DD655F">
        <w:rPr>
          <w:rFonts w:ascii="Cambria" w:hAnsi="Cambria"/>
          <w:sz w:val="20"/>
          <w:szCs w:val="20"/>
        </w:rPr>
        <w:t xml:space="preserve"> discrepancy with the decision without demonstrating violations of due process </w:t>
      </w:r>
      <w:r w:rsidR="004F03CC">
        <w:rPr>
          <w:rFonts w:ascii="Cambria" w:hAnsi="Cambria"/>
          <w:sz w:val="20"/>
          <w:szCs w:val="20"/>
        </w:rPr>
        <w:t>that taint it as a</w:t>
      </w:r>
      <w:r w:rsidRPr="00DD655F">
        <w:rPr>
          <w:rFonts w:ascii="Cambria" w:hAnsi="Cambria"/>
          <w:sz w:val="20"/>
          <w:szCs w:val="20"/>
        </w:rPr>
        <w:t xml:space="preserve"> jurisdictional act</w:t>
      </w:r>
      <w:r>
        <w:rPr>
          <w:rFonts w:ascii="Cambria" w:hAnsi="Cambria"/>
          <w:sz w:val="20"/>
          <w:szCs w:val="20"/>
        </w:rPr>
        <w:t>.</w:t>
      </w:r>
    </w:p>
    <w:p w:rsidR="004C3BE2" w:rsidRPr="006318B2" w:rsidRDefault="00DD655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The State also alleges that </w:t>
      </w:r>
      <w:r w:rsidR="00EC1825">
        <w:rPr>
          <w:rFonts w:ascii="Cambria" w:hAnsi="Cambria"/>
          <w:sz w:val="20"/>
          <w:szCs w:val="20"/>
        </w:rPr>
        <w:t xml:space="preserve">the petition contains no </w:t>
      </w:r>
      <w:r w:rsidRPr="00DD655F">
        <w:rPr>
          <w:rFonts w:ascii="Cambria" w:hAnsi="Cambria"/>
          <w:sz w:val="20"/>
          <w:szCs w:val="20"/>
        </w:rPr>
        <w:t xml:space="preserve">violations of human rights attributable to the State, </w:t>
      </w:r>
      <w:r w:rsidR="00980BB0">
        <w:rPr>
          <w:rFonts w:ascii="Cambria" w:hAnsi="Cambria"/>
          <w:sz w:val="20"/>
          <w:szCs w:val="20"/>
        </w:rPr>
        <w:t>because</w:t>
      </w:r>
      <w:r w:rsidRPr="00DD655F">
        <w:rPr>
          <w:rFonts w:ascii="Cambria" w:hAnsi="Cambria"/>
          <w:sz w:val="20"/>
          <w:szCs w:val="20"/>
        </w:rPr>
        <w:t xml:space="preserve"> the criminal, disciplinary and administrative proceedings </w:t>
      </w:r>
      <w:r w:rsidR="00EC1825">
        <w:rPr>
          <w:rFonts w:ascii="Cambria" w:hAnsi="Cambria"/>
          <w:sz w:val="20"/>
          <w:szCs w:val="20"/>
        </w:rPr>
        <w:t xml:space="preserve">proved that Second </w:t>
      </w:r>
      <w:r w:rsidRPr="00DD655F">
        <w:rPr>
          <w:rFonts w:ascii="Cambria" w:hAnsi="Cambria"/>
          <w:sz w:val="20"/>
          <w:szCs w:val="20"/>
        </w:rPr>
        <w:t>Lieutenant Roj</w:t>
      </w:r>
      <w:r w:rsidR="00EC1825">
        <w:rPr>
          <w:rFonts w:ascii="Cambria" w:hAnsi="Cambria"/>
          <w:sz w:val="20"/>
          <w:szCs w:val="20"/>
        </w:rPr>
        <w:t>as acted in a private capacity</w:t>
      </w:r>
      <w:r w:rsidRPr="00DD655F">
        <w:rPr>
          <w:rFonts w:ascii="Cambria" w:hAnsi="Cambria"/>
          <w:sz w:val="20"/>
          <w:szCs w:val="20"/>
        </w:rPr>
        <w:t xml:space="preserve"> without availing himself of his </w:t>
      </w:r>
      <w:r w:rsidR="00EC1825">
        <w:rPr>
          <w:rFonts w:ascii="Cambria" w:hAnsi="Cambria"/>
          <w:sz w:val="20"/>
          <w:szCs w:val="20"/>
        </w:rPr>
        <w:t>status as an army officer</w:t>
      </w:r>
      <w:r w:rsidRPr="00DD655F">
        <w:rPr>
          <w:rFonts w:ascii="Cambria" w:hAnsi="Cambria"/>
          <w:sz w:val="20"/>
          <w:szCs w:val="20"/>
        </w:rPr>
        <w:t xml:space="preserve"> and without using army resources</w:t>
      </w:r>
      <w:r w:rsidR="00EC1825">
        <w:rPr>
          <w:rFonts w:ascii="Cambria" w:hAnsi="Cambria"/>
          <w:sz w:val="20"/>
          <w:szCs w:val="20"/>
        </w:rPr>
        <w:t xml:space="preserve"> or weapons</w:t>
      </w:r>
      <w:r w:rsidRPr="00DD655F">
        <w:rPr>
          <w:rFonts w:ascii="Cambria" w:hAnsi="Cambria"/>
          <w:sz w:val="20"/>
          <w:szCs w:val="20"/>
        </w:rPr>
        <w:t xml:space="preserve">. It argues that, contrary to the </w:t>
      </w:r>
      <w:r w:rsidR="00EC1825">
        <w:rPr>
          <w:rFonts w:ascii="Cambria" w:hAnsi="Cambria"/>
          <w:sz w:val="20"/>
          <w:szCs w:val="20"/>
        </w:rPr>
        <w:t xml:space="preserve">petitioner’s allegations, the second </w:t>
      </w:r>
      <w:r w:rsidRPr="00DD655F">
        <w:rPr>
          <w:rFonts w:ascii="Cambria" w:hAnsi="Cambria"/>
          <w:sz w:val="20"/>
          <w:szCs w:val="20"/>
        </w:rPr>
        <w:t xml:space="preserve">lieutenant's service record did not </w:t>
      </w:r>
      <w:r w:rsidR="00EC1825">
        <w:rPr>
          <w:rFonts w:ascii="Cambria" w:hAnsi="Cambria"/>
          <w:sz w:val="20"/>
          <w:szCs w:val="20"/>
        </w:rPr>
        <w:t>contain</w:t>
      </w:r>
      <w:r w:rsidRPr="00DD655F">
        <w:rPr>
          <w:rFonts w:ascii="Cambria" w:hAnsi="Cambria"/>
          <w:sz w:val="20"/>
          <w:szCs w:val="20"/>
        </w:rPr>
        <w:t xml:space="preserve"> annotations or </w:t>
      </w:r>
      <w:r w:rsidR="00EC1825">
        <w:rPr>
          <w:rFonts w:ascii="Cambria" w:hAnsi="Cambria"/>
          <w:sz w:val="20"/>
          <w:szCs w:val="20"/>
        </w:rPr>
        <w:t>obvious signs</w:t>
      </w:r>
      <w:r w:rsidRPr="00DD655F">
        <w:rPr>
          <w:rFonts w:ascii="Cambria" w:hAnsi="Cambria"/>
          <w:sz w:val="20"/>
          <w:szCs w:val="20"/>
        </w:rPr>
        <w:t xml:space="preserve"> that would account for </w:t>
      </w:r>
      <w:r w:rsidR="00EC1825">
        <w:rPr>
          <w:rFonts w:ascii="Cambria" w:hAnsi="Cambria"/>
          <w:sz w:val="20"/>
          <w:szCs w:val="20"/>
        </w:rPr>
        <w:t xml:space="preserve">his </w:t>
      </w:r>
      <w:r w:rsidRPr="00DD655F">
        <w:rPr>
          <w:rFonts w:ascii="Cambria" w:hAnsi="Cambria"/>
          <w:sz w:val="20"/>
          <w:szCs w:val="20"/>
        </w:rPr>
        <w:t>violent behavior</w:t>
      </w:r>
      <w:r>
        <w:rPr>
          <w:rFonts w:ascii="Cambria" w:hAnsi="Cambria"/>
          <w:sz w:val="20"/>
          <w:szCs w:val="20"/>
        </w:rPr>
        <w:t>.</w:t>
      </w:r>
    </w:p>
    <w:p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rsidR="00F621C3" w:rsidRDefault="00980BB0"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seeks to have the State recognize</w:t>
      </w:r>
      <w:r w:rsidR="00AD63F9">
        <w:rPr>
          <w:rFonts w:ascii="Cambria" w:hAnsi="Cambria"/>
          <w:sz w:val="20"/>
          <w:szCs w:val="20"/>
        </w:rPr>
        <w:t xml:space="preserve"> its</w:t>
      </w:r>
      <w:r w:rsidR="00DD655F" w:rsidRPr="00DD655F">
        <w:rPr>
          <w:rFonts w:ascii="Cambria" w:hAnsi="Cambria"/>
          <w:sz w:val="20"/>
          <w:szCs w:val="20"/>
        </w:rPr>
        <w:t xml:space="preserve"> responsibility for the death</w:t>
      </w:r>
      <w:r>
        <w:rPr>
          <w:rFonts w:ascii="Cambria" w:hAnsi="Cambria"/>
          <w:sz w:val="20"/>
          <w:szCs w:val="20"/>
        </w:rPr>
        <w:t xml:space="preserve"> of Mrs. Klinger and compensate</w:t>
      </w:r>
      <w:r w:rsidR="00DD655F" w:rsidRPr="00DD655F">
        <w:rPr>
          <w:rFonts w:ascii="Cambria" w:hAnsi="Cambria"/>
          <w:sz w:val="20"/>
          <w:szCs w:val="20"/>
        </w:rPr>
        <w:t xml:space="preserve"> her husband and children. </w:t>
      </w:r>
      <w:r w:rsidR="00AD63F9">
        <w:rPr>
          <w:rFonts w:ascii="Cambria" w:hAnsi="Cambria"/>
          <w:sz w:val="20"/>
          <w:szCs w:val="20"/>
        </w:rPr>
        <w:t>With respect</w:t>
      </w:r>
      <w:r w:rsidR="00DD655F" w:rsidRPr="00DD655F">
        <w:rPr>
          <w:rFonts w:ascii="Cambria" w:hAnsi="Cambria"/>
          <w:sz w:val="20"/>
          <w:szCs w:val="20"/>
        </w:rPr>
        <w:t xml:space="preserve"> to the allegations regarding the State's responsibility in the death of Ms. Klinger and the </w:t>
      </w:r>
      <w:r w:rsidR="00AD63F9">
        <w:rPr>
          <w:rFonts w:ascii="Cambria" w:hAnsi="Cambria"/>
          <w:sz w:val="20"/>
          <w:szCs w:val="20"/>
        </w:rPr>
        <w:t>errors</w:t>
      </w:r>
      <w:r w:rsidR="00DD655F" w:rsidRPr="00DD655F">
        <w:rPr>
          <w:rFonts w:ascii="Cambria" w:hAnsi="Cambria"/>
          <w:sz w:val="20"/>
          <w:szCs w:val="20"/>
        </w:rPr>
        <w:t xml:space="preserve"> in the criminal proceeding</w:t>
      </w:r>
      <w:r w:rsidR="00AD63F9">
        <w:rPr>
          <w:rFonts w:ascii="Cambria" w:hAnsi="Cambria"/>
          <w:sz w:val="20"/>
          <w:szCs w:val="20"/>
        </w:rPr>
        <w:t>s</w:t>
      </w:r>
      <w:r w:rsidR="00DD655F" w:rsidRPr="00DD655F">
        <w:rPr>
          <w:rFonts w:ascii="Cambria" w:hAnsi="Cambria"/>
          <w:sz w:val="20"/>
          <w:szCs w:val="20"/>
        </w:rPr>
        <w:t xml:space="preserve"> to determine the State's omission, the Commission observes that it does not have sufficient information on the </w:t>
      </w:r>
      <w:r>
        <w:rPr>
          <w:rFonts w:ascii="Cambria" w:hAnsi="Cambria"/>
          <w:sz w:val="20"/>
          <w:szCs w:val="20"/>
        </w:rPr>
        <w:t>steps taken by</w:t>
      </w:r>
      <w:r w:rsidR="00DD655F" w:rsidRPr="00DD655F">
        <w:rPr>
          <w:rFonts w:ascii="Cambria" w:hAnsi="Cambria"/>
          <w:sz w:val="20"/>
          <w:szCs w:val="20"/>
        </w:rPr>
        <w:t xml:space="preserve"> the petitioner and the dev</w:t>
      </w:r>
      <w:r w:rsidR="00AD63F9">
        <w:rPr>
          <w:rFonts w:ascii="Cambria" w:hAnsi="Cambria"/>
          <w:sz w:val="20"/>
          <w:szCs w:val="20"/>
        </w:rPr>
        <w:t>elopment of the criminal proceedings</w:t>
      </w:r>
      <w:r>
        <w:rPr>
          <w:rFonts w:ascii="Cambria" w:hAnsi="Cambria"/>
          <w:sz w:val="20"/>
          <w:szCs w:val="20"/>
        </w:rPr>
        <w:t>.</w:t>
      </w:r>
      <w:r w:rsidR="00DD655F" w:rsidRPr="00DD655F">
        <w:rPr>
          <w:rFonts w:ascii="Cambria" w:hAnsi="Cambria"/>
          <w:sz w:val="20"/>
          <w:szCs w:val="20"/>
        </w:rPr>
        <w:t xml:space="preserve"> </w:t>
      </w:r>
      <w:r>
        <w:rPr>
          <w:rFonts w:ascii="Cambria" w:hAnsi="Cambria"/>
          <w:sz w:val="20"/>
          <w:szCs w:val="20"/>
        </w:rPr>
        <w:t>The Commission only has information on</w:t>
      </w:r>
      <w:r w:rsidR="00DD655F" w:rsidRPr="00DD655F">
        <w:rPr>
          <w:rFonts w:ascii="Cambria" w:hAnsi="Cambria"/>
          <w:sz w:val="20"/>
          <w:szCs w:val="20"/>
        </w:rPr>
        <w:t xml:space="preserve"> </w:t>
      </w:r>
      <w:r>
        <w:rPr>
          <w:rFonts w:ascii="Cambria" w:hAnsi="Cambria"/>
          <w:sz w:val="20"/>
          <w:szCs w:val="20"/>
        </w:rPr>
        <w:t>the outcome</w:t>
      </w:r>
      <w:r w:rsidR="00DD655F" w:rsidRPr="00DD655F">
        <w:rPr>
          <w:rFonts w:ascii="Cambria" w:hAnsi="Cambria"/>
          <w:sz w:val="20"/>
          <w:szCs w:val="20"/>
        </w:rPr>
        <w:t xml:space="preserve"> and </w:t>
      </w:r>
      <w:r w:rsidR="00925F83">
        <w:rPr>
          <w:rFonts w:ascii="Cambria" w:hAnsi="Cambria"/>
          <w:sz w:val="20"/>
          <w:szCs w:val="20"/>
        </w:rPr>
        <w:t xml:space="preserve">the appeals </w:t>
      </w:r>
      <w:r>
        <w:rPr>
          <w:rFonts w:ascii="Cambria" w:hAnsi="Cambria"/>
          <w:sz w:val="20"/>
          <w:szCs w:val="20"/>
        </w:rPr>
        <w:t>filed by the defendant</w:t>
      </w:r>
      <w:r w:rsidR="00925F83">
        <w:rPr>
          <w:rFonts w:ascii="Cambria" w:hAnsi="Cambria"/>
          <w:sz w:val="20"/>
          <w:szCs w:val="20"/>
        </w:rPr>
        <w:t xml:space="preserve"> until </w:t>
      </w:r>
      <w:r w:rsidR="00C74F8B">
        <w:rPr>
          <w:rFonts w:ascii="Cambria" w:hAnsi="Cambria"/>
          <w:sz w:val="20"/>
          <w:szCs w:val="20"/>
        </w:rPr>
        <w:t>his final conviction</w:t>
      </w:r>
      <w:r w:rsidR="00DD655F" w:rsidRPr="00DD655F">
        <w:rPr>
          <w:rFonts w:ascii="Cambria" w:hAnsi="Cambria"/>
          <w:sz w:val="20"/>
          <w:szCs w:val="20"/>
        </w:rPr>
        <w:t xml:space="preserve">. For this reason, and in view of the particular nature of this case, the Commission considers that this part of the petition is </w:t>
      </w:r>
      <w:r w:rsidR="00925F83">
        <w:rPr>
          <w:rFonts w:ascii="Cambria" w:hAnsi="Cambria"/>
          <w:sz w:val="20"/>
          <w:szCs w:val="20"/>
        </w:rPr>
        <w:t>inadmissible</w:t>
      </w:r>
      <w:r w:rsidR="00DD655F" w:rsidRPr="00DD655F">
        <w:rPr>
          <w:rFonts w:ascii="Cambria" w:hAnsi="Cambria"/>
          <w:sz w:val="20"/>
          <w:szCs w:val="20"/>
        </w:rPr>
        <w:t xml:space="preserve"> because it does not </w:t>
      </w:r>
      <w:r w:rsidR="00925F83">
        <w:rPr>
          <w:rFonts w:ascii="Cambria" w:hAnsi="Cambria"/>
          <w:sz w:val="20"/>
          <w:szCs w:val="20"/>
        </w:rPr>
        <w:t>fulfill</w:t>
      </w:r>
      <w:r w:rsidR="00DD655F" w:rsidRPr="00DD655F">
        <w:rPr>
          <w:rFonts w:ascii="Cambria" w:hAnsi="Cambria"/>
          <w:sz w:val="20"/>
          <w:szCs w:val="20"/>
        </w:rPr>
        <w:t xml:space="preserve"> the requirements of Article 46.1</w:t>
      </w:r>
      <w:r w:rsidR="002C764D">
        <w:rPr>
          <w:rFonts w:ascii="Cambria" w:hAnsi="Cambria"/>
          <w:sz w:val="20"/>
          <w:szCs w:val="20"/>
        </w:rPr>
        <w:t>.</w:t>
      </w:r>
      <w:proofErr w:type="spellStart"/>
      <w:r w:rsidR="00DD655F" w:rsidRPr="00DD655F">
        <w:rPr>
          <w:rFonts w:ascii="Cambria" w:hAnsi="Cambria"/>
          <w:sz w:val="20"/>
          <w:szCs w:val="20"/>
        </w:rPr>
        <w:t>a</w:t>
      </w:r>
      <w:proofErr w:type="spellEnd"/>
      <w:r w:rsidR="00DD655F" w:rsidRPr="00DD655F">
        <w:rPr>
          <w:rFonts w:ascii="Cambria" w:hAnsi="Cambria"/>
          <w:sz w:val="20"/>
          <w:szCs w:val="20"/>
        </w:rPr>
        <w:t xml:space="preserve"> of the Convention</w:t>
      </w:r>
      <w:r w:rsidR="00DD655F">
        <w:rPr>
          <w:rFonts w:ascii="Cambria" w:hAnsi="Cambria"/>
          <w:sz w:val="20"/>
          <w:szCs w:val="20"/>
        </w:rPr>
        <w:t>.</w:t>
      </w:r>
    </w:p>
    <w:p w:rsidR="004C3BE2" w:rsidRDefault="00DD655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lastRenderedPageBreak/>
        <w:t>On the other hand, the Commission notes that, for purposes of asserting the claim for compensation at the domestic level, the alleged victims filed a direct reparation action on July 6, 1995</w:t>
      </w:r>
      <w:r w:rsidR="001A1C54">
        <w:rPr>
          <w:rFonts w:ascii="Cambria" w:hAnsi="Cambria"/>
          <w:sz w:val="20"/>
          <w:szCs w:val="20"/>
        </w:rPr>
        <w:t>,</w:t>
      </w:r>
      <w:r w:rsidRPr="00DD655F">
        <w:rPr>
          <w:rFonts w:ascii="Cambria" w:hAnsi="Cambria"/>
          <w:sz w:val="20"/>
          <w:szCs w:val="20"/>
        </w:rPr>
        <w:t xml:space="preserve"> and that an appeal was filed in </w:t>
      </w:r>
      <w:r w:rsidR="00925F83">
        <w:rPr>
          <w:rFonts w:ascii="Cambria" w:hAnsi="Cambria"/>
          <w:sz w:val="20"/>
          <w:szCs w:val="20"/>
        </w:rPr>
        <w:t>these proceedings</w:t>
      </w:r>
      <w:r w:rsidRPr="00DD655F">
        <w:rPr>
          <w:rFonts w:ascii="Cambria" w:hAnsi="Cambria"/>
          <w:sz w:val="20"/>
          <w:szCs w:val="20"/>
        </w:rPr>
        <w:t xml:space="preserve"> on October 12, 1999, and it was not until February 18, 2010</w:t>
      </w:r>
      <w:r w:rsidR="001A1C54">
        <w:rPr>
          <w:rFonts w:ascii="Cambria" w:hAnsi="Cambria"/>
          <w:sz w:val="20"/>
          <w:szCs w:val="20"/>
        </w:rPr>
        <w:t>,</w:t>
      </w:r>
      <w:r w:rsidRPr="00DD655F">
        <w:rPr>
          <w:rFonts w:ascii="Cambria" w:hAnsi="Cambria"/>
          <w:sz w:val="20"/>
          <w:szCs w:val="20"/>
        </w:rPr>
        <w:t xml:space="preserve"> that the Council of State issued t</w:t>
      </w:r>
      <w:r w:rsidR="00925F83">
        <w:rPr>
          <w:rFonts w:ascii="Cambria" w:hAnsi="Cambria"/>
          <w:sz w:val="20"/>
          <w:szCs w:val="20"/>
        </w:rPr>
        <w:t xml:space="preserve">he final decision regarding this </w:t>
      </w:r>
      <w:r w:rsidRPr="00DD655F">
        <w:rPr>
          <w:rFonts w:ascii="Cambria" w:hAnsi="Cambria"/>
          <w:sz w:val="20"/>
          <w:szCs w:val="20"/>
        </w:rPr>
        <w:t xml:space="preserve">appeal. The State </w:t>
      </w:r>
      <w:r w:rsidR="00925F83">
        <w:rPr>
          <w:rFonts w:ascii="Cambria" w:hAnsi="Cambria"/>
          <w:sz w:val="20"/>
          <w:szCs w:val="20"/>
        </w:rPr>
        <w:t>has failed to refer</w:t>
      </w:r>
      <w:r w:rsidRPr="00DD655F">
        <w:rPr>
          <w:rFonts w:ascii="Cambria" w:hAnsi="Cambria"/>
          <w:sz w:val="20"/>
          <w:szCs w:val="20"/>
        </w:rPr>
        <w:t xml:space="preserve"> to additional </w:t>
      </w:r>
      <w:r w:rsidR="002306F2">
        <w:rPr>
          <w:rFonts w:ascii="Cambria" w:hAnsi="Cambria"/>
          <w:sz w:val="20"/>
          <w:szCs w:val="20"/>
        </w:rPr>
        <w:t xml:space="preserve">remedies </w:t>
      </w:r>
      <w:r w:rsidRPr="00DD655F">
        <w:rPr>
          <w:rFonts w:ascii="Cambria" w:hAnsi="Cambria"/>
          <w:sz w:val="20"/>
          <w:szCs w:val="20"/>
        </w:rPr>
        <w:t xml:space="preserve">that the petitioner </w:t>
      </w:r>
      <w:r w:rsidR="00925F83">
        <w:rPr>
          <w:rFonts w:ascii="Cambria" w:hAnsi="Cambria"/>
          <w:sz w:val="20"/>
          <w:szCs w:val="20"/>
        </w:rPr>
        <w:t xml:space="preserve">could </w:t>
      </w:r>
      <w:r w:rsidR="002306F2">
        <w:rPr>
          <w:rFonts w:ascii="Cambria" w:hAnsi="Cambria"/>
          <w:sz w:val="20"/>
          <w:szCs w:val="20"/>
        </w:rPr>
        <w:t>attempt</w:t>
      </w:r>
      <w:r w:rsidR="00C8408D">
        <w:rPr>
          <w:rFonts w:ascii="Cambria" w:hAnsi="Cambria"/>
          <w:sz w:val="20"/>
          <w:szCs w:val="20"/>
        </w:rPr>
        <w:t xml:space="preserve"> </w:t>
      </w:r>
      <w:r w:rsidR="002306F2">
        <w:rPr>
          <w:rFonts w:ascii="Cambria" w:hAnsi="Cambria"/>
          <w:sz w:val="20"/>
          <w:szCs w:val="20"/>
        </w:rPr>
        <w:t xml:space="preserve">at </w:t>
      </w:r>
      <w:r w:rsidR="00925F83">
        <w:rPr>
          <w:rFonts w:ascii="Cambria" w:hAnsi="Cambria"/>
          <w:sz w:val="20"/>
          <w:szCs w:val="20"/>
        </w:rPr>
        <w:t>domestic</w:t>
      </w:r>
      <w:r w:rsidR="002306F2">
        <w:rPr>
          <w:rFonts w:ascii="Cambria" w:hAnsi="Cambria"/>
          <w:sz w:val="20"/>
          <w:szCs w:val="20"/>
        </w:rPr>
        <w:t xml:space="preserve"> level</w:t>
      </w:r>
      <w:r w:rsidRPr="00DD655F">
        <w:rPr>
          <w:rFonts w:ascii="Cambria" w:hAnsi="Cambria"/>
          <w:sz w:val="20"/>
          <w:szCs w:val="20"/>
        </w:rPr>
        <w:t>. In view of this and the information presented in the file, the Commission concludes that this aspect of the petition meets the requirement of exhaustion of domestic remedies pursuant to Article 46.1.</w:t>
      </w:r>
      <w:proofErr w:type="spellStart"/>
      <w:r w:rsidRPr="00DD655F">
        <w:rPr>
          <w:rFonts w:ascii="Cambria" w:hAnsi="Cambria"/>
          <w:sz w:val="20"/>
          <w:szCs w:val="20"/>
        </w:rPr>
        <w:t>a</w:t>
      </w:r>
      <w:proofErr w:type="spellEnd"/>
      <w:r w:rsidRPr="00DD655F">
        <w:rPr>
          <w:rFonts w:ascii="Cambria" w:hAnsi="Cambria"/>
          <w:sz w:val="20"/>
          <w:szCs w:val="20"/>
        </w:rPr>
        <w:t xml:space="preserve"> of the American Convention only </w:t>
      </w:r>
      <w:r w:rsidR="00906435">
        <w:rPr>
          <w:rFonts w:ascii="Cambria" w:hAnsi="Cambria"/>
          <w:sz w:val="20"/>
          <w:szCs w:val="20"/>
        </w:rPr>
        <w:t>in connection with this issue.</w:t>
      </w:r>
    </w:p>
    <w:p w:rsidR="004C3BE2" w:rsidRPr="000B6B7A" w:rsidRDefault="00DD655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In view of the fact that the decision </w:t>
      </w:r>
      <w:r w:rsidR="00CC6F0A">
        <w:rPr>
          <w:rFonts w:ascii="Cambria" w:hAnsi="Cambria"/>
          <w:sz w:val="20"/>
          <w:szCs w:val="20"/>
        </w:rPr>
        <w:t>that exhausted the</w:t>
      </w:r>
      <w:r w:rsidR="00C8408D">
        <w:rPr>
          <w:rFonts w:ascii="Cambria" w:hAnsi="Cambria"/>
          <w:sz w:val="20"/>
          <w:szCs w:val="20"/>
        </w:rPr>
        <w:t xml:space="preserve"> </w:t>
      </w:r>
      <w:r w:rsidRPr="00DD655F">
        <w:rPr>
          <w:rFonts w:ascii="Cambria" w:hAnsi="Cambria"/>
          <w:sz w:val="20"/>
          <w:szCs w:val="20"/>
        </w:rPr>
        <w:t>domestic remedies was issued on February 18, 2010</w:t>
      </w:r>
      <w:r w:rsidR="009C227B">
        <w:rPr>
          <w:rFonts w:ascii="Cambria" w:hAnsi="Cambria"/>
          <w:sz w:val="20"/>
          <w:szCs w:val="20"/>
        </w:rPr>
        <w:t>,</w:t>
      </w:r>
      <w:r w:rsidRPr="00DD655F">
        <w:rPr>
          <w:rFonts w:ascii="Cambria" w:hAnsi="Cambria"/>
          <w:sz w:val="20"/>
          <w:szCs w:val="20"/>
        </w:rPr>
        <w:t xml:space="preserve"> and </w:t>
      </w:r>
      <w:r w:rsidR="009C227B">
        <w:rPr>
          <w:rFonts w:ascii="Cambria" w:hAnsi="Cambria"/>
          <w:sz w:val="20"/>
          <w:szCs w:val="20"/>
        </w:rPr>
        <w:t xml:space="preserve">the petition </w:t>
      </w:r>
      <w:r w:rsidR="00530730">
        <w:rPr>
          <w:rFonts w:ascii="Cambria" w:hAnsi="Cambria"/>
          <w:sz w:val="20"/>
          <w:szCs w:val="20"/>
        </w:rPr>
        <w:t>was received by the Commission on July 1, 2008</w:t>
      </w:r>
      <w:r w:rsidRPr="00DD655F">
        <w:rPr>
          <w:rFonts w:ascii="Cambria" w:hAnsi="Cambria"/>
          <w:sz w:val="20"/>
          <w:szCs w:val="20"/>
        </w:rPr>
        <w:t xml:space="preserve">, </w:t>
      </w:r>
      <w:r w:rsidR="009C227B">
        <w:rPr>
          <w:rFonts w:ascii="Cambria" w:hAnsi="Cambria"/>
          <w:sz w:val="20"/>
          <w:szCs w:val="20"/>
        </w:rPr>
        <w:t xml:space="preserve">the </w:t>
      </w:r>
      <w:r w:rsidR="00530730">
        <w:rPr>
          <w:rFonts w:ascii="Cambria" w:hAnsi="Cambria"/>
          <w:sz w:val="20"/>
          <w:szCs w:val="20"/>
        </w:rPr>
        <w:t>claim fulfills</w:t>
      </w:r>
      <w:r w:rsidRPr="00DD655F">
        <w:rPr>
          <w:rFonts w:ascii="Cambria" w:hAnsi="Cambria"/>
          <w:sz w:val="20"/>
          <w:szCs w:val="20"/>
        </w:rPr>
        <w:t xml:space="preserve"> the </w:t>
      </w:r>
      <w:r w:rsidR="009C227B">
        <w:rPr>
          <w:rFonts w:ascii="Cambria" w:hAnsi="Cambria"/>
          <w:sz w:val="20"/>
          <w:szCs w:val="20"/>
        </w:rPr>
        <w:t xml:space="preserve">timeliness </w:t>
      </w:r>
      <w:r w:rsidRPr="00DD655F">
        <w:rPr>
          <w:rFonts w:ascii="Cambria" w:hAnsi="Cambria"/>
          <w:sz w:val="20"/>
          <w:szCs w:val="20"/>
        </w:rPr>
        <w:t>requirement established in Article 46 (1) (b) of the American Convention</w:t>
      </w:r>
      <w:r>
        <w:rPr>
          <w:rFonts w:ascii="Cambria" w:hAnsi="Cambria"/>
          <w:sz w:val="20"/>
          <w:szCs w:val="20"/>
        </w:rPr>
        <w:t>.</w:t>
      </w:r>
    </w:p>
    <w:p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rsidR="00F621C3" w:rsidRDefault="00530730"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 seeks to establish that a degree</w:t>
      </w:r>
      <w:r w:rsidR="00DD655F" w:rsidRPr="00DD655F">
        <w:rPr>
          <w:rFonts w:ascii="Cambria" w:hAnsi="Cambria"/>
          <w:sz w:val="20"/>
          <w:szCs w:val="20"/>
        </w:rPr>
        <w:t xml:space="preserve"> of responsibility </w:t>
      </w:r>
      <w:r w:rsidR="00CC6F0A">
        <w:rPr>
          <w:rFonts w:ascii="Cambria" w:hAnsi="Cambria"/>
          <w:sz w:val="20"/>
          <w:szCs w:val="20"/>
        </w:rPr>
        <w:t xml:space="preserve">pertaining </w:t>
      </w:r>
      <w:r w:rsidR="00DD655F" w:rsidRPr="00DD655F">
        <w:rPr>
          <w:rFonts w:ascii="Cambria" w:hAnsi="Cambria"/>
          <w:sz w:val="20"/>
          <w:szCs w:val="20"/>
        </w:rPr>
        <w:t>the death of Mrs. Klinger</w:t>
      </w:r>
      <w:r>
        <w:rPr>
          <w:rFonts w:ascii="Cambria" w:hAnsi="Cambria"/>
          <w:sz w:val="20"/>
          <w:szCs w:val="20"/>
        </w:rPr>
        <w:t xml:space="preserve"> is attributable to the State</w:t>
      </w:r>
      <w:r w:rsidR="00DD655F" w:rsidRPr="00DD655F">
        <w:rPr>
          <w:rFonts w:ascii="Cambria" w:hAnsi="Cambria"/>
          <w:sz w:val="20"/>
          <w:szCs w:val="20"/>
        </w:rPr>
        <w:t xml:space="preserve">, which would </w:t>
      </w:r>
      <w:r>
        <w:rPr>
          <w:rFonts w:ascii="Cambria" w:hAnsi="Cambria"/>
          <w:sz w:val="20"/>
          <w:szCs w:val="20"/>
        </w:rPr>
        <w:t xml:space="preserve">entail the </w:t>
      </w:r>
      <w:r w:rsidR="00DD655F" w:rsidRPr="00DD655F">
        <w:rPr>
          <w:rFonts w:ascii="Cambria" w:hAnsi="Cambria"/>
          <w:sz w:val="20"/>
          <w:szCs w:val="20"/>
        </w:rPr>
        <w:t>right of the alleged victims to re</w:t>
      </w:r>
      <w:r w:rsidR="00564FD8">
        <w:rPr>
          <w:rFonts w:ascii="Cambria" w:hAnsi="Cambria"/>
          <w:sz w:val="20"/>
          <w:szCs w:val="20"/>
        </w:rPr>
        <w:t>ceive compensation</w:t>
      </w:r>
      <w:r w:rsidR="00DD655F" w:rsidRPr="00DD655F">
        <w:rPr>
          <w:rFonts w:ascii="Cambria" w:hAnsi="Cambria"/>
          <w:sz w:val="20"/>
          <w:szCs w:val="20"/>
        </w:rPr>
        <w:t xml:space="preserve">. For its part, the State alleges that the petitioner </w:t>
      </w:r>
      <w:r>
        <w:rPr>
          <w:rFonts w:ascii="Cambria" w:hAnsi="Cambria"/>
          <w:sz w:val="20"/>
          <w:szCs w:val="20"/>
        </w:rPr>
        <w:t>intends for</w:t>
      </w:r>
      <w:r w:rsidR="00564FD8">
        <w:rPr>
          <w:rFonts w:ascii="Cambria" w:hAnsi="Cambria"/>
          <w:sz w:val="20"/>
          <w:szCs w:val="20"/>
        </w:rPr>
        <w:t xml:space="preserve"> the Commission </w:t>
      </w:r>
      <w:r>
        <w:rPr>
          <w:rFonts w:ascii="Cambria" w:hAnsi="Cambria"/>
          <w:sz w:val="20"/>
          <w:szCs w:val="20"/>
        </w:rPr>
        <w:t xml:space="preserve">to </w:t>
      </w:r>
      <w:r w:rsidR="00564FD8">
        <w:rPr>
          <w:rFonts w:ascii="Cambria" w:hAnsi="Cambria"/>
          <w:sz w:val="20"/>
          <w:szCs w:val="20"/>
        </w:rPr>
        <w:t>act</w:t>
      </w:r>
      <w:r w:rsidR="00DD655F" w:rsidRPr="00DD655F">
        <w:rPr>
          <w:rFonts w:ascii="Cambria" w:hAnsi="Cambria"/>
          <w:sz w:val="20"/>
          <w:szCs w:val="20"/>
        </w:rPr>
        <w:t xml:space="preserve"> as a court of appeal to review the </w:t>
      </w:r>
      <w:r w:rsidR="00564FD8">
        <w:rPr>
          <w:rFonts w:ascii="Cambria" w:hAnsi="Cambria"/>
          <w:sz w:val="20"/>
          <w:szCs w:val="20"/>
        </w:rPr>
        <w:t>conclusions of fact and law</w:t>
      </w:r>
      <w:r w:rsidR="00DD655F" w:rsidRPr="00DD655F">
        <w:rPr>
          <w:rFonts w:ascii="Cambria" w:hAnsi="Cambria"/>
          <w:sz w:val="20"/>
          <w:szCs w:val="20"/>
        </w:rPr>
        <w:t xml:space="preserve"> reached by the domestic courts </w:t>
      </w:r>
      <w:r>
        <w:rPr>
          <w:rFonts w:ascii="Cambria" w:hAnsi="Cambria"/>
          <w:sz w:val="20"/>
          <w:szCs w:val="20"/>
        </w:rPr>
        <w:t>that found no</w:t>
      </w:r>
      <w:r w:rsidR="00DD655F" w:rsidRPr="00DD655F">
        <w:rPr>
          <w:rFonts w:ascii="Cambria" w:hAnsi="Cambria"/>
          <w:sz w:val="20"/>
          <w:szCs w:val="20"/>
        </w:rPr>
        <w:t xml:space="preserve"> </w:t>
      </w:r>
      <w:r>
        <w:rPr>
          <w:rFonts w:ascii="Cambria" w:hAnsi="Cambria"/>
          <w:sz w:val="20"/>
          <w:szCs w:val="20"/>
        </w:rPr>
        <w:t>State</w:t>
      </w:r>
      <w:r w:rsidR="00DD655F" w:rsidRPr="00DD655F">
        <w:rPr>
          <w:rFonts w:ascii="Cambria" w:hAnsi="Cambria"/>
          <w:sz w:val="20"/>
          <w:szCs w:val="20"/>
        </w:rPr>
        <w:t xml:space="preserve"> responsibility </w:t>
      </w:r>
      <w:r>
        <w:rPr>
          <w:rFonts w:ascii="Cambria" w:hAnsi="Cambria"/>
          <w:sz w:val="20"/>
          <w:szCs w:val="20"/>
        </w:rPr>
        <w:t xml:space="preserve">as </w:t>
      </w:r>
      <w:r w:rsidR="00564FD8">
        <w:rPr>
          <w:rFonts w:ascii="Cambria" w:hAnsi="Cambria"/>
          <w:sz w:val="20"/>
          <w:szCs w:val="20"/>
        </w:rPr>
        <w:t>alleged</w:t>
      </w:r>
      <w:r w:rsidR="00DD655F" w:rsidRPr="00DD655F">
        <w:rPr>
          <w:rFonts w:ascii="Cambria" w:hAnsi="Cambria"/>
          <w:sz w:val="20"/>
          <w:szCs w:val="20"/>
        </w:rPr>
        <w:t xml:space="preserve"> by the petitioner </w:t>
      </w:r>
      <w:r>
        <w:rPr>
          <w:rFonts w:ascii="Cambria" w:hAnsi="Cambria"/>
          <w:sz w:val="20"/>
          <w:szCs w:val="20"/>
        </w:rPr>
        <w:t>and</w:t>
      </w:r>
      <w:r w:rsidR="00CC6F0A">
        <w:rPr>
          <w:rFonts w:ascii="Cambria" w:hAnsi="Cambria"/>
          <w:sz w:val="20"/>
          <w:szCs w:val="20"/>
        </w:rPr>
        <w:t>,</w:t>
      </w:r>
      <w:r>
        <w:rPr>
          <w:rFonts w:ascii="Cambria" w:hAnsi="Cambria"/>
          <w:sz w:val="20"/>
          <w:szCs w:val="20"/>
        </w:rPr>
        <w:t xml:space="preserve"> </w:t>
      </w:r>
      <w:r w:rsidR="00DD655F" w:rsidRPr="00DD655F">
        <w:rPr>
          <w:rFonts w:ascii="Cambria" w:hAnsi="Cambria"/>
          <w:sz w:val="20"/>
          <w:szCs w:val="20"/>
        </w:rPr>
        <w:t>theref</w:t>
      </w:r>
      <w:r>
        <w:rPr>
          <w:rFonts w:ascii="Cambria" w:hAnsi="Cambria"/>
          <w:sz w:val="20"/>
          <w:szCs w:val="20"/>
        </w:rPr>
        <w:t>ore</w:t>
      </w:r>
      <w:r w:rsidR="00CC6F0A">
        <w:rPr>
          <w:rFonts w:ascii="Cambria" w:hAnsi="Cambria"/>
          <w:sz w:val="20"/>
          <w:szCs w:val="20"/>
        </w:rPr>
        <w:t>,</w:t>
      </w:r>
      <w:r>
        <w:rPr>
          <w:rFonts w:ascii="Cambria" w:hAnsi="Cambria"/>
          <w:sz w:val="20"/>
          <w:szCs w:val="20"/>
        </w:rPr>
        <w:t xml:space="preserve"> </w:t>
      </w:r>
      <w:r w:rsidR="00CC6F0A">
        <w:rPr>
          <w:rFonts w:ascii="Cambria" w:hAnsi="Cambria"/>
          <w:sz w:val="20"/>
          <w:szCs w:val="20"/>
        </w:rPr>
        <w:t xml:space="preserve">that </w:t>
      </w:r>
      <w:r w:rsidR="00DD655F" w:rsidRPr="00DD655F">
        <w:rPr>
          <w:rFonts w:ascii="Cambria" w:hAnsi="Cambria"/>
          <w:sz w:val="20"/>
          <w:szCs w:val="20"/>
        </w:rPr>
        <w:t xml:space="preserve">there </w:t>
      </w:r>
      <w:r>
        <w:rPr>
          <w:rFonts w:ascii="Cambria" w:hAnsi="Cambria"/>
          <w:sz w:val="20"/>
          <w:szCs w:val="20"/>
        </w:rPr>
        <w:t>was</w:t>
      </w:r>
      <w:r w:rsidR="00DD655F" w:rsidRPr="00DD655F">
        <w:rPr>
          <w:rFonts w:ascii="Cambria" w:hAnsi="Cambria"/>
          <w:sz w:val="20"/>
          <w:szCs w:val="20"/>
        </w:rPr>
        <w:t xml:space="preserve"> </w:t>
      </w:r>
      <w:r w:rsidR="00C8304C">
        <w:rPr>
          <w:rFonts w:ascii="Cambria" w:hAnsi="Cambria"/>
          <w:sz w:val="20"/>
          <w:szCs w:val="20"/>
        </w:rPr>
        <w:t>no obligation to compensate the alleged victims</w:t>
      </w:r>
      <w:r w:rsidR="00DD655F">
        <w:rPr>
          <w:rFonts w:ascii="Cambria" w:hAnsi="Cambria"/>
          <w:sz w:val="20"/>
          <w:szCs w:val="20"/>
        </w:rPr>
        <w:t>.</w:t>
      </w:r>
    </w:p>
    <w:p w:rsidR="004C3BE2" w:rsidRDefault="00DD655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The Commission observes that the petitioners have not </w:t>
      </w:r>
      <w:r w:rsidR="00C8304C">
        <w:rPr>
          <w:rFonts w:ascii="Cambria" w:hAnsi="Cambria"/>
          <w:sz w:val="20"/>
          <w:szCs w:val="20"/>
        </w:rPr>
        <w:t>submitted sufficient arguments or evidence</w:t>
      </w:r>
      <w:r w:rsidRPr="00DD655F">
        <w:rPr>
          <w:rFonts w:ascii="Cambria" w:hAnsi="Cambria"/>
          <w:sz w:val="20"/>
          <w:szCs w:val="20"/>
        </w:rPr>
        <w:t xml:space="preserve"> to </w:t>
      </w:r>
      <w:r w:rsidR="00C8304C">
        <w:rPr>
          <w:rFonts w:ascii="Cambria" w:hAnsi="Cambria"/>
          <w:sz w:val="20"/>
          <w:szCs w:val="20"/>
        </w:rPr>
        <w:t>sustain</w:t>
      </w:r>
      <w:r w:rsidRPr="00DD655F">
        <w:rPr>
          <w:rFonts w:ascii="Cambria" w:hAnsi="Cambria"/>
          <w:sz w:val="20"/>
          <w:szCs w:val="20"/>
        </w:rPr>
        <w:t xml:space="preserve"> </w:t>
      </w:r>
      <w:r w:rsidRPr="00564FD8">
        <w:rPr>
          <w:rFonts w:ascii="Cambria" w:hAnsi="Cambria"/>
          <w:i/>
          <w:sz w:val="20"/>
          <w:szCs w:val="20"/>
        </w:rPr>
        <w:t>prima facie</w:t>
      </w:r>
      <w:r w:rsidRPr="00DD655F">
        <w:rPr>
          <w:rFonts w:ascii="Cambria" w:hAnsi="Cambria"/>
          <w:sz w:val="20"/>
          <w:szCs w:val="20"/>
        </w:rPr>
        <w:t xml:space="preserve"> that the criminal proceeding</w:t>
      </w:r>
      <w:r w:rsidR="00564FD8">
        <w:rPr>
          <w:rFonts w:ascii="Cambria" w:hAnsi="Cambria"/>
          <w:sz w:val="20"/>
          <w:szCs w:val="20"/>
        </w:rPr>
        <w:t>s</w:t>
      </w:r>
      <w:r w:rsidRPr="00DD655F">
        <w:rPr>
          <w:rFonts w:ascii="Cambria" w:hAnsi="Cambria"/>
          <w:sz w:val="20"/>
          <w:szCs w:val="20"/>
        </w:rPr>
        <w:t xml:space="preserve"> failed to comply with the guarantees of due process and judicial protection, in the terms of the American Convention. However, the IACHR notes that it is an</w:t>
      </w:r>
      <w:r w:rsidR="00564FD8">
        <w:rPr>
          <w:rFonts w:ascii="Cambria" w:hAnsi="Cambria"/>
          <w:sz w:val="20"/>
          <w:szCs w:val="20"/>
        </w:rPr>
        <w:t xml:space="preserve"> incontrovertible fact that proceedings </w:t>
      </w:r>
      <w:r w:rsidRPr="00DD655F">
        <w:rPr>
          <w:rFonts w:ascii="Cambria" w:hAnsi="Cambria"/>
          <w:sz w:val="20"/>
          <w:szCs w:val="20"/>
        </w:rPr>
        <w:t xml:space="preserve">before the Council of State </w:t>
      </w:r>
      <w:r w:rsidR="00564FD8">
        <w:rPr>
          <w:rFonts w:ascii="Cambria" w:hAnsi="Cambria"/>
          <w:sz w:val="20"/>
          <w:szCs w:val="20"/>
        </w:rPr>
        <w:t>were begun</w:t>
      </w:r>
      <w:r w:rsidR="00077CAE">
        <w:rPr>
          <w:rFonts w:ascii="Cambria" w:hAnsi="Cambria"/>
          <w:sz w:val="20"/>
          <w:szCs w:val="20"/>
        </w:rPr>
        <w:t xml:space="preserve"> on July 6, 1995;</w:t>
      </w:r>
      <w:r w:rsidRPr="00DD655F">
        <w:rPr>
          <w:rFonts w:ascii="Cambria" w:hAnsi="Cambria"/>
          <w:sz w:val="20"/>
          <w:szCs w:val="20"/>
        </w:rPr>
        <w:t xml:space="preserve"> </w:t>
      </w:r>
      <w:r w:rsidR="00077CAE">
        <w:rPr>
          <w:rFonts w:ascii="Cambria" w:hAnsi="Cambria"/>
          <w:sz w:val="20"/>
          <w:szCs w:val="20"/>
        </w:rPr>
        <w:t>that a</w:t>
      </w:r>
      <w:r w:rsidRPr="00DD655F">
        <w:rPr>
          <w:rFonts w:ascii="Cambria" w:hAnsi="Cambria"/>
          <w:sz w:val="20"/>
          <w:szCs w:val="20"/>
        </w:rPr>
        <w:t xml:space="preserve"> first decision </w:t>
      </w:r>
      <w:r w:rsidR="00077CAE">
        <w:rPr>
          <w:rFonts w:ascii="Cambria" w:hAnsi="Cambria"/>
          <w:sz w:val="20"/>
          <w:szCs w:val="20"/>
        </w:rPr>
        <w:t>issued</w:t>
      </w:r>
      <w:r w:rsidR="00564FD8">
        <w:rPr>
          <w:rFonts w:ascii="Cambria" w:hAnsi="Cambria"/>
          <w:sz w:val="20"/>
          <w:szCs w:val="20"/>
        </w:rPr>
        <w:t xml:space="preserve"> </w:t>
      </w:r>
      <w:r w:rsidR="00077CAE">
        <w:rPr>
          <w:rFonts w:ascii="Cambria" w:hAnsi="Cambria"/>
          <w:sz w:val="20"/>
          <w:szCs w:val="20"/>
        </w:rPr>
        <w:t>on August 26, 1999; that</w:t>
      </w:r>
      <w:r w:rsidRPr="00DD655F">
        <w:rPr>
          <w:rFonts w:ascii="Cambria" w:hAnsi="Cambria"/>
          <w:sz w:val="20"/>
          <w:szCs w:val="20"/>
        </w:rPr>
        <w:t xml:space="preserve"> the alleged victi</w:t>
      </w:r>
      <w:r w:rsidR="00564FD8">
        <w:rPr>
          <w:rFonts w:ascii="Cambria" w:hAnsi="Cambria"/>
          <w:sz w:val="20"/>
          <w:szCs w:val="20"/>
        </w:rPr>
        <w:t xml:space="preserve">ms appealed </w:t>
      </w:r>
      <w:r w:rsidR="00077CAE">
        <w:rPr>
          <w:rFonts w:ascii="Cambria" w:hAnsi="Cambria"/>
          <w:sz w:val="20"/>
          <w:szCs w:val="20"/>
        </w:rPr>
        <w:t>that decision on October 12, 1999;</w:t>
      </w:r>
      <w:r w:rsidRPr="00DD655F">
        <w:rPr>
          <w:rFonts w:ascii="Cambria" w:hAnsi="Cambria"/>
          <w:sz w:val="20"/>
          <w:szCs w:val="20"/>
        </w:rPr>
        <w:t xml:space="preserve"> and that it was resolved (against</w:t>
      </w:r>
      <w:r w:rsidR="00077CAE">
        <w:rPr>
          <w:rFonts w:ascii="Cambria" w:hAnsi="Cambria"/>
          <w:sz w:val="20"/>
          <w:szCs w:val="20"/>
        </w:rPr>
        <w:t xml:space="preserve"> them</w:t>
      </w:r>
      <w:r w:rsidRPr="00DD655F">
        <w:rPr>
          <w:rFonts w:ascii="Cambria" w:hAnsi="Cambria"/>
          <w:sz w:val="20"/>
          <w:szCs w:val="20"/>
        </w:rPr>
        <w:t>) on February 18, 2010</w:t>
      </w:r>
      <w:r>
        <w:rPr>
          <w:rFonts w:ascii="Cambria" w:hAnsi="Cambria"/>
          <w:sz w:val="20"/>
          <w:szCs w:val="20"/>
        </w:rPr>
        <w:t>.</w:t>
      </w:r>
    </w:p>
    <w:p w:rsidR="004C3BE2" w:rsidRDefault="00DD655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In view of the factual and legal elements </w:t>
      </w:r>
      <w:r w:rsidR="00E50866">
        <w:rPr>
          <w:rFonts w:ascii="Cambria" w:hAnsi="Cambria"/>
          <w:sz w:val="20"/>
          <w:szCs w:val="20"/>
        </w:rPr>
        <w:t>presented</w:t>
      </w:r>
      <w:r w:rsidRPr="00DD655F">
        <w:rPr>
          <w:rFonts w:ascii="Cambria" w:hAnsi="Cambria"/>
          <w:sz w:val="20"/>
          <w:szCs w:val="20"/>
        </w:rPr>
        <w:t xml:space="preserve"> by the parties and the nature of the matter brought to its attention, the Commission considers that, if proven, the alleged violations of due process in relation to the direct reparation action, including the alleged unjustified delay in the resolution of the appeal </w:t>
      </w:r>
      <w:r w:rsidR="00E50866">
        <w:rPr>
          <w:rFonts w:ascii="Cambria" w:hAnsi="Cambria"/>
          <w:sz w:val="20"/>
          <w:szCs w:val="20"/>
        </w:rPr>
        <w:t>before</w:t>
      </w:r>
      <w:r w:rsidRPr="00DD655F">
        <w:rPr>
          <w:rFonts w:ascii="Cambria" w:hAnsi="Cambria"/>
          <w:sz w:val="20"/>
          <w:szCs w:val="20"/>
        </w:rPr>
        <w:t xml:space="preserve"> the Council of State, could characterize violatio</w:t>
      </w:r>
      <w:r w:rsidR="00E50866">
        <w:rPr>
          <w:rFonts w:ascii="Cambria" w:hAnsi="Cambria"/>
          <w:sz w:val="20"/>
          <w:szCs w:val="20"/>
        </w:rPr>
        <w:t>ns of the rights recognized in A</w:t>
      </w:r>
      <w:r w:rsidRPr="00DD655F">
        <w:rPr>
          <w:rFonts w:ascii="Cambria" w:hAnsi="Cambria"/>
          <w:sz w:val="20"/>
          <w:szCs w:val="20"/>
        </w:rPr>
        <w:t>rticles 5 (</w:t>
      </w:r>
      <w:r w:rsidR="00E50866">
        <w:rPr>
          <w:rFonts w:ascii="Cambria" w:hAnsi="Cambria"/>
          <w:sz w:val="20"/>
          <w:szCs w:val="20"/>
        </w:rPr>
        <w:t xml:space="preserve">right to humane treatment), 8 (right to </w:t>
      </w:r>
      <w:r w:rsidR="008C695D">
        <w:rPr>
          <w:rFonts w:ascii="Cambria" w:hAnsi="Cambria"/>
          <w:sz w:val="20"/>
          <w:szCs w:val="20"/>
        </w:rPr>
        <w:t>a fair trial</w:t>
      </w:r>
      <w:r w:rsidRPr="00DD655F">
        <w:rPr>
          <w:rFonts w:ascii="Cambria" w:hAnsi="Cambria"/>
          <w:sz w:val="20"/>
          <w:szCs w:val="20"/>
        </w:rPr>
        <w:t>) and 25 (</w:t>
      </w:r>
      <w:r w:rsidR="008C695D">
        <w:rPr>
          <w:rFonts w:ascii="Cambria" w:hAnsi="Cambria"/>
          <w:sz w:val="20"/>
          <w:szCs w:val="20"/>
        </w:rPr>
        <w:t xml:space="preserve">right to </w:t>
      </w:r>
      <w:r w:rsidRPr="00DD655F">
        <w:rPr>
          <w:rFonts w:ascii="Cambria" w:hAnsi="Cambria"/>
          <w:sz w:val="20"/>
          <w:szCs w:val="20"/>
        </w:rPr>
        <w:t xml:space="preserve">judicial protection) of the Convention, in relation to its </w:t>
      </w:r>
      <w:r w:rsidR="008C695D">
        <w:rPr>
          <w:rFonts w:ascii="Cambria" w:hAnsi="Cambria"/>
          <w:sz w:val="20"/>
          <w:szCs w:val="20"/>
        </w:rPr>
        <w:t>A</w:t>
      </w:r>
      <w:r w:rsidRPr="00DD655F">
        <w:rPr>
          <w:rFonts w:ascii="Cambria" w:hAnsi="Cambria"/>
          <w:sz w:val="20"/>
          <w:szCs w:val="20"/>
        </w:rPr>
        <w:t>rticle 1.1</w:t>
      </w:r>
      <w:r>
        <w:rPr>
          <w:rFonts w:ascii="Cambria" w:hAnsi="Cambria"/>
          <w:sz w:val="20"/>
          <w:szCs w:val="20"/>
        </w:rPr>
        <w:t>.</w:t>
      </w:r>
    </w:p>
    <w:p w:rsidR="004C3BE2" w:rsidRDefault="00F2330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Regarding</w:t>
      </w:r>
      <w:r w:rsidR="00DD655F" w:rsidRPr="00DD655F">
        <w:rPr>
          <w:rFonts w:ascii="Cambria" w:hAnsi="Cambria"/>
          <w:sz w:val="20"/>
          <w:szCs w:val="20"/>
        </w:rPr>
        <w:t xml:space="preserve"> the allegations made by the State </w:t>
      </w:r>
      <w:r>
        <w:rPr>
          <w:rFonts w:ascii="Cambria" w:hAnsi="Cambria"/>
          <w:sz w:val="20"/>
          <w:szCs w:val="20"/>
        </w:rPr>
        <w:t>concerning</w:t>
      </w:r>
      <w:r w:rsidR="00DD655F" w:rsidRPr="00DD655F">
        <w:rPr>
          <w:rFonts w:ascii="Cambria" w:hAnsi="Cambria"/>
          <w:sz w:val="20"/>
          <w:szCs w:val="20"/>
        </w:rPr>
        <w:t xml:space="preserve"> the </w:t>
      </w:r>
      <w:r w:rsidR="00C377C3" w:rsidRPr="00DD655F">
        <w:rPr>
          <w:rFonts w:ascii="Cambria" w:hAnsi="Cambria"/>
          <w:sz w:val="20"/>
          <w:szCs w:val="20"/>
        </w:rPr>
        <w:t>“fourth</w:t>
      </w:r>
      <w:r w:rsidR="00DD655F" w:rsidRPr="00DD655F">
        <w:rPr>
          <w:rFonts w:ascii="Cambria" w:hAnsi="Cambria"/>
          <w:sz w:val="20"/>
          <w:szCs w:val="20"/>
        </w:rPr>
        <w:t xml:space="preserve"> instance</w:t>
      </w:r>
      <w:r w:rsidR="00CC6F0A">
        <w:rPr>
          <w:rFonts w:ascii="Cambria" w:hAnsi="Cambria"/>
          <w:sz w:val="20"/>
          <w:szCs w:val="20"/>
        </w:rPr>
        <w:t xml:space="preserve"> formula</w:t>
      </w:r>
      <w:r w:rsidR="00DD655F" w:rsidRPr="00DD655F">
        <w:rPr>
          <w:rFonts w:ascii="Cambria" w:hAnsi="Cambria"/>
          <w:sz w:val="20"/>
          <w:szCs w:val="20"/>
        </w:rPr>
        <w:t xml:space="preserve">", the Commission observes </w:t>
      </w:r>
      <w:r>
        <w:rPr>
          <w:rFonts w:ascii="Cambria" w:hAnsi="Cambria"/>
          <w:sz w:val="20"/>
          <w:szCs w:val="20"/>
        </w:rPr>
        <w:t>that by admitting</w:t>
      </w:r>
      <w:r w:rsidR="00DD655F" w:rsidRPr="00DD655F">
        <w:rPr>
          <w:rFonts w:ascii="Cambria" w:hAnsi="Cambria"/>
          <w:sz w:val="20"/>
          <w:szCs w:val="20"/>
        </w:rPr>
        <w:t xml:space="preserve"> this petition </w:t>
      </w:r>
      <w:r w:rsidR="008A745E">
        <w:rPr>
          <w:rFonts w:ascii="Cambria" w:hAnsi="Cambria"/>
          <w:sz w:val="20"/>
          <w:szCs w:val="20"/>
        </w:rPr>
        <w:t xml:space="preserve">it </w:t>
      </w:r>
      <w:r w:rsidR="00DD655F" w:rsidRPr="00DD655F">
        <w:rPr>
          <w:rFonts w:ascii="Cambria" w:hAnsi="Cambria"/>
          <w:sz w:val="20"/>
          <w:szCs w:val="20"/>
        </w:rPr>
        <w:t xml:space="preserve">does not intend to </w:t>
      </w:r>
      <w:r>
        <w:rPr>
          <w:rFonts w:ascii="Cambria" w:hAnsi="Cambria"/>
          <w:sz w:val="20"/>
          <w:szCs w:val="20"/>
        </w:rPr>
        <w:t>replace</w:t>
      </w:r>
      <w:r w:rsidR="00DD655F" w:rsidRPr="00DD655F">
        <w:rPr>
          <w:rFonts w:ascii="Cambria" w:hAnsi="Cambria"/>
          <w:sz w:val="20"/>
          <w:szCs w:val="20"/>
        </w:rPr>
        <w:t xml:space="preserve"> the domestic judicial authorities. </w:t>
      </w:r>
      <w:r>
        <w:rPr>
          <w:rFonts w:ascii="Cambria" w:hAnsi="Cambria"/>
          <w:sz w:val="20"/>
          <w:szCs w:val="20"/>
        </w:rPr>
        <w:t>Rather</w:t>
      </w:r>
      <w:r w:rsidR="00DD655F" w:rsidRPr="00DD655F">
        <w:rPr>
          <w:rFonts w:ascii="Cambria" w:hAnsi="Cambria"/>
          <w:sz w:val="20"/>
          <w:szCs w:val="20"/>
        </w:rPr>
        <w:t xml:space="preserve">, it will analyze </w:t>
      </w:r>
      <w:r>
        <w:rPr>
          <w:rFonts w:ascii="Cambria" w:hAnsi="Cambria"/>
          <w:sz w:val="20"/>
          <w:szCs w:val="20"/>
        </w:rPr>
        <w:t>at</w:t>
      </w:r>
      <w:r w:rsidR="00DD655F" w:rsidRPr="00DD655F">
        <w:rPr>
          <w:rFonts w:ascii="Cambria" w:hAnsi="Cambria"/>
          <w:sz w:val="20"/>
          <w:szCs w:val="20"/>
        </w:rPr>
        <w:t xml:space="preserve"> the merits stage </w:t>
      </w:r>
      <w:r>
        <w:rPr>
          <w:rFonts w:ascii="Cambria" w:hAnsi="Cambria"/>
          <w:sz w:val="20"/>
          <w:szCs w:val="20"/>
        </w:rPr>
        <w:t>whether</w:t>
      </w:r>
      <w:r w:rsidR="00DD655F" w:rsidRPr="00DD655F">
        <w:rPr>
          <w:rFonts w:ascii="Cambria" w:hAnsi="Cambria"/>
          <w:sz w:val="20"/>
          <w:szCs w:val="20"/>
        </w:rPr>
        <w:t xml:space="preserve"> the </w:t>
      </w:r>
      <w:r>
        <w:rPr>
          <w:rFonts w:ascii="Cambria" w:hAnsi="Cambria"/>
          <w:sz w:val="20"/>
          <w:szCs w:val="20"/>
        </w:rPr>
        <w:t>domestic judicial proceedings</w:t>
      </w:r>
      <w:r w:rsidR="00DD655F" w:rsidRPr="00DD655F">
        <w:rPr>
          <w:rFonts w:ascii="Cambria" w:hAnsi="Cambria"/>
          <w:sz w:val="20"/>
          <w:szCs w:val="20"/>
        </w:rPr>
        <w:t xml:space="preserve"> complied with the guarantees of due process and judicial protection </w:t>
      </w:r>
      <w:r>
        <w:rPr>
          <w:rFonts w:ascii="Cambria" w:hAnsi="Cambria"/>
          <w:sz w:val="20"/>
          <w:szCs w:val="20"/>
        </w:rPr>
        <w:t>in</w:t>
      </w:r>
      <w:r w:rsidR="00DD655F" w:rsidRPr="00DD655F">
        <w:rPr>
          <w:rFonts w:ascii="Cambria" w:hAnsi="Cambria"/>
          <w:sz w:val="20"/>
          <w:szCs w:val="20"/>
        </w:rPr>
        <w:t xml:space="preserve"> the co</w:t>
      </w:r>
      <w:r>
        <w:rPr>
          <w:rFonts w:ascii="Cambria" w:hAnsi="Cambria"/>
          <w:sz w:val="20"/>
          <w:szCs w:val="20"/>
        </w:rPr>
        <w:t>ntentious administrative process</w:t>
      </w:r>
      <w:r w:rsidR="00DD655F">
        <w:rPr>
          <w:rFonts w:ascii="Cambria" w:hAnsi="Cambria"/>
          <w:sz w:val="20"/>
          <w:szCs w:val="20"/>
        </w:rPr>
        <w:t>.</w:t>
      </w:r>
    </w:p>
    <w:p w:rsidR="004C3BE2" w:rsidRDefault="00DD655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655F">
        <w:rPr>
          <w:rFonts w:ascii="Cambria" w:hAnsi="Cambria"/>
          <w:sz w:val="20"/>
          <w:szCs w:val="20"/>
        </w:rPr>
        <w:t xml:space="preserve">With respect to the alleged violation of the American Declaration, the Commission has previously established that, once the American Convention enters into force in relation to a State, </w:t>
      </w:r>
      <w:r w:rsidR="00F2330C">
        <w:rPr>
          <w:rFonts w:ascii="Cambria" w:hAnsi="Cambria"/>
          <w:sz w:val="20"/>
          <w:szCs w:val="20"/>
        </w:rPr>
        <w:t>the Convention</w:t>
      </w:r>
      <w:r w:rsidRPr="00DD655F">
        <w:rPr>
          <w:rFonts w:ascii="Cambria" w:hAnsi="Cambria"/>
          <w:sz w:val="20"/>
          <w:szCs w:val="20"/>
        </w:rPr>
        <w:t xml:space="preserve"> </w:t>
      </w:r>
      <w:r w:rsidR="008A745E" w:rsidRPr="00DD655F">
        <w:rPr>
          <w:rFonts w:ascii="Cambria" w:hAnsi="Cambria"/>
          <w:sz w:val="20"/>
          <w:szCs w:val="20"/>
        </w:rPr>
        <w:t xml:space="preserve">and not the Declaration </w:t>
      </w:r>
      <w:r w:rsidRPr="00DD655F">
        <w:rPr>
          <w:rFonts w:ascii="Cambria" w:hAnsi="Cambria"/>
          <w:sz w:val="20"/>
          <w:szCs w:val="20"/>
        </w:rPr>
        <w:t xml:space="preserve">becomes the primary source of </w:t>
      </w:r>
      <w:r w:rsidR="008A745E">
        <w:rPr>
          <w:rFonts w:ascii="Cambria" w:hAnsi="Cambria"/>
          <w:sz w:val="20"/>
          <w:szCs w:val="20"/>
        </w:rPr>
        <w:t>law applied by the</w:t>
      </w:r>
      <w:r w:rsidRPr="00DD655F">
        <w:rPr>
          <w:rFonts w:ascii="Cambria" w:hAnsi="Cambria"/>
          <w:sz w:val="20"/>
          <w:szCs w:val="20"/>
        </w:rPr>
        <w:t xml:space="preserve"> Commission, provided that the petition refers to the alleged violation of identical rights in both instruments. In the present case, the </w:t>
      </w:r>
      <w:r w:rsidR="00F2330C">
        <w:rPr>
          <w:rFonts w:ascii="Cambria" w:hAnsi="Cambria"/>
          <w:sz w:val="20"/>
          <w:szCs w:val="20"/>
        </w:rPr>
        <w:t>claims under</w:t>
      </w:r>
      <w:r w:rsidRPr="00DD655F">
        <w:rPr>
          <w:rFonts w:ascii="Cambria" w:hAnsi="Cambria"/>
          <w:sz w:val="20"/>
          <w:szCs w:val="20"/>
        </w:rPr>
        <w:t xml:space="preserve"> the American Declaration are prot</w:t>
      </w:r>
      <w:r w:rsidR="008A745E">
        <w:rPr>
          <w:rFonts w:ascii="Cambria" w:hAnsi="Cambria"/>
          <w:sz w:val="20"/>
          <w:szCs w:val="20"/>
        </w:rPr>
        <w:t>ected in the Convention in its A</w:t>
      </w:r>
      <w:r w:rsidRPr="00DD655F">
        <w:rPr>
          <w:rFonts w:ascii="Cambria" w:hAnsi="Cambria"/>
          <w:sz w:val="20"/>
          <w:szCs w:val="20"/>
        </w:rPr>
        <w:t>rticles 4, 5, 11, 17, 21, 22 and 26</w:t>
      </w:r>
      <w:r>
        <w:rPr>
          <w:rFonts w:ascii="Cambria" w:hAnsi="Cambria"/>
          <w:sz w:val="20"/>
          <w:szCs w:val="20"/>
        </w:rPr>
        <w:t>.</w:t>
      </w:r>
    </w:p>
    <w:p w:rsidR="004C3BE2" w:rsidRPr="000B6B7A" w:rsidRDefault="008A745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With respect to the</w:t>
      </w:r>
      <w:r w:rsidR="00DD655F" w:rsidRPr="00DD655F">
        <w:rPr>
          <w:rFonts w:ascii="Cambria" w:hAnsi="Cambria"/>
          <w:sz w:val="20"/>
          <w:szCs w:val="20"/>
        </w:rPr>
        <w:t xml:space="preserve"> claims on alleged violations of Article 11 (</w:t>
      </w:r>
      <w:r>
        <w:rPr>
          <w:rFonts w:ascii="Cambria" w:hAnsi="Cambria"/>
          <w:sz w:val="20"/>
          <w:szCs w:val="20"/>
        </w:rPr>
        <w:t>right to privacy</w:t>
      </w:r>
      <w:r w:rsidR="00DD655F" w:rsidRPr="00DD655F">
        <w:rPr>
          <w:rFonts w:ascii="Cambria" w:hAnsi="Cambria"/>
          <w:sz w:val="20"/>
          <w:szCs w:val="20"/>
        </w:rPr>
        <w:t xml:space="preserve">) of the American Convention and the rights to life, </w:t>
      </w:r>
      <w:r>
        <w:rPr>
          <w:rFonts w:ascii="Cambria" w:hAnsi="Cambria"/>
          <w:sz w:val="20"/>
          <w:szCs w:val="20"/>
        </w:rPr>
        <w:t xml:space="preserve">personal </w:t>
      </w:r>
      <w:r w:rsidR="00DD655F" w:rsidRPr="00DD655F">
        <w:rPr>
          <w:rFonts w:ascii="Cambria" w:hAnsi="Cambria"/>
          <w:sz w:val="20"/>
          <w:szCs w:val="20"/>
        </w:rPr>
        <w:t xml:space="preserve">liberty,; protection of </w:t>
      </w:r>
      <w:r w:rsidR="0006081C">
        <w:rPr>
          <w:rFonts w:ascii="Cambria" w:hAnsi="Cambria"/>
          <w:sz w:val="20"/>
          <w:szCs w:val="20"/>
        </w:rPr>
        <w:t xml:space="preserve">the right to </w:t>
      </w:r>
      <w:r w:rsidR="005E7F2D">
        <w:rPr>
          <w:rFonts w:ascii="Cambria" w:hAnsi="Cambria"/>
          <w:sz w:val="20"/>
          <w:szCs w:val="20"/>
        </w:rPr>
        <w:t>honor</w:t>
      </w:r>
      <w:r w:rsidR="00DD655F" w:rsidRPr="00DD655F">
        <w:rPr>
          <w:rFonts w:ascii="Cambria" w:hAnsi="Cambria"/>
          <w:sz w:val="20"/>
          <w:szCs w:val="20"/>
        </w:rPr>
        <w:t xml:space="preserve">, personal reputation and private and family life; </w:t>
      </w:r>
      <w:r w:rsidR="005E7F2D">
        <w:rPr>
          <w:rFonts w:ascii="Cambria" w:hAnsi="Cambria"/>
          <w:sz w:val="20"/>
          <w:szCs w:val="20"/>
        </w:rPr>
        <w:t>right to freedom of residence and movement</w:t>
      </w:r>
      <w:r w:rsidR="00DD655F" w:rsidRPr="00DD655F">
        <w:rPr>
          <w:rFonts w:ascii="Cambria" w:hAnsi="Cambria"/>
          <w:sz w:val="20"/>
          <w:szCs w:val="20"/>
        </w:rPr>
        <w:t xml:space="preserve">; preservation of health and </w:t>
      </w:r>
      <w:r w:rsidR="005E7F2D">
        <w:rPr>
          <w:rFonts w:ascii="Cambria" w:hAnsi="Cambria"/>
          <w:sz w:val="20"/>
          <w:szCs w:val="20"/>
        </w:rPr>
        <w:t>to well-being</w:t>
      </w:r>
      <w:r w:rsidR="00DD655F" w:rsidRPr="00DD655F">
        <w:rPr>
          <w:rFonts w:ascii="Cambria" w:hAnsi="Cambria"/>
          <w:sz w:val="20"/>
          <w:szCs w:val="20"/>
        </w:rPr>
        <w:t xml:space="preserve"> and benefits of culture, the Commission notes that the petitioners have not </w:t>
      </w:r>
      <w:r w:rsidR="00F2330C">
        <w:rPr>
          <w:rFonts w:ascii="Cambria" w:hAnsi="Cambria"/>
          <w:sz w:val="20"/>
          <w:szCs w:val="20"/>
        </w:rPr>
        <w:t>submitted sufficient</w:t>
      </w:r>
      <w:r w:rsidR="00DD655F" w:rsidRPr="00DD655F">
        <w:rPr>
          <w:rFonts w:ascii="Cambria" w:hAnsi="Cambria"/>
          <w:sz w:val="20"/>
          <w:szCs w:val="20"/>
        </w:rPr>
        <w:t xml:space="preserve"> allegations or </w:t>
      </w:r>
      <w:r w:rsidR="00F2330C">
        <w:rPr>
          <w:rFonts w:ascii="Cambria" w:hAnsi="Cambria"/>
          <w:sz w:val="20"/>
          <w:szCs w:val="20"/>
        </w:rPr>
        <w:t>evidence</w:t>
      </w:r>
      <w:r w:rsidR="00DD655F" w:rsidRPr="00DD655F">
        <w:rPr>
          <w:rFonts w:ascii="Cambria" w:hAnsi="Cambria"/>
          <w:sz w:val="20"/>
          <w:szCs w:val="20"/>
        </w:rPr>
        <w:t xml:space="preserve"> to </w:t>
      </w:r>
      <w:r w:rsidR="00F2330C">
        <w:rPr>
          <w:rFonts w:ascii="Cambria" w:hAnsi="Cambria"/>
          <w:sz w:val="20"/>
          <w:szCs w:val="20"/>
        </w:rPr>
        <w:t>consider</w:t>
      </w:r>
      <w:r w:rsidR="00DD655F" w:rsidRPr="00DD655F">
        <w:rPr>
          <w:rFonts w:ascii="Cambria" w:hAnsi="Cambria"/>
          <w:sz w:val="20"/>
          <w:szCs w:val="20"/>
        </w:rPr>
        <w:t xml:space="preserve"> </w:t>
      </w:r>
      <w:r w:rsidR="00DD655F" w:rsidRPr="008A745E">
        <w:rPr>
          <w:rFonts w:ascii="Cambria" w:hAnsi="Cambria"/>
          <w:i/>
          <w:sz w:val="20"/>
          <w:szCs w:val="20"/>
        </w:rPr>
        <w:t>prima facie</w:t>
      </w:r>
      <w:r w:rsidR="00DD655F" w:rsidRPr="00DD655F">
        <w:rPr>
          <w:rFonts w:ascii="Cambria" w:hAnsi="Cambria"/>
          <w:sz w:val="20"/>
          <w:szCs w:val="20"/>
        </w:rPr>
        <w:t xml:space="preserve"> their possible violation</w:t>
      </w:r>
      <w:r w:rsidR="00DD655F">
        <w:rPr>
          <w:rFonts w:ascii="Cambria" w:hAnsi="Cambria"/>
          <w:sz w:val="20"/>
          <w:szCs w:val="20"/>
        </w:rPr>
        <w:t>.</w:t>
      </w:r>
    </w:p>
    <w:p w:rsidR="00E25CCE" w:rsidRDefault="00E25CCE" w:rsidP="00F621C3">
      <w:pPr>
        <w:pStyle w:val="ListParagraph"/>
        <w:spacing w:before="240" w:after="240"/>
        <w:jc w:val="both"/>
        <w:rPr>
          <w:rFonts w:asciiTheme="majorHAnsi" w:hAnsiTheme="majorHAnsi"/>
          <w:b/>
          <w:bCs/>
          <w:sz w:val="20"/>
          <w:szCs w:val="20"/>
        </w:rPr>
      </w:pPr>
    </w:p>
    <w:p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lastRenderedPageBreak/>
        <w:t xml:space="preserve">VIII. </w:t>
      </w:r>
      <w:r w:rsidRPr="000B6B7A">
        <w:rPr>
          <w:rFonts w:asciiTheme="majorHAnsi" w:hAnsiTheme="majorHAnsi"/>
          <w:b/>
          <w:bCs/>
          <w:sz w:val="20"/>
          <w:szCs w:val="20"/>
        </w:rPr>
        <w:tab/>
        <w:t>DECISION</w:t>
      </w:r>
    </w:p>
    <w:p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find the instant petition admiss</w:t>
      </w:r>
      <w:r w:rsidR="004C3BE2">
        <w:rPr>
          <w:rFonts w:asciiTheme="majorHAnsi" w:hAnsiTheme="majorHAnsi"/>
          <w:sz w:val="20"/>
          <w:szCs w:val="20"/>
        </w:rPr>
        <w:t>ible in relation to Articles 5, 8 and 25 of the American Convention in relation to Article 1.1</w:t>
      </w:r>
      <w:r w:rsidRPr="000B6B7A">
        <w:rPr>
          <w:rFonts w:asciiTheme="majorHAnsi" w:hAnsiTheme="majorHAnsi"/>
          <w:sz w:val="20"/>
          <w:szCs w:val="20"/>
        </w:rPr>
        <w:t>;</w:t>
      </w:r>
    </w:p>
    <w:p w:rsidR="00F621C3" w:rsidRPr="000B6B7A" w:rsidRDefault="00F621C3" w:rsidP="00F621C3">
      <w:pPr>
        <w:pStyle w:val="ListParagraph"/>
        <w:numPr>
          <w:ilvl w:val="0"/>
          <w:numId w:val="105"/>
        </w:numPr>
        <w:rPr>
          <w:rFonts w:eastAsia="Arial Unicode MS" w:cs="Times New Roman"/>
          <w:color w:val="auto"/>
          <w:sz w:val="20"/>
          <w:szCs w:val="20"/>
          <w:lang w:eastAsia="en-US"/>
        </w:rPr>
      </w:pPr>
      <w:r w:rsidRPr="000B6B7A">
        <w:rPr>
          <w:rFonts w:asciiTheme="majorHAnsi" w:hAnsiTheme="majorHAnsi"/>
          <w:sz w:val="20"/>
          <w:szCs w:val="20"/>
        </w:rPr>
        <w:t>To find the instant petition</w:t>
      </w:r>
      <w:r w:rsidRPr="00C8408D">
        <w:rPr>
          <w:rFonts w:asciiTheme="majorHAnsi" w:hAnsiTheme="majorHAnsi"/>
          <w:color w:val="auto"/>
          <w:sz w:val="20"/>
          <w:szCs w:val="20"/>
        </w:rPr>
        <w:t xml:space="preserve"> inadmissible </w:t>
      </w:r>
      <w:r w:rsidRPr="000B6B7A">
        <w:rPr>
          <w:rFonts w:asciiTheme="majorHAnsi" w:hAnsiTheme="majorHAnsi"/>
          <w:sz w:val="20"/>
          <w:szCs w:val="20"/>
        </w:rPr>
        <w:t>in relation to Article</w:t>
      </w:r>
      <w:r w:rsidR="004C3BE2">
        <w:rPr>
          <w:rFonts w:asciiTheme="majorHAnsi" w:hAnsiTheme="majorHAnsi"/>
          <w:sz w:val="20"/>
          <w:szCs w:val="20"/>
        </w:rPr>
        <w:t xml:space="preserve"> 11 of the American Convention and the rights to life, </w:t>
      </w:r>
      <w:r w:rsidR="008A745E">
        <w:rPr>
          <w:rFonts w:asciiTheme="majorHAnsi" w:hAnsiTheme="majorHAnsi"/>
          <w:sz w:val="20"/>
          <w:szCs w:val="20"/>
        </w:rPr>
        <w:t xml:space="preserve">personal </w:t>
      </w:r>
      <w:r w:rsidR="004C3BE2">
        <w:rPr>
          <w:rFonts w:asciiTheme="majorHAnsi" w:hAnsiTheme="majorHAnsi"/>
          <w:sz w:val="20"/>
          <w:szCs w:val="20"/>
        </w:rPr>
        <w:t xml:space="preserve">liberty, </w:t>
      </w:r>
      <w:r w:rsidR="005E7F2D">
        <w:rPr>
          <w:bCs/>
          <w:sz w:val="20"/>
          <w:szCs w:val="20"/>
        </w:rPr>
        <w:t>the right to honor</w:t>
      </w:r>
      <w:r w:rsidR="004C3BE2">
        <w:rPr>
          <w:bCs/>
          <w:sz w:val="20"/>
          <w:szCs w:val="20"/>
        </w:rPr>
        <w:t xml:space="preserve">, personal reputation and private and family life; the right to </w:t>
      </w:r>
      <w:r w:rsidR="008A745E">
        <w:rPr>
          <w:bCs/>
          <w:sz w:val="20"/>
          <w:szCs w:val="20"/>
        </w:rPr>
        <w:t>freedom of movement and residence</w:t>
      </w:r>
      <w:r w:rsidR="004C3BE2">
        <w:rPr>
          <w:bCs/>
          <w:sz w:val="20"/>
          <w:szCs w:val="20"/>
        </w:rPr>
        <w:t>; the right to the preservation of health and to well-being and the right to the benefits of culture.</w:t>
      </w:r>
    </w:p>
    <w:p w:rsidR="00F621C3" w:rsidRPr="000B6B7A" w:rsidRDefault="00F621C3" w:rsidP="00F621C3">
      <w:pPr>
        <w:pStyle w:val="ListParagraph"/>
        <w:rPr>
          <w:rFonts w:eastAsia="Arial Unicode MS" w:cs="Times New Roman"/>
          <w:color w:val="auto"/>
          <w:sz w:val="20"/>
          <w:szCs w:val="20"/>
          <w:lang w:eastAsia="en-US"/>
        </w:rPr>
      </w:pPr>
    </w:p>
    <w:p w:rsidR="00F621C3" w:rsidRPr="001F1902"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To notify the parties of this decision;</w:t>
      </w:r>
      <w:r w:rsidR="001F1902" w:rsidRPr="001F1902">
        <w:rPr>
          <w:rFonts w:asciiTheme="majorHAnsi" w:hAnsiTheme="majorHAnsi"/>
          <w:sz w:val="20"/>
          <w:szCs w:val="20"/>
        </w:rPr>
        <w:t xml:space="preserve"> t</w:t>
      </w:r>
      <w:r w:rsidRPr="001F1902">
        <w:rPr>
          <w:rFonts w:asciiTheme="majorHAnsi" w:hAnsiTheme="majorHAnsi"/>
          <w:sz w:val="20"/>
          <w:szCs w:val="20"/>
        </w:rPr>
        <w:t xml:space="preserve">o continue with the analysis on the merits;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rsidR="00E25CCE" w:rsidRPr="00A809F0" w:rsidRDefault="00E25CCE" w:rsidP="00E25CCE">
      <w:pPr>
        <w:ind w:firstLine="720"/>
        <w:jc w:val="both"/>
        <w:rPr>
          <w:rFonts w:ascii="Cambria" w:hAnsi="Cambria"/>
        </w:rPr>
      </w:pPr>
      <w:bookmarkStart w:id="1" w:name="_Hlk2413798"/>
      <w:r w:rsidRPr="00A809F0">
        <w:rPr>
          <w:rFonts w:ascii="Cambria" w:hAnsi="Cambria"/>
          <w:sz w:val="20"/>
          <w:szCs w:val="20"/>
        </w:rPr>
        <w:t xml:space="preserve">Approved by the Inter-American Commission on Human Rights on the </w:t>
      </w:r>
      <w:r w:rsidR="00CC6391">
        <w:rPr>
          <w:rFonts w:ascii="Cambria" w:hAnsi="Cambria"/>
          <w:sz w:val="20"/>
          <w:szCs w:val="20"/>
        </w:rPr>
        <w:t>26</w:t>
      </w:r>
      <w:r w:rsidR="00CC6391" w:rsidRPr="00CC6391">
        <w:rPr>
          <w:rFonts w:ascii="Cambria" w:hAnsi="Cambria"/>
          <w:sz w:val="20"/>
          <w:szCs w:val="20"/>
          <w:vertAlign w:val="superscript"/>
        </w:rPr>
        <w:t>th</w:t>
      </w:r>
      <w:r w:rsidR="00CC6391">
        <w:rPr>
          <w:rFonts w:ascii="Cambria" w:hAnsi="Cambria"/>
          <w:sz w:val="20"/>
          <w:szCs w:val="20"/>
        </w:rPr>
        <w:t xml:space="preserve"> </w:t>
      </w:r>
      <w:r w:rsidRPr="00A809F0">
        <w:rPr>
          <w:rFonts w:ascii="Cambria" w:hAnsi="Cambria"/>
          <w:sz w:val="20"/>
          <w:szCs w:val="20"/>
        </w:rPr>
        <w:t xml:space="preserve">day of the month of </w:t>
      </w:r>
      <w:r w:rsidR="00CC6391">
        <w:rPr>
          <w:rFonts w:ascii="Cambria" w:hAnsi="Cambria"/>
          <w:sz w:val="20"/>
          <w:szCs w:val="20"/>
        </w:rPr>
        <w:t>December</w:t>
      </w:r>
      <w:r w:rsidRPr="00A809F0">
        <w:rPr>
          <w:rFonts w:ascii="Cambria" w:hAnsi="Cambria"/>
          <w:sz w:val="20"/>
          <w:szCs w:val="20"/>
        </w:rPr>
        <w:t xml:space="preserve">, 2018. (Signed):  Margarette May Macaulay, President; Esmeralda E. </w:t>
      </w:r>
      <w:proofErr w:type="spellStart"/>
      <w:r w:rsidRPr="00A809F0">
        <w:rPr>
          <w:rFonts w:ascii="Cambria" w:hAnsi="Cambria"/>
          <w:sz w:val="20"/>
          <w:szCs w:val="20"/>
        </w:rPr>
        <w:t>Arosemena</w:t>
      </w:r>
      <w:proofErr w:type="spellEnd"/>
      <w:r w:rsidRPr="00A809F0">
        <w:rPr>
          <w:rFonts w:ascii="Cambria" w:hAnsi="Cambria"/>
          <w:sz w:val="20"/>
          <w:szCs w:val="20"/>
        </w:rPr>
        <w:t xml:space="preserve"> Bernal de </w:t>
      </w:r>
      <w:proofErr w:type="spellStart"/>
      <w:r w:rsidRPr="00A809F0">
        <w:rPr>
          <w:rFonts w:ascii="Cambria" w:hAnsi="Cambria"/>
          <w:sz w:val="20"/>
          <w:szCs w:val="20"/>
        </w:rPr>
        <w:t>Troitiño</w:t>
      </w:r>
      <w:proofErr w:type="spellEnd"/>
      <w:r w:rsidRPr="00A809F0">
        <w:rPr>
          <w:rFonts w:ascii="Cambria" w:hAnsi="Cambria"/>
          <w:sz w:val="20"/>
          <w:szCs w:val="20"/>
        </w:rPr>
        <w:t xml:space="preserve">, First Vice President; Francisco José Eguiguren Praeli, Joel Hernández García, Antonia Urrejola, and </w:t>
      </w:r>
      <w:proofErr w:type="spellStart"/>
      <w:r w:rsidRPr="00A809F0">
        <w:rPr>
          <w:rFonts w:ascii="Cambria" w:hAnsi="Cambria"/>
          <w:sz w:val="20"/>
          <w:szCs w:val="20"/>
        </w:rPr>
        <w:t>Flávia</w:t>
      </w:r>
      <w:proofErr w:type="spellEnd"/>
      <w:r w:rsidRPr="00A809F0">
        <w:rPr>
          <w:rFonts w:ascii="Cambria" w:hAnsi="Cambria"/>
          <w:sz w:val="20"/>
          <w:szCs w:val="20"/>
        </w:rPr>
        <w:t xml:space="preserve"> </w:t>
      </w:r>
      <w:proofErr w:type="spellStart"/>
      <w:r w:rsidRPr="00A809F0">
        <w:rPr>
          <w:rFonts w:ascii="Cambria" w:hAnsi="Cambria"/>
          <w:sz w:val="20"/>
          <w:szCs w:val="20"/>
        </w:rPr>
        <w:t>Piovesan</w:t>
      </w:r>
      <w:proofErr w:type="spellEnd"/>
      <w:r w:rsidRPr="00A809F0">
        <w:rPr>
          <w:rFonts w:ascii="Cambria" w:hAnsi="Cambria"/>
          <w:sz w:val="20"/>
          <w:szCs w:val="20"/>
        </w:rPr>
        <w:t>, Commissioners.</w:t>
      </w:r>
      <w:bookmarkEnd w:id="1"/>
    </w:p>
    <w:p w:rsidR="00F621C3" w:rsidRPr="000B6B7A" w:rsidRDefault="00F621C3" w:rsidP="00F621C3">
      <w:pPr>
        <w:pStyle w:val="ListParagraph"/>
        <w:suppressAutoHyphens/>
        <w:spacing w:before="240" w:after="240"/>
        <w:jc w:val="both"/>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tabs>
          <w:tab w:val="center" w:pos="5400"/>
        </w:tabs>
        <w:suppressAutoHyphens/>
        <w:spacing w:line="276" w:lineRule="auto"/>
        <w:rPr>
          <w:rFonts w:asciiTheme="majorHAnsi" w:hAnsiTheme="majorHAnsi"/>
          <w:sz w:val="20"/>
          <w:szCs w:val="20"/>
        </w:rPr>
      </w:pPr>
    </w:p>
    <w:p w:rsidR="00F621C3" w:rsidRPr="000B6B7A" w:rsidRDefault="00F621C3" w:rsidP="00F621C3">
      <w:pPr>
        <w:rPr>
          <w:rFonts w:ascii="Cambria" w:hAnsi="Cambria" w:cs="Calibri"/>
          <w:sz w:val="20"/>
          <w:szCs w:val="20"/>
        </w:rPr>
      </w:pPr>
    </w:p>
    <w:p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DC" w:rsidRDefault="00E63CDC" w:rsidP="00036A8A">
      <w:r>
        <w:separator/>
      </w:r>
    </w:p>
  </w:endnote>
  <w:endnote w:type="continuationSeparator" w:id="0">
    <w:p w:rsidR="00E63CDC" w:rsidRDefault="00E63CD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1C" w:rsidRDefault="00DB3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rsidR="00C8304C" w:rsidRPr="006311DA" w:rsidRDefault="00C8304C">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B321C">
          <w:rPr>
            <w:noProof/>
            <w:sz w:val="16"/>
          </w:rPr>
          <w:t>3</w:t>
        </w:r>
        <w:r w:rsidRPr="006311DA">
          <w:rPr>
            <w:noProof/>
            <w:sz w:val="16"/>
          </w:rPr>
          <w:fldChar w:fldCharType="end"/>
        </w:r>
      </w:p>
    </w:sdtContent>
  </w:sdt>
  <w:p w:rsidR="00C8304C" w:rsidRDefault="00C830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04C" w:rsidRDefault="00C8304C">
    <w:pPr>
      <w:pStyle w:val="Footer"/>
      <w:jc w:val="center"/>
    </w:pPr>
  </w:p>
  <w:p w:rsidR="00C8304C" w:rsidRDefault="00C830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DC" w:rsidRPr="00036A8A" w:rsidRDefault="00E63CD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E63CDC" w:rsidRPr="00036A8A" w:rsidRDefault="00E63CDC" w:rsidP="00036A8A">
      <w:pPr>
        <w:rPr>
          <w:rFonts w:asciiTheme="majorHAnsi" w:hAnsiTheme="majorHAnsi"/>
          <w:sz w:val="16"/>
          <w:szCs w:val="16"/>
        </w:rPr>
      </w:pPr>
      <w:r w:rsidRPr="00036A8A">
        <w:rPr>
          <w:rFonts w:asciiTheme="majorHAnsi" w:hAnsiTheme="majorHAnsi"/>
          <w:sz w:val="16"/>
          <w:szCs w:val="16"/>
        </w:rPr>
        <w:separator/>
      </w:r>
    </w:p>
    <w:p w:rsidR="00E63CDC" w:rsidRPr="00036A8A" w:rsidRDefault="00E63CD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E63CDC" w:rsidRPr="0093441A" w:rsidRDefault="00E63CD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C8304C" w:rsidRPr="00C8408D" w:rsidRDefault="00C8304C" w:rsidP="00683336">
      <w:pPr>
        <w:pStyle w:val="FootnoteText"/>
        <w:jc w:val="both"/>
        <w:rPr>
          <w:rFonts w:asciiTheme="majorHAnsi" w:hAnsiTheme="majorHAnsi"/>
          <w:sz w:val="16"/>
          <w:szCs w:val="16"/>
        </w:rPr>
      </w:pPr>
      <w:r>
        <w:rPr>
          <w:lang w:val="es-ES"/>
        </w:rPr>
        <w:tab/>
      </w:r>
      <w:r w:rsidRPr="00EB3307">
        <w:rPr>
          <w:rStyle w:val="FootnoteReference"/>
          <w:rFonts w:asciiTheme="majorHAnsi" w:hAnsiTheme="majorHAnsi"/>
          <w:sz w:val="16"/>
          <w:szCs w:val="16"/>
        </w:rPr>
        <w:footnoteRef/>
      </w:r>
      <w:r w:rsidRPr="00C8408D">
        <w:rPr>
          <w:rFonts w:asciiTheme="majorHAnsi" w:hAnsiTheme="majorHAnsi"/>
          <w:sz w:val="16"/>
          <w:szCs w:val="16"/>
        </w:rPr>
        <w:t xml:space="preserve"> The petition was filed on behalf of Mr. </w:t>
      </w:r>
      <w:proofErr w:type="spellStart"/>
      <w:r w:rsidRPr="00C8408D">
        <w:rPr>
          <w:rFonts w:asciiTheme="majorHAnsi" w:hAnsiTheme="majorHAnsi"/>
          <w:bCs/>
          <w:sz w:val="16"/>
          <w:szCs w:val="16"/>
        </w:rPr>
        <w:t>Atanasio</w:t>
      </w:r>
      <w:proofErr w:type="spellEnd"/>
      <w:r w:rsidRPr="00C8408D">
        <w:rPr>
          <w:rFonts w:asciiTheme="majorHAnsi" w:hAnsiTheme="majorHAnsi"/>
          <w:bCs/>
          <w:sz w:val="16"/>
          <w:szCs w:val="16"/>
        </w:rPr>
        <w:t xml:space="preserve"> </w:t>
      </w:r>
      <w:proofErr w:type="spellStart"/>
      <w:r w:rsidRPr="00C8408D">
        <w:rPr>
          <w:rFonts w:asciiTheme="majorHAnsi" w:hAnsiTheme="majorHAnsi"/>
          <w:bCs/>
          <w:sz w:val="16"/>
          <w:szCs w:val="16"/>
        </w:rPr>
        <w:t>Galvis</w:t>
      </w:r>
      <w:proofErr w:type="spellEnd"/>
      <w:r w:rsidRPr="00C8408D">
        <w:rPr>
          <w:rFonts w:asciiTheme="majorHAnsi" w:hAnsiTheme="majorHAnsi"/>
          <w:bCs/>
          <w:sz w:val="16"/>
          <w:szCs w:val="16"/>
        </w:rPr>
        <w:t xml:space="preserve"> Quintero and his three children </w:t>
      </w:r>
      <w:r w:rsidRPr="00C8408D">
        <w:rPr>
          <w:rFonts w:asciiTheme="majorHAnsi" w:hAnsiTheme="majorHAnsi"/>
          <w:sz w:val="16"/>
          <w:szCs w:val="16"/>
        </w:rPr>
        <w:t xml:space="preserve">Wilson Alejandro </w:t>
      </w:r>
      <w:proofErr w:type="spellStart"/>
      <w:r w:rsidRPr="00C8408D">
        <w:rPr>
          <w:rFonts w:asciiTheme="majorHAnsi" w:hAnsiTheme="majorHAnsi"/>
          <w:sz w:val="16"/>
          <w:szCs w:val="16"/>
        </w:rPr>
        <w:t>Galvis</w:t>
      </w:r>
      <w:proofErr w:type="spellEnd"/>
      <w:r w:rsidRPr="00C8408D">
        <w:rPr>
          <w:rFonts w:asciiTheme="majorHAnsi" w:hAnsiTheme="majorHAnsi"/>
          <w:sz w:val="16"/>
          <w:szCs w:val="16"/>
        </w:rPr>
        <w:t xml:space="preserve"> Klinger, Juan Gabriel </w:t>
      </w:r>
      <w:proofErr w:type="spellStart"/>
      <w:r w:rsidRPr="00C8408D">
        <w:rPr>
          <w:rFonts w:asciiTheme="majorHAnsi" w:hAnsiTheme="majorHAnsi"/>
          <w:sz w:val="16"/>
          <w:szCs w:val="16"/>
        </w:rPr>
        <w:t>Galvis</w:t>
      </w:r>
      <w:proofErr w:type="spellEnd"/>
      <w:r w:rsidRPr="00C8408D">
        <w:rPr>
          <w:rFonts w:asciiTheme="majorHAnsi" w:hAnsiTheme="majorHAnsi"/>
          <w:sz w:val="16"/>
          <w:szCs w:val="16"/>
        </w:rPr>
        <w:t xml:space="preserve"> Klinger and Pablo Andrés </w:t>
      </w:r>
      <w:proofErr w:type="spellStart"/>
      <w:r w:rsidRPr="00C8408D">
        <w:rPr>
          <w:rFonts w:asciiTheme="majorHAnsi" w:hAnsiTheme="majorHAnsi"/>
          <w:sz w:val="16"/>
          <w:szCs w:val="16"/>
        </w:rPr>
        <w:t>Galvis</w:t>
      </w:r>
      <w:proofErr w:type="spellEnd"/>
      <w:r w:rsidRPr="00C8408D">
        <w:rPr>
          <w:rFonts w:asciiTheme="majorHAnsi" w:hAnsiTheme="majorHAnsi"/>
          <w:sz w:val="16"/>
          <w:szCs w:val="16"/>
        </w:rPr>
        <w:t xml:space="preserve"> Klinger.  The petition indicates that Juan Gabriel and Pablo Andrés were minors at the time of the events.</w:t>
      </w:r>
    </w:p>
  </w:footnote>
  <w:footnote w:id="3">
    <w:p w:rsidR="00C8304C" w:rsidRPr="00C8408D" w:rsidRDefault="00C8304C" w:rsidP="00683336">
      <w:pPr>
        <w:pStyle w:val="FootnoteText"/>
        <w:ind w:firstLine="720"/>
        <w:jc w:val="both"/>
        <w:rPr>
          <w:rFonts w:asciiTheme="majorHAnsi" w:hAnsiTheme="majorHAnsi"/>
          <w:sz w:val="16"/>
          <w:szCs w:val="16"/>
        </w:rPr>
      </w:pPr>
      <w:r w:rsidRPr="00EB3307">
        <w:rPr>
          <w:rStyle w:val="FootnoteReference"/>
          <w:rFonts w:asciiTheme="majorHAnsi" w:hAnsiTheme="majorHAnsi"/>
          <w:sz w:val="16"/>
          <w:szCs w:val="16"/>
        </w:rPr>
        <w:footnoteRef/>
      </w:r>
      <w:r w:rsidRPr="00C8408D">
        <w:rPr>
          <w:rFonts w:asciiTheme="majorHAnsi" w:hAnsiTheme="majorHAnsi"/>
          <w:sz w:val="16"/>
          <w:szCs w:val="16"/>
        </w:rPr>
        <w:t xml:space="preserve"> In accordance with the provisions of Article 17.2.</w:t>
      </w:r>
      <w:proofErr w:type="spellStart"/>
      <w:r w:rsidRPr="00C8408D">
        <w:rPr>
          <w:rFonts w:asciiTheme="majorHAnsi" w:hAnsiTheme="majorHAnsi"/>
          <w:sz w:val="16"/>
          <w:szCs w:val="16"/>
        </w:rPr>
        <w:t>a</w:t>
      </w:r>
      <w:proofErr w:type="spellEnd"/>
      <w:r w:rsidRPr="00C8408D">
        <w:rPr>
          <w:rFonts w:asciiTheme="majorHAnsi" w:hAnsiTheme="majorHAnsi"/>
          <w:sz w:val="16"/>
          <w:szCs w:val="16"/>
        </w:rPr>
        <w:t xml:space="preserve"> of the Commission’s Rules of Procedure, Commissioner Luis Ernesto Vargas Silva, of Colombian nationality, did not participate in either the discussion or decision in the present case.</w:t>
      </w:r>
    </w:p>
  </w:footnote>
  <w:footnote w:id="4">
    <w:p w:rsidR="00C8304C" w:rsidRPr="00C8408D" w:rsidRDefault="00C8304C" w:rsidP="00683336">
      <w:pPr>
        <w:pStyle w:val="FootnoteText"/>
        <w:ind w:firstLine="720"/>
        <w:jc w:val="both"/>
        <w:rPr>
          <w:rFonts w:asciiTheme="majorHAnsi" w:hAnsiTheme="majorHAnsi"/>
          <w:sz w:val="16"/>
          <w:szCs w:val="16"/>
        </w:rPr>
      </w:pPr>
      <w:r w:rsidRPr="00EB3307">
        <w:rPr>
          <w:rStyle w:val="FootnoteReference"/>
          <w:rFonts w:asciiTheme="majorHAnsi" w:hAnsiTheme="majorHAnsi"/>
          <w:sz w:val="16"/>
          <w:szCs w:val="16"/>
        </w:rPr>
        <w:footnoteRef/>
      </w:r>
      <w:r w:rsidRPr="00C8408D">
        <w:rPr>
          <w:rFonts w:asciiTheme="majorHAnsi" w:hAnsiTheme="majorHAnsi"/>
          <w:sz w:val="16"/>
          <w:szCs w:val="16"/>
        </w:rPr>
        <w:t xml:space="preserve"> Herein after “the Convention” or “the American Convention”.</w:t>
      </w:r>
    </w:p>
  </w:footnote>
  <w:footnote w:id="5">
    <w:p w:rsidR="00C8304C" w:rsidRPr="00C8408D" w:rsidRDefault="00C8304C" w:rsidP="00683336">
      <w:pPr>
        <w:pStyle w:val="FootnoteText"/>
        <w:jc w:val="both"/>
        <w:rPr>
          <w:rFonts w:asciiTheme="majorHAnsi" w:hAnsiTheme="majorHAnsi"/>
          <w:sz w:val="16"/>
          <w:szCs w:val="16"/>
        </w:rPr>
      </w:pPr>
      <w:r w:rsidRPr="00C8408D">
        <w:rPr>
          <w:rFonts w:asciiTheme="majorHAnsi" w:hAnsiTheme="majorHAnsi"/>
          <w:sz w:val="16"/>
          <w:szCs w:val="16"/>
        </w:rPr>
        <w:tab/>
      </w:r>
      <w:r w:rsidRPr="00EB3307">
        <w:rPr>
          <w:rStyle w:val="FootnoteReference"/>
          <w:rFonts w:asciiTheme="majorHAnsi" w:hAnsiTheme="majorHAnsi"/>
          <w:sz w:val="16"/>
          <w:szCs w:val="16"/>
        </w:rPr>
        <w:footnoteRef/>
      </w:r>
      <w:r w:rsidRPr="00C8408D">
        <w:rPr>
          <w:rFonts w:asciiTheme="majorHAnsi" w:hAnsiTheme="majorHAnsi"/>
          <w:sz w:val="16"/>
          <w:szCs w:val="16"/>
        </w:rPr>
        <w:t xml:space="preserve"> Herein after “the Declaration” or “the American Declaration”.</w:t>
      </w:r>
    </w:p>
  </w:footnote>
  <w:footnote w:id="6">
    <w:p w:rsidR="00C8304C" w:rsidRPr="000B6B7A" w:rsidRDefault="00C8304C"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7">
    <w:p w:rsidR="00C8304C" w:rsidRPr="00C8408D" w:rsidRDefault="00C8304C" w:rsidP="00A8073C">
      <w:pPr>
        <w:pStyle w:val="FootnoteText"/>
        <w:ind w:firstLine="720"/>
        <w:rPr>
          <w:rFonts w:asciiTheme="majorHAnsi" w:hAnsiTheme="majorHAnsi"/>
          <w:sz w:val="16"/>
          <w:szCs w:val="16"/>
        </w:rPr>
      </w:pPr>
      <w:r w:rsidRPr="007336A7">
        <w:rPr>
          <w:rStyle w:val="FootnoteReference"/>
          <w:rFonts w:asciiTheme="majorHAnsi" w:hAnsiTheme="majorHAnsi"/>
          <w:sz w:val="16"/>
          <w:szCs w:val="16"/>
        </w:rPr>
        <w:footnoteRef/>
      </w:r>
      <w:r w:rsidRPr="00C8408D">
        <w:rPr>
          <w:rFonts w:asciiTheme="majorHAnsi" w:hAnsiTheme="majorHAnsi"/>
          <w:sz w:val="16"/>
          <w:szCs w:val="16"/>
        </w:rPr>
        <w:t xml:space="preserve"> Gold in grams was the measure used in monetary judgments prior to 2001 in Colombia.  According to the average rate of exchange for 1995 –given by the Central Bank of Colombia – 1,200 grams of gold were approximately equivalent to 14,520 US dollars.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04C" w:rsidRDefault="00C8304C" w:rsidP="00E17D3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C8304C" w:rsidRDefault="00C83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04C" w:rsidRDefault="00C8304C"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C8304C" w:rsidRPr="00EC7D62" w:rsidRDefault="00E63CDC"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21C" w:rsidRDefault="00DB3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1A1C"/>
    <w:rsid w:val="0003501A"/>
    <w:rsid w:val="00036A8A"/>
    <w:rsid w:val="00040C3A"/>
    <w:rsid w:val="0006081C"/>
    <w:rsid w:val="000639C0"/>
    <w:rsid w:val="00070F3A"/>
    <w:rsid w:val="000716C5"/>
    <w:rsid w:val="00075E23"/>
    <w:rsid w:val="00077CAE"/>
    <w:rsid w:val="00092F32"/>
    <w:rsid w:val="0009344A"/>
    <w:rsid w:val="000A575F"/>
    <w:rsid w:val="000C4365"/>
    <w:rsid w:val="000D10DB"/>
    <w:rsid w:val="00100FB8"/>
    <w:rsid w:val="00106D25"/>
    <w:rsid w:val="00124116"/>
    <w:rsid w:val="0013104F"/>
    <w:rsid w:val="00137EBA"/>
    <w:rsid w:val="00145EDC"/>
    <w:rsid w:val="00153084"/>
    <w:rsid w:val="00167A34"/>
    <w:rsid w:val="001714B4"/>
    <w:rsid w:val="0017549C"/>
    <w:rsid w:val="0018037F"/>
    <w:rsid w:val="001824FE"/>
    <w:rsid w:val="001961FF"/>
    <w:rsid w:val="001A1C54"/>
    <w:rsid w:val="001A5F27"/>
    <w:rsid w:val="001A65E4"/>
    <w:rsid w:val="001A7870"/>
    <w:rsid w:val="001C1B41"/>
    <w:rsid w:val="001E366B"/>
    <w:rsid w:val="001F1902"/>
    <w:rsid w:val="001F6A34"/>
    <w:rsid w:val="002107EC"/>
    <w:rsid w:val="00210E0E"/>
    <w:rsid w:val="00210F4B"/>
    <w:rsid w:val="00230163"/>
    <w:rsid w:val="002306F2"/>
    <w:rsid w:val="0023351C"/>
    <w:rsid w:val="00247403"/>
    <w:rsid w:val="00247542"/>
    <w:rsid w:val="00257893"/>
    <w:rsid w:val="0026241A"/>
    <w:rsid w:val="00266092"/>
    <w:rsid w:val="00266B61"/>
    <w:rsid w:val="0026712A"/>
    <w:rsid w:val="002704DB"/>
    <w:rsid w:val="002760CE"/>
    <w:rsid w:val="002B7A85"/>
    <w:rsid w:val="002C0669"/>
    <w:rsid w:val="002C1641"/>
    <w:rsid w:val="002C764D"/>
    <w:rsid w:val="002D7058"/>
    <w:rsid w:val="002D7EA2"/>
    <w:rsid w:val="002E15DF"/>
    <w:rsid w:val="002E187C"/>
    <w:rsid w:val="002E6E57"/>
    <w:rsid w:val="00301075"/>
    <w:rsid w:val="00302733"/>
    <w:rsid w:val="00311A4F"/>
    <w:rsid w:val="00314078"/>
    <w:rsid w:val="00321AFD"/>
    <w:rsid w:val="00322450"/>
    <w:rsid w:val="003246B5"/>
    <w:rsid w:val="0033169F"/>
    <w:rsid w:val="003414AC"/>
    <w:rsid w:val="00341BA2"/>
    <w:rsid w:val="00342A7D"/>
    <w:rsid w:val="00356185"/>
    <w:rsid w:val="00360380"/>
    <w:rsid w:val="00363E01"/>
    <w:rsid w:val="003771A3"/>
    <w:rsid w:val="00386CF0"/>
    <w:rsid w:val="0039257E"/>
    <w:rsid w:val="003A4348"/>
    <w:rsid w:val="003C32BC"/>
    <w:rsid w:val="003E3E03"/>
    <w:rsid w:val="003F1BBF"/>
    <w:rsid w:val="004162B1"/>
    <w:rsid w:val="004165C2"/>
    <w:rsid w:val="00450A4A"/>
    <w:rsid w:val="004611AA"/>
    <w:rsid w:val="004666FB"/>
    <w:rsid w:val="00466D0B"/>
    <w:rsid w:val="00467B7E"/>
    <w:rsid w:val="0049327B"/>
    <w:rsid w:val="0049419D"/>
    <w:rsid w:val="004B2762"/>
    <w:rsid w:val="004B7EB6"/>
    <w:rsid w:val="004C3BE2"/>
    <w:rsid w:val="004C41DE"/>
    <w:rsid w:val="004C4B62"/>
    <w:rsid w:val="004D6025"/>
    <w:rsid w:val="004D677A"/>
    <w:rsid w:val="004D72BC"/>
    <w:rsid w:val="004F03CC"/>
    <w:rsid w:val="004F6B67"/>
    <w:rsid w:val="00501399"/>
    <w:rsid w:val="00507BC4"/>
    <w:rsid w:val="005128E4"/>
    <w:rsid w:val="00515B4A"/>
    <w:rsid w:val="00525560"/>
    <w:rsid w:val="00530730"/>
    <w:rsid w:val="00530C8B"/>
    <w:rsid w:val="005357A6"/>
    <w:rsid w:val="00544C49"/>
    <w:rsid w:val="00550DB7"/>
    <w:rsid w:val="00564FD8"/>
    <w:rsid w:val="005657B6"/>
    <w:rsid w:val="0057402A"/>
    <w:rsid w:val="005771D0"/>
    <w:rsid w:val="005816E5"/>
    <w:rsid w:val="00584B11"/>
    <w:rsid w:val="0059191A"/>
    <w:rsid w:val="005921FF"/>
    <w:rsid w:val="00592718"/>
    <w:rsid w:val="005A6D0E"/>
    <w:rsid w:val="005B222D"/>
    <w:rsid w:val="005B52B0"/>
    <w:rsid w:val="005B6806"/>
    <w:rsid w:val="005C00F9"/>
    <w:rsid w:val="005C4225"/>
    <w:rsid w:val="005E1348"/>
    <w:rsid w:val="005E7F2D"/>
    <w:rsid w:val="005F0F33"/>
    <w:rsid w:val="00600DEB"/>
    <w:rsid w:val="00613027"/>
    <w:rsid w:val="00627C9F"/>
    <w:rsid w:val="006311DA"/>
    <w:rsid w:val="006311E9"/>
    <w:rsid w:val="006318B2"/>
    <w:rsid w:val="00632354"/>
    <w:rsid w:val="00642810"/>
    <w:rsid w:val="00652333"/>
    <w:rsid w:val="00653EA6"/>
    <w:rsid w:val="0068009E"/>
    <w:rsid w:val="00683336"/>
    <w:rsid w:val="006A17D2"/>
    <w:rsid w:val="006A5543"/>
    <w:rsid w:val="006A73E6"/>
    <w:rsid w:val="006B03FB"/>
    <w:rsid w:val="006B2D5C"/>
    <w:rsid w:val="006C4EB1"/>
    <w:rsid w:val="006D4707"/>
    <w:rsid w:val="006E0166"/>
    <w:rsid w:val="006E7AD1"/>
    <w:rsid w:val="006E7B34"/>
    <w:rsid w:val="006F2027"/>
    <w:rsid w:val="00701B24"/>
    <w:rsid w:val="0071495F"/>
    <w:rsid w:val="0073798E"/>
    <w:rsid w:val="00745899"/>
    <w:rsid w:val="007607C4"/>
    <w:rsid w:val="0076643F"/>
    <w:rsid w:val="00771E23"/>
    <w:rsid w:val="00772CD8"/>
    <w:rsid w:val="00781653"/>
    <w:rsid w:val="007A2F70"/>
    <w:rsid w:val="007C05E1"/>
    <w:rsid w:val="007C1A2E"/>
    <w:rsid w:val="007C1E53"/>
    <w:rsid w:val="007C3334"/>
    <w:rsid w:val="007C52BB"/>
    <w:rsid w:val="007C71E5"/>
    <w:rsid w:val="007D2B98"/>
    <w:rsid w:val="00803F1C"/>
    <w:rsid w:val="0080600E"/>
    <w:rsid w:val="00817612"/>
    <w:rsid w:val="0082007D"/>
    <w:rsid w:val="0083243B"/>
    <w:rsid w:val="00837C45"/>
    <w:rsid w:val="0084527C"/>
    <w:rsid w:val="00853419"/>
    <w:rsid w:val="00897E12"/>
    <w:rsid w:val="008A745E"/>
    <w:rsid w:val="008C695D"/>
    <w:rsid w:val="008D43BA"/>
    <w:rsid w:val="008D7446"/>
    <w:rsid w:val="008E3759"/>
    <w:rsid w:val="008E4867"/>
    <w:rsid w:val="009041DC"/>
    <w:rsid w:val="00906435"/>
    <w:rsid w:val="009104B4"/>
    <w:rsid w:val="009228DA"/>
    <w:rsid w:val="00925F83"/>
    <w:rsid w:val="00925FCD"/>
    <w:rsid w:val="00927316"/>
    <w:rsid w:val="0093441A"/>
    <w:rsid w:val="009445C4"/>
    <w:rsid w:val="00954BF7"/>
    <w:rsid w:val="0096706E"/>
    <w:rsid w:val="00972A0B"/>
    <w:rsid w:val="009777CB"/>
    <w:rsid w:val="00980BB0"/>
    <w:rsid w:val="00981FBA"/>
    <w:rsid w:val="009B381B"/>
    <w:rsid w:val="009C227B"/>
    <w:rsid w:val="009D7611"/>
    <w:rsid w:val="009E17A5"/>
    <w:rsid w:val="009E53DE"/>
    <w:rsid w:val="009E566A"/>
    <w:rsid w:val="00A12DBC"/>
    <w:rsid w:val="00A3533B"/>
    <w:rsid w:val="00A43458"/>
    <w:rsid w:val="00A528D1"/>
    <w:rsid w:val="00A637EE"/>
    <w:rsid w:val="00A66BE5"/>
    <w:rsid w:val="00A8073C"/>
    <w:rsid w:val="00A93F9F"/>
    <w:rsid w:val="00AD37C1"/>
    <w:rsid w:val="00AD63F9"/>
    <w:rsid w:val="00AD65B2"/>
    <w:rsid w:val="00AE66EC"/>
    <w:rsid w:val="00AE6F91"/>
    <w:rsid w:val="00AF5571"/>
    <w:rsid w:val="00B06BB7"/>
    <w:rsid w:val="00B167E9"/>
    <w:rsid w:val="00B179ED"/>
    <w:rsid w:val="00B314DB"/>
    <w:rsid w:val="00B31EBE"/>
    <w:rsid w:val="00B3718B"/>
    <w:rsid w:val="00B42CD5"/>
    <w:rsid w:val="00B44B23"/>
    <w:rsid w:val="00B4632A"/>
    <w:rsid w:val="00B92E49"/>
    <w:rsid w:val="00BA276C"/>
    <w:rsid w:val="00BB306F"/>
    <w:rsid w:val="00BD232B"/>
    <w:rsid w:val="00BD2E42"/>
    <w:rsid w:val="00BD4B89"/>
    <w:rsid w:val="00C04C52"/>
    <w:rsid w:val="00C21762"/>
    <w:rsid w:val="00C24543"/>
    <w:rsid w:val="00C256A2"/>
    <w:rsid w:val="00C3492D"/>
    <w:rsid w:val="00C377C3"/>
    <w:rsid w:val="00C55560"/>
    <w:rsid w:val="00C66B72"/>
    <w:rsid w:val="00C74F8B"/>
    <w:rsid w:val="00C8304C"/>
    <w:rsid w:val="00C8408D"/>
    <w:rsid w:val="00C9567A"/>
    <w:rsid w:val="00CA052A"/>
    <w:rsid w:val="00CA6577"/>
    <w:rsid w:val="00CB2660"/>
    <w:rsid w:val="00CC5E90"/>
    <w:rsid w:val="00CC6391"/>
    <w:rsid w:val="00CC6F0A"/>
    <w:rsid w:val="00CD023D"/>
    <w:rsid w:val="00CD046C"/>
    <w:rsid w:val="00CE5199"/>
    <w:rsid w:val="00CE66D5"/>
    <w:rsid w:val="00D3047D"/>
    <w:rsid w:val="00D34786"/>
    <w:rsid w:val="00D36E70"/>
    <w:rsid w:val="00D40A1E"/>
    <w:rsid w:val="00D40E90"/>
    <w:rsid w:val="00D533C0"/>
    <w:rsid w:val="00D712D3"/>
    <w:rsid w:val="00D71422"/>
    <w:rsid w:val="00D7145E"/>
    <w:rsid w:val="00D75084"/>
    <w:rsid w:val="00D7558D"/>
    <w:rsid w:val="00D81D92"/>
    <w:rsid w:val="00D93446"/>
    <w:rsid w:val="00DA7B5F"/>
    <w:rsid w:val="00DA7C14"/>
    <w:rsid w:val="00DB321C"/>
    <w:rsid w:val="00DD655F"/>
    <w:rsid w:val="00DE372E"/>
    <w:rsid w:val="00DF078B"/>
    <w:rsid w:val="00DF350D"/>
    <w:rsid w:val="00DF5466"/>
    <w:rsid w:val="00E17D30"/>
    <w:rsid w:val="00E227C1"/>
    <w:rsid w:val="00E25CCE"/>
    <w:rsid w:val="00E31379"/>
    <w:rsid w:val="00E43157"/>
    <w:rsid w:val="00E4695B"/>
    <w:rsid w:val="00E46AC3"/>
    <w:rsid w:val="00E47F3D"/>
    <w:rsid w:val="00E50866"/>
    <w:rsid w:val="00E533FF"/>
    <w:rsid w:val="00E53F36"/>
    <w:rsid w:val="00E62FED"/>
    <w:rsid w:val="00E63CDC"/>
    <w:rsid w:val="00E709B3"/>
    <w:rsid w:val="00E7588C"/>
    <w:rsid w:val="00E850B6"/>
    <w:rsid w:val="00E8789F"/>
    <w:rsid w:val="00E97B71"/>
    <w:rsid w:val="00EB454D"/>
    <w:rsid w:val="00EC1825"/>
    <w:rsid w:val="00ED0D1B"/>
    <w:rsid w:val="00EE3522"/>
    <w:rsid w:val="00EF619B"/>
    <w:rsid w:val="00F00B55"/>
    <w:rsid w:val="00F1380F"/>
    <w:rsid w:val="00F14F0E"/>
    <w:rsid w:val="00F15A3B"/>
    <w:rsid w:val="00F2330C"/>
    <w:rsid w:val="00F24C29"/>
    <w:rsid w:val="00F253CC"/>
    <w:rsid w:val="00F2781F"/>
    <w:rsid w:val="00F41B76"/>
    <w:rsid w:val="00F42B71"/>
    <w:rsid w:val="00F56BA5"/>
    <w:rsid w:val="00F621C3"/>
    <w:rsid w:val="00F644E6"/>
    <w:rsid w:val="00F9653B"/>
    <w:rsid w:val="00FB3E73"/>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84527C"/>
    <w:rPr>
      <w:sz w:val="16"/>
      <w:szCs w:val="16"/>
    </w:rPr>
  </w:style>
  <w:style w:type="paragraph" w:styleId="CommentText">
    <w:name w:val="annotation text"/>
    <w:basedOn w:val="Normal"/>
    <w:link w:val="CommentTextChar"/>
    <w:uiPriority w:val="99"/>
    <w:semiHidden/>
    <w:unhideWhenUsed/>
    <w:rsid w:val="0084527C"/>
    <w:rPr>
      <w:sz w:val="20"/>
      <w:szCs w:val="20"/>
    </w:rPr>
  </w:style>
  <w:style w:type="character" w:customStyle="1" w:styleId="CommentTextChar">
    <w:name w:val="Comment Text Char"/>
    <w:basedOn w:val="DefaultParagraphFont"/>
    <w:link w:val="CommentText"/>
    <w:uiPriority w:val="99"/>
    <w:semiHidden/>
    <w:rsid w:val="0084527C"/>
    <w:rPr>
      <w:lang w:val="en-US" w:eastAsia="en-US"/>
    </w:rPr>
  </w:style>
  <w:style w:type="paragraph" w:styleId="CommentSubject">
    <w:name w:val="annotation subject"/>
    <w:basedOn w:val="CommentText"/>
    <w:next w:val="CommentText"/>
    <w:link w:val="CommentSubjectChar"/>
    <w:uiPriority w:val="99"/>
    <w:semiHidden/>
    <w:unhideWhenUsed/>
    <w:rsid w:val="0084527C"/>
    <w:rPr>
      <w:b/>
      <w:bCs/>
    </w:rPr>
  </w:style>
  <w:style w:type="character" w:customStyle="1" w:styleId="CommentSubjectChar">
    <w:name w:val="Comment Subject Char"/>
    <w:basedOn w:val="CommentTextChar"/>
    <w:link w:val="CommentSubject"/>
    <w:uiPriority w:val="99"/>
    <w:semiHidden/>
    <w:rsid w:val="0084527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23AE1"/>
    <w:rsid w:val="0009188F"/>
    <w:rsid w:val="0021657C"/>
    <w:rsid w:val="004108B1"/>
    <w:rsid w:val="008B7C12"/>
    <w:rsid w:val="00930832"/>
    <w:rsid w:val="009E237A"/>
    <w:rsid w:val="00AB44F1"/>
    <w:rsid w:val="00DC0DC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DA83-9875-4100-A627-0E58F80E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2422</Words>
  <Characters>13810</Characters>
  <Application>Microsoft Office Word</Application>
  <DocSecurity>0</DocSecurity>
  <Lines>115</Lines>
  <Paragraphs>32</Paragraphs>
  <ScaleCrop>false</ScaleCrop>
  <Company/>
  <LinksUpToDate>false</LinksUpToDate>
  <CharactersWithSpaces>16200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162/18</dc:title>
  <dc:creator/>
  <cp:lastModifiedBy/>
  <cp:revision>1</cp:revision>
  <dcterms:created xsi:type="dcterms:W3CDTF">2019-03-12T20:25:00Z</dcterms:created>
  <dcterms:modified xsi:type="dcterms:W3CDTF">2019-03-12T20:25:00Z</dcterms:modified>
</cp:coreProperties>
</file>