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B6659B" w:rsidRDefault="006311DA" w:rsidP="00627C9F">
      <w:pPr>
        <w:jc w:val="both"/>
        <w:rPr>
          <w:rFonts w:asciiTheme="majorHAnsi" w:hAnsiTheme="majorHAnsi" w:cs="Univers"/>
          <w:b/>
          <w:bCs/>
          <w:sz w:val="22"/>
          <w:szCs w:val="22"/>
        </w:rPr>
      </w:pPr>
      <w:r w:rsidRPr="00B6659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0A68D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B6659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B6659B" w:rsidRDefault="00040C3A" w:rsidP="00040C3A">
      <w:pPr>
        <w:tabs>
          <w:tab w:val="center" w:pos="5400"/>
        </w:tabs>
        <w:suppressAutoHyphens/>
        <w:jc w:val="both"/>
        <w:rPr>
          <w:rFonts w:asciiTheme="majorHAnsi" w:hAnsiTheme="majorHAnsi"/>
          <w:sz w:val="22"/>
          <w:szCs w:val="22"/>
        </w:rPr>
      </w:pPr>
    </w:p>
    <w:p w14:paraId="54AC1FBF" w14:textId="77777777" w:rsidR="00040C3A" w:rsidRPr="00B6659B" w:rsidRDefault="00040C3A" w:rsidP="00040C3A">
      <w:pPr>
        <w:tabs>
          <w:tab w:val="center" w:pos="5400"/>
        </w:tabs>
        <w:suppressAutoHyphens/>
        <w:jc w:val="both"/>
        <w:rPr>
          <w:rFonts w:asciiTheme="majorHAnsi" w:hAnsiTheme="majorHAnsi"/>
          <w:sz w:val="22"/>
          <w:szCs w:val="22"/>
        </w:rPr>
      </w:pPr>
    </w:p>
    <w:p w14:paraId="6A4AC464" w14:textId="77777777" w:rsidR="005128E4" w:rsidRPr="00B6659B" w:rsidRDefault="005128E4" w:rsidP="00040C3A">
      <w:pPr>
        <w:tabs>
          <w:tab w:val="center" w:pos="5400"/>
        </w:tabs>
        <w:suppressAutoHyphens/>
        <w:rPr>
          <w:rFonts w:asciiTheme="majorHAnsi" w:hAnsiTheme="majorHAnsi"/>
          <w:sz w:val="22"/>
          <w:szCs w:val="22"/>
        </w:rPr>
      </w:pPr>
    </w:p>
    <w:p w14:paraId="515D20A5" w14:textId="77777777" w:rsidR="005128E4" w:rsidRPr="00B6659B" w:rsidRDefault="005128E4" w:rsidP="00040C3A">
      <w:pPr>
        <w:tabs>
          <w:tab w:val="center" w:pos="5400"/>
        </w:tabs>
        <w:suppressAutoHyphens/>
        <w:rPr>
          <w:rFonts w:asciiTheme="majorHAnsi" w:hAnsiTheme="majorHAnsi"/>
          <w:sz w:val="22"/>
          <w:szCs w:val="22"/>
        </w:rPr>
      </w:pPr>
    </w:p>
    <w:p w14:paraId="7CBA3E7E" w14:textId="77777777" w:rsidR="005128E4" w:rsidRPr="00B6659B" w:rsidRDefault="005128E4" w:rsidP="00040C3A">
      <w:pPr>
        <w:tabs>
          <w:tab w:val="center" w:pos="5400"/>
        </w:tabs>
        <w:suppressAutoHyphens/>
        <w:rPr>
          <w:rFonts w:asciiTheme="majorHAnsi" w:hAnsiTheme="majorHAnsi"/>
          <w:sz w:val="22"/>
          <w:szCs w:val="22"/>
        </w:rPr>
      </w:pPr>
    </w:p>
    <w:p w14:paraId="0FFC5ED6" w14:textId="77777777" w:rsidR="00040C3A" w:rsidRPr="00B6659B" w:rsidRDefault="00040C3A" w:rsidP="005128E4">
      <w:pPr>
        <w:tabs>
          <w:tab w:val="center" w:pos="5400"/>
        </w:tabs>
        <w:suppressAutoHyphens/>
        <w:jc w:val="center"/>
        <w:rPr>
          <w:rFonts w:asciiTheme="majorHAnsi" w:hAnsiTheme="majorHAnsi"/>
          <w:sz w:val="22"/>
          <w:szCs w:val="22"/>
        </w:rPr>
      </w:pPr>
    </w:p>
    <w:p w14:paraId="5FCF0358" w14:textId="77777777" w:rsidR="00040C3A" w:rsidRPr="00B6659B" w:rsidRDefault="00040C3A" w:rsidP="005128E4">
      <w:pPr>
        <w:tabs>
          <w:tab w:val="center" w:pos="5400"/>
        </w:tabs>
        <w:suppressAutoHyphens/>
        <w:jc w:val="center"/>
        <w:rPr>
          <w:rFonts w:asciiTheme="majorHAnsi" w:hAnsiTheme="majorHAnsi"/>
          <w:sz w:val="22"/>
          <w:szCs w:val="22"/>
        </w:rPr>
      </w:pPr>
    </w:p>
    <w:p w14:paraId="23C02B60" w14:textId="77777777" w:rsidR="005B52B0" w:rsidRPr="00B6659B" w:rsidRDefault="005B52B0" w:rsidP="005128E4">
      <w:pPr>
        <w:tabs>
          <w:tab w:val="center" w:pos="5400"/>
        </w:tabs>
        <w:suppressAutoHyphens/>
        <w:jc w:val="center"/>
        <w:rPr>
          <w:rFonts w:asciiTheme="majorHAnsi" w:hAnsiTheme="majorHAnsi"/>
          <w:sz w:val="22"/>
          <w:szCs w:val="22"/>
        </w:rPr>
      </w:pPr>
    </w:p>
    <w:p w14:paraId="1E4CC4A3" w14:textId="77777777" w:rsidR="005B52B0" w:rsidRPr="00B6659B" w:rsidRDefault="005B52B0" w:rsidP="005128E4">
      <w:pPr>
        <w:tabs>
          <w:tab w:val="center" w:pos="5400"/>
        </w:tabs>
        <w:suppressAutoHyphens/>
        <w:jc w:val="center"/>
        <w:rPr>
          <w:rFonts w:asciiTheme="majorHAnsi" w:hAnsiTheme="majorHAnsi"/>
          <w:sz w:val="22"/>
          <w:szCs w:val="22"/>
        </w:rPr>
      </w:pPr>
    </w:p>
    <w:p w14:paraId="022074FD" w14:textId="77777777" w:rsidR="005B52B0" w:rsidRPr="00B6659B" w:rsidRDefault="005B52B0" w:rsidP="005128E4">
      <w:pPr>
        <w:tabs>
          <w:tab w:val="center" w:pos="5400"/>
        </w:tabs>
        <w:suppressAutoHyphens/>
        <w:jc w:val="center"/>
        <w:rPr>
          <w:rFonts w:asciiTheme="majorHAnsi" w:hAnsiTheme="majorHAnsi"/>
          <w:sz w:val="22"/>
          <w:szCs w:val="22"/>
        </w:rPr>
      </w:pPr>
    </w:p>
    <w:p w14:paraId="3234C43C" w14:textId="77777777" w:rsidR="00040C3A" w:rsidRPr="00B6659B" w:rsidRDefault="00040C3A" w:rsidP="00040C3A">
      <w:pPr>
        <w:tabs>
          <w:tab w:val="center" w:pos="5400"/>
        </w:tabs>
        <w:suppressAutoHyphens/>
        <w:jc w:val="center"/>
        <w:rPr>
          <w:rFonts w:asciiTheme="majorHAnsi" w:hAnsiTheme="majorHAnsi"/>
          <w:sz w:val="22"/>
          <w:szCs w:val="22"/>
        </w:rPr>
      </w:pPr>
    </w:p>
    <w:p w14:paraId="2D58FFBA" w14:textId="77777777" w:rsidR="00040C3A" w:rsidRPr="00B6659B" w:rsidRDefault="00040C3A" w:rsidP="00040C3A">
      <w:pPr>
        <w:tabs>
          <w:tab w:val="center" w:pos="5400"/>
        </w:tabs>
        <w:suppressAutoHyphens/>
        <w:jc w:val="center"/>
        <w:rPr>
          <w:rFonts w:asciiTheme="majorHAnsi" w:hAnsiTheme="majorHAnsi"/>
          <w:sz w:val="22"/>
          <w:szCs w:val="22"/>
        </w:rPr>
      </w:pPr>
    </w:p>
    <w:p w14:paraId="4A574974" w14:textId="77777777" w:rsidR="00040C3A" w:rsidRPr="00B6659B" w:rsidRDefault="00040C3A" w:rsidP="00040C3A">
      <w:pPr>
        <w:tabs>
          <w:tab w:val="center" w:pos="5400"/>
        </w:tabs>
        <w:suppressAutoHyphens/>
        <w:jc w:val="center"/>
        <w:rPr>
          <w:rFonts w:asciiTheme="majorHAnsi" w:hAnsiTheme="majorHAnsi"/>
          <w:sz w:val="22"/>
          <w:szCs w:val="22"/>
        </w:rPr>
      </w:pPr>
    </w:p>
    <w:p w14:paraId="11A9BA8A" w14:textId="77777777" w:rsidR="00040C3A" w:rsidRPr="00B6659B" w:rsidRDefault="00E533FF" w:rsidP="00040C3A">
      <w:pPr>
        <w:tabs>
          <w:tab w:val="center" w:pos="5400"/>
        </w:tabs>
        <w:suppressAutoHyphens/>
        <w:jc w:val="center"/>
        <w:rPr>
          <w:rFonts w:asciiTheme="majorHAnsi" w:hAnsiTheme="majorHAnsi"/>
          <w:sz w:val="22"/>
          <w:szCs w:val="22"/>
        </w:rPr>
      </w:pPr>
      <w:r w:rsidRPr="00B6659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BF2EE0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C76176">
                              <w:rPr>
                                <w:rFonts w:asciiTheme="majorHAnsi" w:hAnsiTheme="majorHAnsi" w:cs="Arial"/>
                                <w:b/>
                                <w:bCs/>
                                <w:color w:val="0D0D0D" w:themeColor="text1" w:themeTint="F2"/>
                                <w:sz w:val="36"/>
                                <w:szCs w:val="40"/>
                              </w:rPr>
                              <w:t>151</w:t>
                            </w:r>
                            <w:r w:rsidR="00322450" w:rsidRPr="004B7EB6">
                              <w:rPr>
                                <w:rFonts w:asciiTheme="majorHAnsi" w:hAnsiTheme="majorHAnsi" w:cs="Arial"/>
                                <w:b/>
                                <w:bCs/>
                                <w:color w:val="0D0D0D" w:themeColor="text1" w:themeTint="F2"/>
                                <w:sz w:val="36"/>
                                <w:szCs w:val="40"/>
                              </w:rPr>
                              <w:t>/1</w:t>
                            </w:r>
                            <w:r w:rsidR="002C67A1">
                              <w:rPr>
                                <w:rFonts w:asciiTheme="majorHAnsi" w:hAnsiTheme="majorHAnsi" w:cs="Arial"/>
                                <w:b/>
                                <w:bCs/>
                                <w:color w:val="0D0D0D" w:themeColor="text1" w:themeTint="F2"/>
                                <w:sz w:val="36"/>
                                <w:szCs w:val="40"/>
                              </w:rPr>
                              <w:t>7</w:t>
                            </w:r>
                          </w:p>
                          <w:p w14:paraId="081F51F3" w14:textId="67B7794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F079F">
                              <w:rPr>
                                <w:rFonts w:asciiTheme="majorHAnsi" w:hAnsiTheme="majorHAnsi" w:cs="Arial"/>
                                <w:b/>
                                <w:bCs/>
                                <w:color w:val="0D0D0D" w:themeColor="text1" w:themeTint="F2"/>
                                <w:sz w:val="36"/>
                                <w:szCs w:val="40"/>
                              </w:rPr>
                              <w:t>1474-07</w:t>
                            </w:r>
                          </w:p>
                          <w:p w14:paraId="34978E5A" w14:textId="4192CA6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07D401A" w14:textId="77777777" w:rsidR="003F079F" w:rsidRPr="0072796A" w:rsidRDefault="003F079F" w:rsidP="003F079F">
                            <w:pPr>
                              <w:spacing w:line="276" w:lineRule="auto"/>
                              <w:rPr>
                                <w:rFonts w:asciiTheme="majorHAnsi" w:hAnsiTheme="majorHAnsi" w:cs="Arial"/>
                                <w:color w:val="0D0D0D" w:themeColor="text1" w:themeTint="F2"/>
                                <w:szCs w:val="22"/>
                              </w:rPr>
                            </w:pPr>
                            <w:r w:rsidRPr="0072796A">
                              <w:rPr>
                                <w:rFonts w:asciiTheme="majorHAnsi" w:hAnsiTheme="majorHAnsi" w:cs="Arial"/>
                                <w:color w:val="0D0D0D" w:themeColor="text1" w:themeTint="F2"/>
                                <w:szCs w:val="22"/>
                              </w:rPr>
                              <w:t>FELICIDAD FLORES SOLÓRZANO</w:t>
                            </w:r>
                          </w:p>
                          <w:p w14:paraId="2011014F" w14:textId="77777777" w:rsidR="003F079F" w:rsidRPr="0020435A" w:rsidRDefault="003F079F" w:rsidP="003F079F">
                            <w:pPr>
                              <w:spacing w:line="276" w:lineRule="auto"/>
                              <w:rPr>
                                <w:rFonts w:asciiTheme="majorHAnsi" w:hAnsiTheme="majorHAnsi" w:cs="Arial"/>
                                <w:color w:val="0D0D0D" w:themeColor="text1" w:themeTint="F2"/>
                                <w:szCs w:val="22"/>
                                <w:lang w:val="es-ES"/>
                              </w:rPr>
                            </w:pPr>
                            <w:r w:rsidRPr="0072796A">
                              <w:rPr>
                                <w:rFonts w:asciiTheme="majorHAnsi" w:hAnsiTheme="majorHAnsi" w:cs="Arial"/>
                                <w:color w:val="0D0D0D" w:themeColor="text1" w:themeTint="F2"/>
                                <w:szCs w:val="22"/>
                              </w:rPr>
                              <w:t>MEXICO</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BF2EE0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C76176">
                        <w:rPr>
                          <w:rFonts w:asciiTheme="majorHAnsi" w:hAnsiTheme="majorHAnsi" w:cs="Arial"/>
                          <w:b/>
                          <w:bCs/>
                          <w:color w:val="0D0D0D" w:themeColor="text1" w:themeTint="F2"/>
                          <w:sz w:val="36"/>
                          <w:szCs w:val="40"/>
                        </w:rPr>
                        <w:t>151</w:t>
                      </w:r>
                      <w:r w:rsidR="00322450" w:rsidRPr="004B7EB6">
                        <w:rPr>
                          <w:rFonts w:asciiTheme="majorHAnsi" w:hAnsiTheme="majorHAnsi" w:cs="Arial"/>
                          <w:b/>
                          <w:bCs/>
                          <w:color w:val="0D0D0D" w:themeColor="text1" w:themeTint="F2"/>
                          <w:sz w:val="36"/>
                          <w:szCs w:val="40"/>
                        </w:rPr>
                        <w:t>/1</w:t>
                      </w:r>
                      <w:r w:rsidR="002C67A1">
                        <w:rPr>
                          <w:rFonts w:asciiTheme="majorHAnsi" w:hAnsiTheme="majorHAnsi" w:cs="Arial"/>
                          <w:b/>
                          <w:bCs/>
                          <w:color w:val="0D0D0D" w:themeColor="text1" w:themeTint="F2"/>
                          <w:sz w:val="36"/>
                          <w:szCs w:val="40"/>
                        </w:rPr>
                        <w:t>7</w:t>
                      </w:r>
                    </w:p>
                    <w:p w14:paraId="081F51F3" w14:textId="67B7794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F079F">
                        <w:rPr>
                          <w:rFonts w:asciiTheme="majorHAnsi" w:hAnsiTheme="majorHAnsi" w:cs="Arial"/>
                          <w:b/>
                          <w:bCs/>
                          <w:color w:val="0D0D0D" w:themeColor="text1" w:themeTint="F2"/>
                          <w:sz w:val="36"/>
                          <w:szCs w:val="40"/>
                        </w:rPr>
                        <w:t>1474-07</w:t>
                      </w:r>
                    </w:p>
                    <w:p w14:paraId="34978E5A" w14:textId="4192CA6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07D401A" w14:textId="77777777" w:rsidR="003F079F" w:rsidRPr="0072796A" w:rsidRDefault="003F079F" w:rsidP="003F079F">
                      <w:pPr>
                        <w:spacing w:line="276" w:lineRule="auto"/>
                        <w:rPr>
                          <w:rFonts w:asciiTheme="majorHAnsi" w:hAnsiTheme="majorHAnsi" w:cs="Arial"/>
                          <w:color w:val="0D0D0D" w:themeColor="text1" w:themeTint="F2"/>
                          <w:szCs w:val="22"/>
                        </w:rPr>
                      </w:pPr>
                      <w:r w:rsidRPr="0072796A">
                        <w:rPr>
                          <w:rFonts w:asciiTheme="majorHAnsi" w:hAnsiTheme="majorHAnsi" w:cs="Arial"/>
                          <w:color w:val="0D0D0D" w:themeColor="text1" w:themeTint="F2"/>
                          <w:szCs w:val="22"/>
                        </w:rPr>
                        <w:t>FELICIDAD FLORES SOLÓRZANO</w:t>
                      </w:r>
                    </w:p>
                    <w:p w14:paraId="2011014F" w14:textId="77777777" w:rsidR="003F079F" w:rsidRPr="0020435A" w:rsidRDefault="003F079F" w:rsidP="003F079F">
                      <w:pPr>
                        <w:spacing w:line="276" w:lineRule="auto"/>
                        <w:rPr>
                          <w:rFonts w:asciiTheme="majorHAnsi" w:hAnsiTheme="majorHAnsi" w:cs="Arial"/>
                          <w:color w:val="0D0D0D" w:themeColor="text1" w:themeTint="F2"/>
                          <w:szCs w:val="22"/>
                          <w:lang w:val="es-ES"/>
                        </w:rPr>
                      </w:pPr>
                      <w:r w:rsidRPr="0072796A">
                        <w:rPr>
                          <w:rFonts w:asciiTheme="majorHAnsi" w:hAnsiTheme="majorHAnsi" w:cs="Arial"/>
                          <w:color w:val="0D0D0D" w:themeColor="text1" w:themeTint="F2"/>
                          <w:szCs w:val="22"/>
                        </w:rPr>
                        <w:t>MEXICO</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B6659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ACD80C0" w:rsidR="00627C9F" w:rsidRPr="00F27044" w:rsidRDefault="009E566A" w:rsidP="009E566A">
                            <w:pPr>
                              <w:jc w:val="right"/>
                              <w:rPr>
                                <w:rFonts w:asciiTheme="minorHAnsi" w:hAnsiTheme="minorHAnsi"/>
                                <w:color w:val="FFFFFF" w:themeColor="background1"/>
                                <w:sz w:val="22"/>
                                <w:lang w:val="pt-BR"/>
                              </w:rPr>
                            </w:pPr>
                            <w:r w:rsidRPr="00F27044">
                              <w:rPr>
                                <w:rFonts w:asciiTheme="minorHAnsi" w:hAnsiTheme="minorHAnsi"/>
                                <w:color w:val="FFFFFF" w:themeColor="background1"/>
                                <w:sz w:val="22"/>
                                <w:lang w:val="pt-BR"/>
                              </w:rPr>
                              <w:t>OEA/Ser.L/V/II.</w:t>
                            </w:r>
                            <w:r w:rsidR="00C76176" w:rsidRPr="00F27044">
                              <w:rPr>
                                <w:rFonts w:asciiTheme="minorHAnsi" w:hAnsiTheme="minorHAnsi"/>
                                <w:color w:val="FFFFFF" w:themeColor="background1"/>
                                <w:sz w:val="22"/>
                                <w:lang w:val="pt-BR"/>
                              </w:rPr>
                              <w:t>165</w:t>
                            </w:r>
                          </w:p>
                          <w:p w14:paraId="4AA08A8C" w14:textId="5656C9F7" w:rsidR="00627C9F" w:rsidRPr="00F27044" w:rsidRDefault="00CA6577" w:rsidP="009E566A">
                            <w:pPr>
                              <w:jc w:val="right"/>
                              <w:rPr>
                                <w:rFonts w:asciiTheme="minorHAnsi" w:hAnsiTheme="minorHAnsi"/>
                                <w:color w:val="FFFFFF" w:themeColor="background1"/>
                                <w:sz w:val="22"/>
                                <w:lang w:val="pt-BR"/>
                              </w:rPr>
                            </w:pPr>
                            <w:r w:rsidRPr="00F27044">
                              <w:rPr>
                                <w:rFonts w:asciiTheme="minorHAnsi" w:hAnsiTheme="minorHAnsi"/>
                                <w:color w:val="FFFFFF" w:themeColor="background1"/>
                                <w:sz w:val="22"/>
                                <w:lang w:val="pt-BR"/>
                              </w:rPr>
                              <w:t>Doc</w:t>
                            </w:r>
                            <w:r w:rsidR="00C76176" w:rsidRPr="00F27044">
                              <w:rPr>
                                <w:rFonts w:asciiTheme="minorHAnsi" w:hAnsiTheme="minorHAnsi"/>
                                <w:color w:val="FFFFFF" w:themeColor="background1"/>
                                <w:sz w:val="22"/>
                                <w:lang w:val="pt-BR"/>
                              </w:rPr>
                              <w:t>. 177</w:t>
                            </w:r>
                          </w:p>
                          <w:p w14:paraId="0BEFF61A" w14:textId="2EBE8C71" w:rsidR="00627C9F" w:rsidRPr="004B7EB6" w:rsidRDefault="00C76176" w:rsidP="009E566A">
                            <w:pPr>
                              <w:jc w:val="right"/>
                              <w:rPr>
                                <w:rFonts w:asciiTheme="minorHAnsi" w:hAnsiTheme="minorHAnsi"/>
                                <w:color w:val="FFFFFF" w:themeColor="background1"/>
                                <w:sz w:val="22"/>
                              </w:rPr>
                            </w:pPr>
                            <w:r>
                              <w:rPr>
                                <w:rFonts w:asciiTheme="minorHAnsi" w:hAnsiTheme="minorHAnsi"/>
                                <w:color w:val="FFFFFF" w:themeColor="background1"/>
                                <w:sz w:val="22"/>
                              </w:rPr>
                              <w:t>26 October 2017</w:t>
                            </w:r>
                          </w:p>
                          <w:p w14:paraId="0FC103BD" w14:textId="476C01B3"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3F079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ACD80C0" w:rsidR="00627C9F" w:rsidRPr="00C76176" w:rsidRDefault="009E566A" w:rsidP="009E566A">
                      <w:pPr>
                        <w:jc w:val="right"/>
                        <w:rPr>
                          <w:rFonts w:asciiTheme="minorHAnsi" w:hAnsiTheme="minorHAnsi"/>
                          <w:color w:val="FFFFFF" w:themeColor="background1"/>
                          <w:sz w:val="22"/>
                        </w:rPr>
                      </w:pPr>
                      <w:r w:rsidRPr="00C76176">
                        <w:rPr>
                          <w:rFonts w:asciiTheme="minorHAnsi" w:hAnsiTheme="minorHAnsi"/>
                          <w:color w:val="FFFFFF" w:themeColor="background1"/>
                          <w:sz w:val="22"/>
                        </w:rPr>
                        <w:t>OEA/Ser.L/V/II.</w:t>
                      </w:r>
                      <w:r w:rsidR="00C76176" w:rsidRPr="00C76176">
                        <w:rPr>
                          <w:rFonts w:asciiTheme="minorHAnsi" w:hAnsiTheme="minorHAnsi"/>
                          <w:color w:val="FFFFFF" w:themeColor="background1"/>
                          <w:sz w:val="22"/>
                        </w:rPr>
                        <w:t>165</w:t>
                      </w:r>
                    </w:p>
                    <w:p w14:paraId="4AA08A8C" w14:textId="5656C9F7" w:rsidR="00627C9F" w:rsidRPr="00C76176" w:rsidRDefault="00CA6577" w:rsidP="009E566A">
                      <w:pPr>
                        <w:jc w:val="right"/>
                        <w:rPr>
                          <w:rFonts w:asciiTheme="minorHAnsi" w:hAnsiTheme="minorHAnsi"/>
                          <w:color w:val="FFFFFF" w:themeColor="background1"/>
                          <w:sz w:val="22"/>
                        </w:rPr>
                      </w:pPr>
                      <w:r w:rsidRPr="00C76176">
                        <w:rPr>
                          <w:rFonts w:asciiTheme="minorHAnsi" w:hAnsiTheme="minorHAnsi"/>
                          <w:color w:val="FFFFFF" w:themeColor="background1"/>
                          <w:sz w:val="22"/>
                        </w:rPr>
                        <w:t>Doc</w:t>
                      </w:r>
                      <w:r w:rsidR="00C76176" w:rsidRPr="00C76176">
                        <w:rPr>
                          <w:rFonts w:asciiTheme="minorHAnsi" w:hAnsiTheme="minorHAnsi"/>
                          <w:color w:val="FFFFFF" w:themeColor="background1"/>
                          <w:sz w:val="22"/>
                        </w:rPr>
                        <w:t xml:space="preserve">. </w:t>
                      </w:r>
                      <w:r w:rsidR="00C76176">
                        <w:rPr>
                          <w:rFonts w:asciiTheme="minorHAnsi" w:hAnsiTheme="minorHAnsi"/>
                          <w:color w:val="FFFFFF" w:themeColor="background1"/>
                          <w:sz w:val="22"/>
                        </w:rPr>
                        <w:t>177</w:t>
                      </w:r>
                    </w:p>
                    <w:p w14:paraId="0BEFF61A" w14:textId="2EBE8C71" w:rsidR="00627C9F" w:rsidRPr="004B7EB6" w:rsidRDefault="00C76176" w:rsidP="009E566A">
                      <w:pPr>
                        <w:jc w:val="right"/>
                        <w:rPr>
                          <w:rFonts w:asciiTheme="minorHAnsi" w:hAnsiTheme="minorHAnsi"/>
                          <w:color w:val="FFFFFF" w:themeColor="background1"/>
                          <w:sz w:val="22"/>
                        </w:rPr>
                      </w:pPr>
                      <w:r>
                        <w:rPr>
                          <w:rFonts w:asciiTheme="minorHAnsi" w:hAnsiTheme="minorHAnsi"/>
                          <w:color w:val="FFFFFF" w:themeColor="background1"/>
                          <w:sz w:val="22"/>
                        </w:rPr>
                        <w:t>26 October 2017</w:t>
                      </w:r>
                    </w:p>
                    <w:p w14:paraId="0FC103BD" w14:textId="476C01B3"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3F079F">
                        <w:rPr>
                          <w:rFonts w:asciiTheme="minorHAnsi" w:hAnsiTheme="minorHAnsi"/>
                          <w:color w:val="FFFFFF" w:themeColor="background1"/>
                          <w:sz w:val="22"/>
                        </w:rPr>
                        <w:t>Spanish</w:t>
                      </w:r>
                    </w:p>
                  </w:txbxContent>
                </v:textbox>
              </v:shape>
            </w:pict>
          </mc:Fallback>
        </mc:AlternateContent>
      </w:r>
    </w:p>
    <w:p w14:paraId="3765F9FA" w14:textId="77777777" w:rsidR="00040C3A" w:rsidRPr="00B6659B" w:rsidRDefault="00040C3A" w:rsidP="00040C3A">
      <w:pPr>
        <w:tabs>
          <w:tab w:val="center" w:pos="5400"/>
        </w:tabs>
        <w:suppressAutoHyphens/>
        <w:jc w:val="center"/>
        <w:rPr>
          <w:rFonts w:asciiTheme="majorHAnsi" w:hAnsiTheme="majorHAnsi"/>
          <w:sz w:val="22"/>
          <w:szCs w:val="22"/>
        </w:rPr>
      </w:pPr>
    </w:p>
    <w:p w14:paraId="5E33CE59" w14:textId="77777777" w:rsidR="00040C3A" w:rsidRPr="00B6659B"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B6659B" w:rsidRDefault="00040C3A" w:rsidP="00040C3A">
      <w:pPr>
        <w:tabs>
          <w:tab w:val="center" w:pos="5400"/>
        </w:tabs>
        <w:suppressAutoHyphens/>
        <w:jc w:val="center"/>
        <w:rPr>
          <w:rFonts w:asciiTheme="majorHAnsi" w:hAnsiTheme="majorHAnsi"/>
          <w:sz w:val="22"/>
          <w:szCs w:val="22"/>
        </w:rPr>
      </w:pPr>
    </w:p>
    <w:p w14:paraId="43677EE2" w14:textId="77777777" w:rsidR="00040C3A" w:rsidRPr="00B6659B" w:rsidRDefault="00040C3A" w:rsidP="00040C3A">
      <w:pPr>
        <w:tabs>
          <w:tab w:val="center" w:pos="5400"/>
        </w:tabs>
        <w:suppressAutoHyphens/>
        <w:jc w:val="center"/>
        <w:rPr>
          <w:rFonts w:asciiTheme="majorHAnsi" w:hAnsiTheme="majorHAnsi"/>
          <w:sz w:val="22"/>
          <w:szCs w:val="22"/>
        </w:rPr>
      </w:pPr>
    </w:p>
    <w:p w14:paraId="747B776B" w14:textId="77777777" w:rsidR="00040C3A" w:rsidRPr="00B6659B" w:rsidRDefault="00040C3A" w:rsidP="00040C3A">
      <w:pPr>
        <w:tabs>
          <w:tab w:val="center" w:pos="5400"/>
        </w:tabs>
        <w:suppressAutoHyphens/>
        <w:jc w:val="center"/>
        <w:rPr>
          <w:rFonts w:asciiTheme="majorHAnsi" w:hAnsiTheme="majorHAnsi"/>
          <w:sz w:val="22"/>
          <w:szCs w:val="22"/>
        </w:rPr>
      </w:pPr>
    </w:p>
    <w:p w14:paraId="3FA14379" w14:textId="77777777" w:rsidR="00040C3A" w:rsidRPr="00B6659B" w:rsidRDefault="00040C3A" w:rsidP="00040C3A">
      <w:pPr>
        <w:tabs>
          <w:tab w:val="center" w:pos="5400"/>
        </w:tabs>
        <w:suppressAutoHyphens/>
        <w:jc w:val="center"/>
        <w:rPr>
          <w:rFonts w:asciiTheme="majorHAnsi" w:hAnsiTheme="majorHAnsi"/>
          <w:sz w:val="22"/>
          <w:szCs w:val="22"/>
        </w:rPr>
      </w:pPr>
    </w:p>
    <w:p w14:paraId="28A65FAF" w14:textId="77777777" w:rsidR="005128E4" w:rsidRPr="00B6659B" w:rsidRDefault="005128E4" w:rsidP="00040C3A">
      <w:pPr>
        <w:tabs>
          <w:tab w:val="center" w:pos="5400"/>
        </w:tabs>
        <w:suppressAutoHyphens/>
        <w:jc w:val="center"/>
        <w:rPr>
          <w:rFonts w:asciiTheme="majorHAnsi" w:hAnsiTheme="majorHAnsi"/>
          <w:sz w:val="22"/>
          <w:szCs w:val="22"/>
        </w:rPr>
      </w:pPr>
    </w:p>
    <w:p w14:paraId="11B1978A" w14:textId="77777777" w:rsidR="00040C3A" w:rsidRPr="00B6659B" w:rsidRDefault="00040C3A" w:rsidP="00040C3A">
      <w:pPr>
        <w:tabs>
          <w:tab w:val="center" w:pos="5400"/>
        </w:tabs>
        <w:suppressAutoHyphens/>
        <w:jc w:val="center"/>
        <w:rPr>
          <w:rFonts w:asciiTheme="majorHAnsi" w:hAnsiTheme="majorHAnsi"/>
          <w:sz w:val="22"/>
          <w:szCs w:val="22"/>
        </w:rPr>
      </w:pPr>
    </w:p>
    <w:p w14:paraId="650F503D" w14:textId="77777777" w:rsidR="005128E4" w:rsidRPr="00B6659B" w:rsidRDefault="005128E4" w:rsidP="00040C3A">
      <w:pPr>
        <w:tabs>
          <w:tab w:val="center" w:pos="5400"/>
        </w:tabs>
        <w:suppressAutoHyphens/>
        <w:jc w:val="center"/>
        <w:rPr>
          <w:rFonts w:asciiTheme="majorHAnsi" w:hAnsiTheme="majorHAnsi"/>
          <w:sz w:val="22"/>
          <w:szCs w:val="22"/>
        </w:rPr>
      </w:pPr>
    </w:p>
    <w:p w14:paraId="17861C77" w14:textId="77777777" w:rsidR="005128E4" w:rsidRPr="00B6659B" w:rsidRDefault="005128E4" w:rsidP="00040C3A">
      <w:pPr>
        <w:tabs>
          <w:tab w:val="center" w:pos="5400"/>
        </w:tabs>
        <w:suppressAutoHyphens/>
        <w:jc w:val="center"/>
        <w:rPr>
          <w:rFonts w:asciiTheme="majorHAnsi" w:hAnsiTheme="majorHAnsi"/>
          <w:sz w:val="22"/>
          <w:szCs w:val="22"/>
        </w:rPr>
      </w:pPr>
    </w:p>
    <w:p w14:paraId="0EFEAEB7" w14:textId="77777777" w:rsidR="005128E4" w:rsidRPr="00B6659B" w:rsidRDefault="005128E4" w:rsidP="00040C3A">
      <w:pPr>
        <w:tabs>
          <w:tab w:val="center" w:pos="5400"/>
        </w:tabs>
        <w:suppressAutoHyphens/>
        <w:jc w:val="center"/>
        <w:rPr>
          <w:rFonts w:asciiTheme="majorHAnsi" w:hAnsiTheme="majorHAnsi"/>
          <w:sz w:val="22"/>
          <w:szCs w:val="22"/>
        </w:rPr>
      </w:pPr>
    </w:p>
    <w:p w14:paraId="5B815FC5" w14:textId="77777777" w:rsidR="00040C3A" w:rsidRPr="00B6659B" w:rsidRDefault="00040C3A" w:rsidP="00040C3A">
      <w:pPr>
        <w:tabs>
          <w:tab w:val="center" w:pos="5400"/>
        </w:tabs>
        <w:suppressAutoHyphens/>
        <w:jc w:val="center"/>
        <w:rPr>
          <w:rFonts w:asciiTheme="majorHAnsi" w:hAnsiTheme="majorHAnsi"/>
          <w:sz w:val="22"/>
          <w:szCs w:val="22"/>
        </w:rPr>
      </w:pPr>
    </w:p>
    <w:p w14:paraId="0D43F8BD" w14:textId="77777777" w:rsidR="00040C3A" w:rsidRPr="00B6659B" w:rsidRDefault="00040C3A" w:rsidP="00040C3A">
      <w:pPr>
        <w:tabs>
          <w:tab w:val="center" w:pos="5400"/>
        </w:tabs>
        <w:suppressAutoHyphens/>
        <w:jc w:val="center"/>
        <w:rPr>
          <w:rFonts w:asciiTheme="majorHAnsi" w:hAnsiTheme="majorHAnsi"/>
          <w:sz w:val="22"/>
          <w:szCs w:val="22"/>
        </w:rPr>
      </w:pPr>
    </w:p>
    <w:p w14:paraId="03AA1AEB" w14:textId="77777777" w:rsidR="002C1641" w:rsidRPr="00B6659B" w:rsidRDefault="002C1641" w:rsidP="00040C3A">
      <w:pPr>
        <w:tabs>
          <w:tab w:val="center" w:pos="5400"/>
        </w:tabs>
        <w:suppressAutoHyphens/>
        <w:jc w:val="center"/>
        <w:rPr>
          <w:rFonts w:asciiTheme="majorHAnsi" w:hAnsiTheme="majorHAnsi"/>
          <w:sz w:val="18"/>
          <w:szCs w:val="22"/>
        </w:rPr>
      </w:pPr>
    </w:p>
    <w:p w14:paraId="2FD75BF3" w14:textId="77777777" w:rsidR="002C1641" w:rsidRPr="00B6659B" w:rsidRDefault="002C1641" w:rsidP="00040C3A">
      <w:pPr>
        <w:tabs>
          <w:tab w:val="center" w:pos="5400"/>
        </w:tabs>
        <w:suppressAutoHyphens/>
        <w:jc w:val="center"/>
        <w:rPr>
          <w:rFonts w:asciiTheme="majorHAnsi" w:hAnsiTheme="majorHAnsi"/>
          <w:sz w:val="18"/>
          <w:szCs w:val="22"/>
        </w:rPr>
      </w:pPr>
    </w:p>
    <w:p w14:paraId="73EF440E" w14:textId="77777777" w:rsidR="002C1641" w:rsidRPr="00B6659B" w:rsidRDefault="002C1641" w:rsidP="00040C3A">
      <w:pPr>
        <w:tabs>
          <w:tab w:val="center" w:pos="5400"/>
        </w:tabs>
        <w:suppressAutoHyphens/>
        <w:jc w:val="center"/>
        <w:rPr>
          <w:rFonts w:asciiTheme="majorHAnsi" w:hAnsiTheme="majorHAnsi"/>
          <w:sz w:val="18"/>
          <w:szCs w:val="22"/>
        </w:rPr>
      </w:pPr>
    </w:p>
    <w:p w14:paraId="3D12B191" w14:textId="77777777" w:rsidR="002C1641" w:rsidRPr="00B6659B" w:rsidRDefault="002C1641" w:rsidP="00040C3A">
      <w:pPr>
        <w:tabs>
          <w:tab w:val="center" w:pos="5400"/>
        </w:tabs>
        <w:suppressAutoHyphens/>
        <w:jc w:val="center"/>
        <w:rPr>
          <w:rFonts w:asciiTheme="majorHAnsi" w:hAnsiTheme="majorHAnsi"/>
          <w:sz w:val="18"/>
          <w:szCs w:val="22"/>
        </w:rPr>
      </w:pPr>
    </w:p>
    <w:p w14:paraId="1132D17C" w14:textId="77777777" w:rsidR="002C1641" w:rsidRPr="00B6659B" w:rsidRDefault="002C1641" w:rsidP="00040C3A">
      <w:pPr>
        <w:tabs>
          <w:tab w:val="center" w:pos="5400"/>
        </w:tabs>
        <w:suppressAutoHyphens/>
        <w:jc w:val="center"/>
        <w:rPr>
          <w:rFonts w:asciiTheme="majorHAnsi" w:hAnsiTheme="majorHAnsi"/>
          <w:sz w:val="18"/>
          <w:szCs w:val="22"/>
        </w:rPr>
      </w:pPr>
    </w:p>
    <w:p w14:paraId="659B324C" w14:textId="77777777" w:rsidR="002C1641" w:rsidRPr="00B6659B" w:rsidRDefault="002C1641" w:rsidP="00040C3A">
      <w:pPr>
        <w:tabs>
          <w:tab w:val="center" w:pos="5400"/>
        </w:tabs>
        <w:suppressAutoHyphens/>
        <w:jc w:val="center"/>
        <w:rPr>
          <w:rFonts w:asciiTheme="majorHAnsi" w:hAnsiTheme="majorHAnsi"/>
          <w:sz w:val="18"/>
          <w:szCs w:val="22"/>
        </w:rPr>
      </w:pPr>
    </w:p>
    <w:p w14:paraId="0DE58CEA" w14:textId="77777777" w:rsidR="002C1641" w:rsidRPr="00B6659B" w:rsidRDefault="002C1641" w:rsidP="00040C3A">
      <w:pPr>
        <w:tabs>
          <w:tab w:val="center" w:pos="5400"/>
        </w:tabs>
        <w:suppressAutoHyphens/>
        <w:jc w:val="center"/>
        <w:rPr>
          <w:rFonts w:asciiTheme="majorHAnsi" w:hAnsiTheme="majorHAnsi"/>
          <w:sz w:val="18"/>
          <w:szCs w:val="22"/>
        </w:rPr>
      </w:pPr>
    </w:p>
    <w:p w14:paraId="3A5BB7C9" w14:textId="77777777" w:rsidR="002C1641" w:rsidRPr="00B6659B" w:rsidRDefault="002C1641" w:rsidP="00040C3A">
      <w:pPr>
        <w:tabs>
          <w:tab w:val="center" w:pos="5400"/>
        </w:tabs>
        <w:suppressAutoHyphens/>
        <w:jc w:val="center"/>
        <w:rPr>
          <w:rFonts w:asciiTheme="majorHAnsi" w:hAnsiTheme="majorHAnsi"/>
          <w:sz w:val="18"/>
          <w:szCs w:val="22"/>
        </w:rPr>
      </w:pPr>
    </w:p>
    <w:p w14:paraId="6BA67E7F" w14:textId="77777777" w:rsidR="002C1641" w:rsidRPr="00B6659B" w:rsidRDefault="002C1641" w:rsidP="00040C3A">
      <w:pPr>
        <w:tabs>
          <w:tab w:val="center" w:pos="5400"/>
        </w:tabs>
        <w:suppressAutoHyphens/>
        <w:jc w:val="center"/>
        <w:rPr>
          <w:rFonts w:asciiTheme="majorHAnsi" w:hAnsiTheme="majorHAnsi"/>
          <w:sz w:val="18"/>
          <w:szCs w:val="22"/>
        </w:rPr>
      </w:pPr>
    </w:p>
    <w:p w14:paraId="6D4FBE3A" w14:textId="77777777" w:rsidR="002C1641" w:rsidRPr="00B6659B" w:rsidRDefault="002C1641" w:rsidP="00040C3A">
      <w:pPr>
        <w:tabs>
          <w:tab w:val="center" w:pos="5400"/>
        </w:tabs>
        <w:suppressAutoHyphens/>
        <w:jc w:val="center"/>
        <w:rPr>
          <w:rFonts w:asciiTheme="majorHAnsi" w:hAnsiTheme="majorHAnsi"/>
          <w:sz w:val="18"/>
          <w:szCs w:val="22"/>
        </w:rPr>
      </w:pPr>
    </w:p>
    <w:p w14:paraId="2741AD16" w14:textId="77777777" w:rsidR="002C1641" w:rsidRPr="00B6659B" w:rsidRDefault="002C1641" w:rsidP="00040C3A">
      <w:pPr>
        <w:tabs>
          <w:tab w:val="center" w:pos="5400"/>
        </w:tabs>
        <w:suppressAutoHyphens/>
        <w:jc w:val="center"/>
        <w:rPr>
          <w:rFonts w:asciiTheme="majorHAnsi" w:hAnsiTheme="majorHAnsi"/>
          <w:sz w:val="18"/>
          <w:szCs w:val="22"/>
        </w:rPr>
      </w:pPr>
    </w:p>
    <w:p w14:paraId="1D99DBC4" w14:textId="77777777" w:rsidR="002C1641" w:rsidRPr="00B6659B" w:rsidRDefault="002C1641" w:rsidP="00040C3A">
      <w:pPr>
        <w:tabs>
          <w:tab w:val="center" w:pos="5400"/>
        </w:tabs>
        <w:suppressAutoHyphens/>
        <w:jc w:val="center"/>
        <w:rPr>
          <w:rFonts w:asciiTheme="majorHAnsi" w:hAnsiTheme="majorHAnsi"/>
          <w:sz w:val="18"/>
          <w:szCs w:val="22"/>
        </w:rPr>
      </w:pPr>
    </w:p>
    <w:p w14:paraId="3290BF94" w14:textId="77777777" w:rsidR="002C1641" w:rsidRPr="00B6659B" w:rsidRDefault="003C32BC" w:rsidP="00040C3A">
      <w:pPr>
        <w:tabs>
          <w:tab w:val="center" w:pos="5400"/>
        </w:tabs>
        <w:suppressAutoHyphens/>
        <w:jc w:val="center"/>
        <w:rPr>
          <w:rFonts w:asciiTheme="majorHAnsi" w:hAnsiTheme="majorHAnsi"/>
          <w:sz w:val="18"/>
          <w:szCs w:val="22"/>
        </w:rPr>
      </w:pPr>
      <w:r w:rsidRPr="00B6659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7819B4B" w:rsidR="00092F32" w:rsidRPr="003C32BC" w:rsidRDefault="00B167E9" w:rsidP="003F079F">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C76176">
                              <w:rPr>
                                <w:rFonts w:asciiTheme="majorHAnsi" w:hAnsiTheme="majorHAnsi"/>
                                <w:color w:val="0D0D0D" w:themeColor="text1" w:themeTint="F2"/>
                                <w:sz w:val="18"/>
                                <w:szCs w:val="20"/>
                              </w:rPr>
                              <w:t>2104</w:t>
                            </w:r>
                            <w:r w:rsidR="00D155AC">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C76176">
                              <w:rPr>
                                <w:rFonts w:asciiTheme="majorHAnsi" w:hAnsiTheme="majorHAnsi"/>
                                <w:color w:val="0D0D0D" w:themeColor="text1" w:themeTint="F2"/>
                                <w:sz w:val="18"/>
                                <w:szCs w:val="20"/>
                              </w:rPr>
                              <w:t>October 26</w:t>
                            </w:r>
                            <w:r w:rsidR="000C4365">
                              <w:rPr>
                                <w:rFonts w:asciiTheme="majorHAnsi" w:hAnsiTheme="majorHAnsi"/>
                                <w:color w:val="0D0D0D" w:themeColor="text1" w:themeTint="F2"/>
                                <w:sz w:val="18"/>
                                <w:szCs w:val="20"/>
                              </w:rPr>
                              <w:t>, 201</w:t>
                            </w:r>
                            <w:r w:rsidR="00C76176">
                              <w:rPr>
                                <w:rFonts w:asciiTheme="majorHAnsi" w:hAnsiTheme="majorHAnsi"/>
                                <w:color w:val="0D0D0D" w:themeColor="text1" w:themeTint="F2"/>
                                <w:sz w:val="18"/>
                                <w:szCs w:val="20"/>
                              </w:rPr>
                              <w:t>7</w:t>
                            </w:r>
                            <w:r w:rsidR="001E370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C76176">
                              <w:rPr>
                                <w:rFonts w:asciiTheme="majorHAnsi" w:hAnsiTheme="majorHAnsi" w:cs="Univers"/>
                                <w:color w:val="0D0D0D" w:themeColor="text1" w:themeTint="F2"/>
                                <w:sz w:val="18"/>
                                <w:szCs w:val="20"/>
                              </w:rPr>
                              <w:t>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r w:rsidR="001E370F">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07819B4B" w:rsidR="00092F32" w:rsidRPr="003C32BC" w:rsidRDefault="00B167E9" w:rsidP="003F079F">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C76176">
                        <w:rPr>
                          <w:rFonts w:asciiTheme="majorHAnsi" w:hAnsiTheme="majorHAnsi"/>
                          <w:color w:val="0D0D0D" w:themeColor="text1" w:themeTint="F2"/>
                          <w:sz w:val="18"/>
                          <w:szCs w:val="20"/>
                        </w:rPr>
                        <w:t>2104</w:t>
                      </w:r>
                      <w:r w:rsidR="00D155AC">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C76176">
                        <w:rPr>
                          <w:rFonts w:asciiTheme="majorHAnsi" w:hAnsiTheme="majorHAnsi"/>
                          <w:color w:val="0D0D0D" w:themeColor="text1" w:themeTint="F2"/>
                          <w:sz w:val="18"/>
                          <w:szCs w:val="20"/>
                        </w:rPr>
                        <w:t>October 26</w:t>
                      </w:r>
                      <w:r w:rsidR="000C4365">
                        <w:rPr>
                          <w:rFonts w:asciiTheme="majorHAnsi" w:hAnsiTheme="majorHAnsi"/>
                          <w:color w:val="0D0D0D" w:themeColor="text1" w:themeTint="F2"/>
                          <w:sz w:val="18"/>
                          <w:szCs w:val="20"/>
                        </w:rPr>
                        <w:t>, 201</w:t>
                      </w:r>
                      <w:r w:rsidR="00C76176">
                        <w:rPr>
                          <w:rFonts w:asciiTheme="majorHAnsi" w:hAnsiTheme="majorHAnsi"/>
                          <w:color w:val="0D0D0D" w:themeColor="text1" w:themeTint="F2"/>
                          <w:sz w:val="18"/>
                          <w:szCs w:val="20"/>
                        </w:rPr>
                        <w:t>7</w:t>
                      </w:r>
                      <w:r w:rsidR="001E370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C76176">
                        <w:rPr>
                          <w:rFonts w:asciiTheme="majorHAnsi" w:hAnsiTheme="majorHAnsi" w:cs="Univers"/>
                          <w:color w:val="0D0D0D" w:themeColor="text1" w:themeTint="F2"/>
                          <w:sz w:val="18"/>
                          <w:szCs w:val="20"/>
                        </w:rPr>
                        <w:t>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r w:rsidR="001E370F">
                        <w:rPr>
                          <w:rFonts w:asciiTheme="majorHAnsi" w:hAnsiTheme="majorHAnsi" w:cs="Univers"/>
                          <w:color w:val="0D0D0D" w:themeColor="text1" w:themeTint="F2"/>
                          <w:sz w:val="18"/>
                          <w:szCs w:val="20"/>
                        </w:rPr>
                        <w:t>.</w:t>
                      </w:r>
                    </w:p>
                  </w:txbxContent>
                </v:textbox>
              </v:shape>
            </w:pict>
          </mc:Fallback>
        </mc:AlternateContent>
      </w:r>
    </w:p>
    <w:p w14:paraId="76124E47" w14:textId="77777777" w:rsidR="002C1641" w:rsidRPr="00B6659B" w:rsidRDefault="002C1641" w:rsidP="00040C3A">
      <w:pPr>
        <w:tabs>
          <w:tab w:val="center" w:pos="5400"/>
        </w:tabs>
        <w:suppressAutoHyphens/>
        <w:jc w:val="center"/>
        <w:rPr>
          <w:rFonts w:asciiTheme="majorHAnsi" w:hAnsiTheme="majorHAnsi"/>
          <w:sz w:val="18"/>
          <w:szCs w:val="22"/>
        </w:rPr>
      </w:pPr>
    </w:p>
    <w:p w14:paraId="3751FEDE" w14:textId="77777777" w:rsidR="002C1641" w:rsidRPr="00B6659B" w:rsidRDefault="002C1641" w:rsidP="00040C3A">
      <w:pPr>
        <w:tabs>
          <w:tab w:val="center" w:pos="5400"/>
        </w:tabs>
        <w:suppressAutoHyphens/>
        <w:jc w:val="center"/>
        <w:rPr>
          <w:rFonts w:asciiTheme="majorHAnsi" w:hAnsiTheme="majorHAnsi"/>
          <w:sz w:val="18"/>
          <w:szCs w:val="22"/>
        </w:rPr>
      </w:pPr>
    </w:p>
    <w:p w14:paraId="5FAB54E7" w14:textId="77777777" w:rsidR="002C1641" w:rsidRPr="00B6659B" w:rsidRDefault="002C1641" w:rsidP="00040C3A">
      <w:pPr>
        <w:tabs>
          <w:tab w:val="center" w:pos="5400"/>
        </w:tabs>
        <w:suppressAutoHyphens/>
        <w:jc w:val="center"/>
        <w:rPr>
          <w:rFonts w:asciiTheme="majorHAnsi" w:hAnsiTheme="majorHAnsi"/>
          <w:sz w:val="18"/>
          <w:szCs w:val="22"/>
        </w:rPr>
      </w:pPr>
    </w:p>
    <w:p w14:paraId="4AE4FBFB" w14:textId="77777777" w:rsidR="002C1641" w:rsidRPr="00B6659B" w:rsidRDefault="002C1641" w:rsidP="00040C3A">
      <w:pPr>
        <w:tabs>
          <w:tab w:val="center" w:pos="5400"/>
        </w:tabs>
        <w:suppressAutoHyphens/>
        <w:jc w:val="center"/>
        <w:rPr>
          <w:rFonts w:asciiTheme="majorHAnsi" w:hAnsiTheme="majorHAnsi"/>
          <w:sz w:val="18"/>
          <w:szCs w:val="22"/>
        </w:rPr>
      </w:pPr>
    </w:p>
    <w:p w14:paraId="4DA3B2C3" w14:textId="77777777" w:rsidR="002C1641" w:rsidRPr="00B6659B" w:rsidRDefault="003C32BC" w:rsidP="00040C3A">
      <w:pPr>
        <w:tabs>
          <w:tab w:val="center" w:pos="5400"/>
        </w:tabs>
        <w:suppressAutoHyphens/>
        <w:jc w:val="center"/>
        <w:rPr>
          <w:rFonts w:asciiTheme="majorHAnsi" w:hAnsiTheme="majorHAnsi"/>
          <w:sz w:val="18"/>
          <w:szCs w:val="22"/>
        </w:rPr>
      </w:pPr>
      <w:r w:rsidRPr="00B6659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3A8786C" w:rsidR="00F644E6" w:rsidRPr="003C32BC" w:rsidRDefault="00F644E6" w:rsidP="003F079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76176">
                              <w:rPr>
                                <w:rFonts w:asciiTheme="majorHAnsi" w:hAnsiTheme="majorHAnsi"/>
                                <w:color w:val="595959" w:themeColor="text1" w:themeTint="A6"/>
                                <w:sz w:val="18"/>
                              </w:rPr>
                              <w:t>151</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3F079F" w:rsidRPr="003C32BC">
                              <w:rPr>
                                <w:rFonts w:asciiTheme="majorHAnsi" w:hAnsiTheme="majorHAnsi"/>
                                <w:color w:val="595959" w:themeColor="text1" w:themeTint="A6"/>
                                <w:sz w:val="18"/>
                              </w:rPr>
                              <w:t xml:space="preserve">Petition </w:t>
                            </w:r>
                            <w:r w:rsidR="003F079F">
                              <w:rPr>
                                <w:rFonts w:asciiTheme="majorHAnsi" w:hAnsiTheme="majorHAnsi"/>
                                <w:color w:val="595959" w:themeColor="text1" w:themeTint="A6"/>
                                <w:sz w:val="18"/>
                              </w:rPr>
                              <w:t>1474-07</w:t>
                            </w:r>
                            <w:r w:rsidR="003F079F" w:rsidRPr="003C32BC">
                              <w:rPr>
                                <w:rFonts w:asciiTheme="majorHAnsi" w:hAnsiTheme="majorHAnsi"/>
                                <w:color w:val="595959" w:themeColor="text1" w:themeTint="A6"/>
                                <w:sz w:val="18"/>
                              </w:rPr>
                              <w:t>. Inadmi</w:t>
                            </w:r>
                            <w:r w:rsidR="003F079F">
                              <w:rPr>
                                <w:rFonts w:asciiTheme="majorHAnsi" w:hAnsiTheme="majorHAnsi"/>
                                <w:color w:val="595959" w:themeColor="text1" w:themeTint="A6"/>
                                <w:sz w:val="18"/>
                              </w:rPr>
                              <w:t>ssibility. Felicidad Flores Solórzano.</w:t>
                            </w:r>
                            <w:r w:rsidR="003F079F" w:rsidRPr="003C32BC">
                              <w:rPr>
                                <w:rFonts w:asciiTheme="majorHAnsi" w:hAnsiTheme="majorHAnsi"/>
                                <w:color w:val="595959" w:themeColor="text1" w:themeTint="A6"/>
                                <w:sz w:val="18"/>
                              </w:rPr>
                              <w:t xml:space="preserve"> </w:t>
                            </w:r>
                            <w:r w:rsidR="003F079F">
                              <w:rPr>
                                <w:rFonts w:asciiTheme="majorHAnsi" w:hAnsiTheme="majorHAnsi"/>
                                <w:color w:val="595959" w:themeColor="text1" w:themeTint="A6"/>
                                <w:sz w:val="18"/>
                              </w:rPr>
                              <w:t xml:space="preserve">Mexico. </w:t>
                            </w:r>
                            <w:r w:rsidR="00C76176">
                              <w:rPr>
                                <w:rFonts w:asciiTheme="majorHAnsi" w:hAnsiTheme="majorHAnsi"/>
                                <w:color w:val="595959" w:themeColor="text1" w:themeTint="A6"/>
                                <w:sz w:val="18"/>
                              </w:rPr>
                              <w:t>October 26, 2017</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3A8786C" w:rsidR="00F644E6" w:rsidRPr="003C32BC" w:rsidRDefault="00F644E6" w:rsidP="003F079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76176">
                        <w:rPr>
                          <w:rFonts w:asciiTheme="majorHAnsi" w:hAnsiTheme="majorHAnsi"/>
                          <w:color w:val="595959" w:themeColor="text1" w:themeTint="A6"/>
                          <w:sz w:val="18"/>
                        </w:rPr>
                        <w:t>151</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3F079F" w:rsidRPr="003C32BC">
                        <w:rPr>
                          <w:rFonts w:asciiTheme="majorHAnsi" w:hAnsiTheme="majorHAnsi"/>
                          <w:color w:val="595959" w:themeColor="text1" w:themeTint="A6"/>
                          <w:sz w:val="18"/>
                        </w:rPr>
                        <w:t xml:space="preserve">Petition </w:t>
                      </w:r>
                      <w:r w:rsidR="003F079F">
                        <w:rPr>
                          <w:rFonts w:asciiTheme="majorHAnsi" w:hAnsiTheme="majorHAnsi"/>
                          <w:color w:val="595959" w:themeColor="text1" w:themeTint="A6"/>
                          <w:sz w:val="18"/>
                        </w:rPr>
                        <w:t>1474-07</w:t>
                      </w:r>
                      <w:r w:rsidR="003F079F" w:rsidRPr="003C32BC">
                        <w:rPr>
                          <w:rFonts w:asciiTheme="majorHAnsi" w:hAnsiTheme="majorHAnsi"/>
                          <w:color w:val="595959" w:themeColor="text1" w:themeTint="A6"/>
                          <w:sz w:val="18"/>
                        </w:rPr>
                        <w:t>. Inadmi</w:t>
                      </w:r>
                      <w:r w:rsidR="003F079F">
                        <w:rPr>
                          <w:rFonts w:asciiTheme="majorHAnsi" w:hAnsiTheme="majorHAnsi"/>
                          <w:color w:val="595959" w:themeColor="text1" w:themeTint="A6"/>
                          <w:sz w:val="18"/>
                        </w:rPr>
                        <w:t>ssibility. Felicidad Flores Solórzano.</w:t>
                      </w:r>
                      <w:r w:rsidR="003F079F" w:rsidRPr="003C32BC">
                        <w:rPr>
                          <w:rFonts w:asciiTheme="majorHAnsi" w:hAnsiTheme="majorHAnsi"/>
                          <w:color w:val="595959" w:themeColor="text1" w:themeTint="A6"/>
                          <w:sz w:val="18"/>
                        </w:rPr>
                        <w:t xml:space="preserve"> </w:t>
                      </w:r>
                      <w:r w:rsidR="003F079F">
                        <w:rPr>
                          <w:rFonts w:asciiTheme="majorHAnsi" w:hAnsiTheme="majorHAnsi"/>
                          <w:color w:val="595959" w:themeColor="text1" w:themeTint="A6"/>
                          <w:sz w:val="18"/>
                        </w:rPr>
                        <w:t xml:space="preserve">Mexico. </w:t>
                      </w:r>
                      <w:r w:rsidR="00C76176">
                        <w:rPr>
                          <w:rFonts w:asciiTheme="majorHAnsi" w:hAnsiTheme="majorHAnsi"/>
                          <w:color w:val="595959" w:themeColor="text1" w:themeTint="A6"/>
                          <w:sz w:val="18"/>
                        </w:rPr>
                        <w:t>October 26, 2017</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B6659B" w:rsidRDefault="002C1641" w:rsidP="00040C3A">
      <w:pPr>
        <w:tabs>
          <w:tab w:val="center" w:pos="5400"/>
        </w:tabs>
        <w:suppressAutoHyphens/>
        <w:jc w:val="center"/>
        <w:rPr>
          <w:rFonts w:asciiTheme="majorHAnsi" w:hAnsiTheme="majorHAnsi"/>
          <w:sz w:val="18"/>
          <w:szCs w:val="22"/>
        </w:rPr>
      </w:pPr>
    </w:p>
    <w:p w14:paraId="5420A6FF" w14:textId="77777777" w:rsidR="002C1641" w:rsidRPr="00B6659B" w:rsidRDefault="002C1641" w:rsidP="00040C3A">
      <w:pPr>
        <w:tabs>
          <w:tab w:val="center" w:pos="5400"/>
        </w:tabs>
        <w:suppressAutoHyphens/>
        <w:jc w:val="center"/>
        <w:rPr>
          <w:rFonts w:asciiTheme="majorHAnsi" w:hAnsiTheme="majorHAnsi"/>
          <w:sz w:val="18"/>
          <w:szCs w:val="22"/>
        </w:rPr>
      </w:pPr>
    </w:p>
    <w:p w14:paraId="03B36C31" w14:textId="77777777" w:rsidR="003C32BC" w:rsidRPr="00B6659B" w:rsidRDefault="003C32BC" w:rsidP="003C32BC">
      <w:pPr>
        <w:tabs>
          <w:tab w:val="center" w:pos="5400"/>
        </w:tabs>
        <w:suppressAutoHyphens/>
        <w:jc w:val="center"/>
        <w:rPr>
          <w:rFonts w:asciiTheme="majorHAnsi" w:hAnsiTheme="majorHAnsi"/>
          <w:sz w:val="18"/>
          <w:szCs w:val="22"/>
        </w:rPr>
      </w:pPr>
    </w:p>
    <w:p w14:paraId="154A4854" w14:textId="77777777" w:rsidR="003C32BC" w:rsidRPr="00B6659B" w:rsidRDefault="006311DA" w:rsidP="003C32BC">
      <w:pPr>
        <w:tabs>
          <w:tab w:val="center" w:pos="5400"/>
        </w:tabs>
        <w:suppressAutoHyphens/>
        <w:jc w:val="center"/>
        <w:rPr>
          <w:rFonts w:asciiTheme="majorHAnsi" w:hAnsiTheme="majorHAnsi"/>
          <w:sz w:val="18"/>
          <w:szCs w:val="22"/>
        </w:rPr>
      </w:pPr>
      <w:r w:rsidRPr="00B6659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B6659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B6659B" w:rsidRDefault="007607C4" w:rsidP="003C32BC">
      <w:pPr>
        <w:tabs>
          <w:tab w:val="center" w:pos="5400"/>
        </w:tabs>
        <w:suppressAutoHyphens/>
        <w:jc w:val="center"/>
        <w:rPr>
          <w:rFonts w:asciiTheme="majorHAnsi" w:hAnsiTheme="majorHAnsi"/>
          <w:sz w:val="18"/>
          <w:szCs w:val="22"/>
        </w:rPr>
        <w:sectPr w:rsidR="007607C4" w:rsidRPr="00B6659B"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5600F224" w:rsidR="00F621C3" w:rsidRPr="00B6659B" w:rsidRDefault="00F621C3" w:rsidP="004A2675">
      <w:pPr>
        <w:tabs>
          <w:tab w:val="center" w:pos="5400"/>
        </w:tabs>
        <w:suppressAutoHyphens/>
        <w:spacing w:line="276" w:lineRule="auto"/>
        <w:jc w:val="center"/>
        <w:rPr>
          <w:rFonts w:asciiTheme="majorHAnsi" w:hAnsiTheme="majorHAnsi"/>
          <w:b/>
          <w:sz w:val="18"/>
          <w:szCs w:val="20"/>
        </w:rPr>
      </w:pPr>
      <w:r w:rsidRPr="00B6659B">
        <w:rPr>
          <w:rFonts w:asciiTheme="majorHAnsi" w:hAnsiTheme="majorHAnsi"/>
          <w:b/>
          <w:sz w:val="18"/>
          <w:szCs w:val="20"/>
        </w:rPr>
        <w:lastRenderedPageBreak/>
        <w:t xml:space="preserve">REPORT No. </w:t>
      </w:r>
      <w:r w:rsidR="00C76176">
        <w:rPr>
          <w:rFonts w:asciiTheme="majorHAnsi" w:hAnsiTheme="majorHAnsi"/>
          <w:b/>
          <w:sz w:val="18"/>
          <w:szCs w:val="20"/>
        </w:rPr>
        <w:t>151</w:t>
      </w:r>
      <w:r w:rsidRPr="00B6659B">
        <w:rPr>
          <w:rFonts w:asciiTheme="majorHAnsi" w:hAnsiTheme="majorHAnsi"/>
          <w:b/>
          <w:sz w:val="18"/>
          <w:szCs w:val="20"/>
        </w:rPr>
        <w:t>/1</w:t>
      </w:r>
      <w:r w:rsidR="002760CE" w:rsidRPr="00B6659B">
        <w:rPr>
          <w:rFonts w:asciiTheme="majorHAnsi" w:hAnsiTheme="majorHAnsi"/>
          <w:b/>
          <w:sz w:val="18"/>
          <w:szCs w:val="20"/>
        </w:rPr>
        <w:t>7</w:t>
      </w:r>
      <w:r w:rsidR="004A2675" w:rsidRPr="00B6659B">
        <w:rPr>
          <w:rFonts w:asciiTheme="majorHAnsi" w:hAnsiTheme="majorHAnsi"/>
          <w:b/>
          <w:sz w:val="18"/>
          <w:szCs w:val="20"/>
          <w:vertAlign w:val="superscript"/>
        </w:rPr>
        <w:footnoteReference w:id="2"/>
      </w:r>
      <w:r w:rsidR="004A2675" w:rsidRPr="00B6659B">
        <w:rPr>
          <w:rFonts w:asciiTheme="majorHAnsi" w:hAnsiTheme="majorHAnsi"/>
          <w:b/>
          <w:sz w:val="18"/>
          <w:szCs w:val="20"/>
        </w:rPr>
        <w:t xml:space="preserve"> </w:t>
      </w:r>
    </w:p>
    <w:p w14:paraId="6F6886BD" w14:textId="77777777" w:rsidR="003F079F" w:rsidRPr="00B6659B" w:rsidRDefault="00F621C3" w:rsidP="003F079F">
      <w:pPr>
        <w:tabs>
          <w:tab w:val="center" w:pos="5400"/>
        </w:tabs>
        <w:suppressAutoHyphens/>
        <w:spacing w:line="276" w:lineRule="auto"/>
        <w:jc w:val="center"/>
        <w:rPr>
          <w:rFonts w:asciiTheme="majorHAnsi" w:hAnsiTheme="majorHAnsi"/>
          <w:b/>
          <w:sz w:val="18"/>
          <w:szCs w:val="20"/>
        </w:rPr>
      </w:pPr>
      <w:r w:rsidRPr="00B6659B">
        <w:rPr>
          <w:rFonts w:asciiTheme="majorHAnsi" w:hAnsiTheme="majorHAnsi"/>
          <w:b/>
          <w:sz w:val="18"/>
          <w:szCs w:val="20"/>
        </w:rPr>
        <w:t xml:space="preserve">PETITION </w:t>
      </w:r>
      <w:r w:rsidR="003F079F" w:rsidRPr="00B6659B">
        <w:rPr>
          <w:rFonts w:asciiTheme="majorHAnsi" w:hAnsiTheme="majorHAnsi"/>
          <w:b/>
          <w:sz w:val="18"/>
          <w:szCs w:val="20"/>
        </w:rPr>
        <w:t xml:space="preserve">1474-07 </w:t>
      </w:r>
    </w:p>
    <w:p w14:paraId="0A99DE34" w14:textId="4BEE23EB" w:rsidR="003F079F" w:rsidRPr="00B6659B" w:rsidRDefault="003F079F" w:rsidP="003F079F">
      <w:pPr>
        <w:spacing w:line="276" w:lineRule="auto"/>
        <w:jc w:val="center"/>
        <w:rPr>
          <w:rFonts w:asciiTheme="majorHAnsi" w:hAnsiTheme="majorHAnsi" w:cs="Arial"/>
          <w:color w:val="0D0D0D" w:themeColor="text1" w:themeTint="F2"/>
          <w:sz w:val="18"/>
          <w:szCs w:val="18"/>
        </w:rPr>
      </w:pPr>
      <w:r w:rsidRPr="00B6659B">
        <w:rPr>
          <w:rFonts w:asciiTheme="majorHAnsi" w:hAnsiTheme="majorHAnsi" w:cs="Arial"/>
          <w:color w:val="0D0D0D" w:themeColor="text1" w:themeTint="F2"/>
          <w:sz w:val="18"/>
          <w:szCs w:val="18"/>
        </w:rPr>
        <w:t>REPORT ON INADMISSIBILITY</w:t>
      </w:r>
    </w:p>
    <w:p w14:paraId="3802FF8D" w14:textId="77777777" w:rsidR="003F079F" w:rsidRPr="00B5262B" w:rsidRDefault="003F079F" w:rsidP="003F079F">
      <w:pPr>
        <w:tabs>
          <w:tab w:val="center" w:pos="5400"/>
        </w:tabs>
        <w:suppressAutoHyphens/>
        <w:spacing w:line="276" w:lineRule="auto"/>
        <w:jc w:val="center"/>
        <w:rPr>
          <w:rFonts w:asciiTheme="majorHAnsi" w:hAnsiTheme="majorHAnsi"/>
          <w:sz w:val="18"/>
          <w:szCs w:val="20"/>
          <w:lang w:val="es-ES"/>
        </w:rPr>
      </w:pPr>
      <w:r w:rsidRPr="00B5262B">
        <w:rPr>
          <w:rFonts w:asciiTheme="majorHAnsi" w:hAnsiTheme="majorHAnsi"/>
          <w:sz w:val="18"/>
          <w:szCs w:val="20"/>
          <w:lang w:val="es-ES"/>
        </w:rPr>
        <w:t>FELICIDAD FLORES SOLÓRZANO</w:t>
      </w:r>
    </w:p>
    <w:p w14:paraId="6612A062" w14:textId="519B4A0C" w:rsidR="003F079F" w:rsidRPr="00B5262B" w:rsidRDefault="003F079F" w:rsidP="003F079F">
      <w:pPr>
        <w:tabs>
          <w:tab w:val="center" w:pos="5400"/>
        </w:tabs>
        <w:suppressAutoHyphens/>
        <w:spacing w:line="276" w:lineRule="auto"/>
        <w:jc w:val="center"/>
        <w:rPr>
          <w:rFonts w:asciiTheme="majorHAnsi" w:hAnsiTheme="majorHAnsi"/>
          <w:sz w:val="18"/>
          <w:szCs w:val="20"/>
          <w:lang w:val="es-ES"/>
        </w:rPr>
      </w:pPr>
      <w:r w:rsidRPr="00B5262B">
        <w:rPr>
          <w:rFonts w:asciiTheme="majorHAnsi" w:hAnsiTheme="majorHAnsi"/>
          <w:sz w:val="18"/>
          <w:szCs w:val="20"/>
          <w:lang w:val="es-ES"/>
        </w:rPr>
        <w:t>MEXICO</w:t>
      </w:r>
    </w:p>
    <w:p w14:paraId="2900C44D" w14:textId="7DC71D8F" w:rsidR="00F621C3" w:rsidRPr="00B5262B" w:rsidRDefault="00B5262B" w:rsidP="003F079F">
      <w:pPr>
        <w:tabs>
          <w:tab w:val="center" w:pos="5400"/>
        </w:tabs>
        <w:suppressAutoHyphens/>
        <w:spacing w:line="276" w:lineRule="auto"/>
        <w:jc w:val="center"/>
        <w:rPr>
          <w:rFonts w:asciiTheme="majorHAnsi" w:hAnsiTheme="majorHAnsi"/>
          <w:color w:val="FF0000"/>
          <w:sz w:val="18"/>
          <w:szCs w:val="20"/>
          <w:lang w:val="es-ES"/>
        </w:rPr>
      </w:pPr>
      <w:r w:rsidRPr="00B5262B">
        <w:rPr>
          <w:rFonts w:asciiTheme="majorHAnsi" w:hAnsiTheme="majorHAnsi"/>
          <w:sz w:val="18"/>
          <w:szCs w:val="20"/>
          <w:lang w:val="es-ES"/>
        </w:rPr>
        <w:t>OCTOBER 26, 2017</w:t>
      </w:r>
    </w:p>
    <w:p w14:paraId="1D7793C5" w14:textId="77777777" w:rsidR="00F621C3" w:rsidRPr="00B5262B" w:rsidRDefault="00F621C3" w:rsidP="00F621C3">
      <w:pPr>
        <w:tabs>
          <w:tab w:val="center" w:pos="5400"/>
        </w:tabs>
        <w:suppressAutoHyphens/>
        <w:spacing w:line="276" w:lineRule="auto"/>
        <w:rPr>
          <w:rFonts w:asciiTheme="majorHAnsi" w:hAnsiTheme="majorHAnsi"/>
          <w:sz w:val="20"/>
          <w:szCs w:val="20"/>
          <w:lang w:val="es-ES"/>
        </w:rPr>
      </w:pPr>
    </w:p>
    <w:p w14:paraId="0F6C9F39" w14:textId="237FA7B4" w:rsidR="00F621C3" w:rsidRPr="00B6659B" w:rsidRDefault="00F621C3" w:rsidP="00F621C3">
      <w:pPr>
        <w:spacing w:after="240"/>
        <w:ind w:firstLine="720"/>
        <w:jc w:val="both"/>
        <w:rPr>
          <w:rFonts w:asciiTheme="majorHAnsi" w:hAnsiTheme="majorHAnsi"/>
          <w:b/>
          <w:bCs/>
          <w:sz w:val="20"/>
          <w:szCs w:val="20"/>
        </w:rPr>
      </w:pPr>
      <w:r w:rsidRPr="00B6659B">
        <w:rPr>
          <w:rFonts w:asciiTheme="majorHAnsi" w:hAnsiTheme="majorHAnsi"/>
          <w:b/>
          <w:bCs/>
          <w:sz w:val="20"/>
          <w:szCs w:val="20"/>
        </w:rPr>
        <w:t>I.</w:t>
      </w:r>
      <w:r w:rsidRPr="00B6659B">
        <w:rPr>
          <w:rFonts w:asciiTheme="majorHAnsi" w:hAnsiTheme="majorHAnsi"/>
          <w:b/>
          <w:bCs/>
          <w:sz w:val="20"/>
          <w:szCs w:val="20"/>
        </w:rPr>
        <w:tab/>
      </w:r>
      <w:r w:rsidR="00592718" w:rsidRPr="00B6659B">
        <w:rPr>
          <w:rFonts w:asciiTheme="majorHAnsi" w:hAnsiTheme="majorHAnsi"/>
          <w:b/>
          <w:bCs/>
          <w:sz w:val="20"/>
          <w:szCs w:val="20"/>
        </w:rPr>
        <w:t>INFORMATION ABOUT THE PETITION</w:t>
      </w:r>
      <w:r w:rsidRPr="00B6659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CB63DE" w:rsidRPr="00B6659B" w14:paraId="491E8196" w14:textId="77777777" w:rsidTr="00CB63DE">
        <w:tc>
          <w:tcPr>
            <w:tcW w:w="4680" w:type="dxa"/>
            <w:tcBorders>
              <w:top w:val="single" w:sz="4" w:space="0" w:color="auto"/>
              <w:bottom w:val="single" w:sz="6" w:space="0" w:color="auto"/>
            </w:tcBorders>
            <w:shd w:val="clear" w:color="auto" w:fill="67AE3C"/>
            <w:vAlign w:val="center"/>
          </w:tcPr>
          <w:p w14:paraId="5524F917" w14:textId="2D6C5F0F" w:rsidR="00CB63DE" w:rsidRPr="00B6659B" w:rsidRDefault="00CB63DE" w:rsidP="003F079F">
            <w:pPr>
              <w:jc w:val="center"/>
              <w:rPr>
                <w:rFonts w:ascii="Cambria" w:hAnsi="Cambria"/>
                <w:b/>
                <w:bCs/>
                <w:color w:val="FFFFFF" w:themeColor="background1"/>
                <w:sz w:val="20"/>
                <w:szCs w:val="20"/>
              </w:rPr>
            </w:pPr>
            <w:r w:rsidRPr="00B6659B">
              <w:rPr>
                <w:rFonts w:ascii="Cambria" w:hAnsi="Cambria"/>
                <w:b/>
                <w:bCs/>
                <w:color w:val="FFFFFF" w:themeColor="background1"/>
                <w:sz w:val="20"/>
                <w:szCs w:val="20"/>
              </w:rPr>
              <w:t>Petitioner:</w:t>
            </w:r>
          </w:p>
        </w:tc>
        <w:tc>
          <w:tcPr>
            <w:tcW w:w="4680" w:type="dxa"/>
            <w:vAlign w:val="center"/>
          </w:tcPr>
          <w:p w14:paraId="42AE71D7" w14:textId="6B49C343" w:rsidR="00CB63DE" w:rsidRPr="00B6659B" w:rsidRDefault="00CB63DE" w:rsidP="003F079F">
            <w:pPr>
              <w:jc w:val="both"/>
              <w:rPr>
                <w:rFonts w:ascii="Cambria" w:hAnsi="Cambria"/>
                <w:bCs/>
                <w:sz w:val="20"/>
                <w:szCs w:val="20"/>
              </w:rPr>
            </w:pPr>
            <w:r w:rsidRPr="00B6659B">
              <w:rPr>
                <w:rFonts w:asciiTheme="majorHAnsi" w:hAnsiTheme="majorHAnsi" w:cs="GillSansMT"/>
                <w:sz w:val="20"/>
                <w:szCs w:val="20"/>
                <w:lang w:eastAsia="es-ES"/>
              </w:rPr>
              <w:t>Centro de Derechos Humanos Fray Jacobo Daciano and others</w:t>
            </w:r>
            <w:r w:rsidRPr="00B6659B">
              <w:rPr>
                <w:rStyle w:val="FootnoteReference"/>
                <w:rFonts w:asciiTheme="majorHAnsi" w:hAnsiTheme="majorHAnsi" w:cs="GillSansMT"/>
                <w:sz w:val="20"/>
                <w:szCs w:val="20"/>
                <w:lang w:eastAsia="es-ES"/>
              </w:rPr>
              <w:footnoteReference w:id="3"/>
            </w:r>
          </w:p>
        </w:tc>
      </w:tr>
      <w:tr w:rsidR="00CB63DE" w:rsidRPr="00B6659B" w14:paraId="0F4A57A0" w14:textId="77777777" w:rsidTr="00CB63DE">
        <w:tc>
          <w:tcPr>
            <w:tcW w:w="4680" w:type="dxa"/>
            <w:tcBorders>
              <w:top w:val="single" w:sz="6" w:space="0" w:color="auto"/>
              <w:bottom w:val="single" w:sz="6" w:space="0" w:color="auto"/>
            </w:tcBorders>
            <w:shd w:val="clear" w:color="auto" w:fill="67AE3C"/>
            <w:vAlign w:val="center"/>
          </w:tcPr>
          <w:p w14:paraId="325E239F" w14:textId="5CA6565C" w:rsidR="00CB63DE" w:rsidRPr="00B6659B" w:rsidRDefault="001E096E" w:rsidP="003F079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8C3937CCC1BE46798D47D7D716BEF88B"/>
                </w:placeholder>
                <w:dropDownList>
                  <w:listItem w:value="Choose an item."/>
                  <w:listItem w:displayText="Alleged victim" w:value="Alleged victim"/>
                  <w:listItem w:displayText="Alleged victims" w:value="Alleged victims"/>
                </w:dropDownList>
              </w:sdtPr>
              <w:sdtEndPr/>
              <w:sdtContent>
                <w:r w:rsidR="00CB63DE" w:rsidRPr="00B6659B">
                  <w:rPr>
                    <w:rFonts w:ascii="Cambria" w:hAnsi="Cambria"/>
                    <w:b/>
                    <w:bCs/>
                    <w:color w:val="FFFFFF" w:themeColor="background1"/>
                    <w:sz w:val="20"/>
                    <w:szCs w:val="20"/>
                  </w:rPr>
                  <w:t>Alleged victim</w:t>
                </w:r>
              </w:sdtContent>
            </w:sdt>
            <w:r w:rsidR="00CB63DE" w:rsidRPr="00B6659B">
              <w:rPr>
                <w:rFonts w:ascii="Cambria" w:hAnsi="Cambria"/>
                <w:b/>
                <w:bCs/>
                <w:color w:val="FFFFFF" w:themeColor="background1"/>
                <w:sz w:val="20"/>
                <w:szCs w:val="20"/>
              </w:rPr>
              <w:t>:</w:t>
            </w:r>
          </w:p>
        </w:tc>
        <w:tc>
          <w:tcPr>
            <w:tcW w:w="4680" w:type="dxa"/>
            <w:vAlign w:val="center"/>
          </w:tcPr>
          <w:p w14:paraId="1F18147A" w14:textId="1E47DFE0" w:rsidR="00CB63DE" w:rsidRPr="00B6659B" w:rsidRDefault="00CB63DE" w:rsidP="003F079F">
            <w:pPr>
              <w:jc w:val="both"/>
              <w:rPr>
                <w:rFonts w:ascii="Cambria" w:hAnsi="Cambria"/>
                <w:bCs/>
                <w:sz w:val="20"/>
                <w:szCs w:val="20"/>
              </w:rPr>
            </w:pPr>
            <w:r w:rsidRPr="00B6659B">
              <w:rPr>
                <w:rFonts w:asciiTheme="majorHAnsi" w:hAnsiTheme="majorHAnsi"/>
                <w:sz w:val="20"/>
                <w:szCs w:val="20"/>
              </w:rPr>
              <w:t>Felicidad Flores Solórzano</w:t>
            </w:r>
          </w:p>
        </w:tc>
      </w:tr>
      <w:tr w:rsidR="00CB63DE" w:rsidRPr="00B6659B" w14:paraId="067638D2" w14:textId="77777777" w:rsidTr="00CB63DE">
        <w:tc>
          <w:tcPr>
            <w:tcW w:w="4680" w:type="dxa"/>
            <w:tcBorders>
              <w:top w:val="single" w:sz="6" w:space="0" w:color="auto"/>
              <w:bottom w:val="single" w:sz="6" w:space="0" w:color="auto"/>
            </w:tcBorders>
            <w:shd w:val="clear" w:color="auto" w:fill="67AE3C"/>
            <w:vAlign w:val="center"/>
          </w:tcPr>
          <w:p w14:paraId="32104528" w14:textId="77777777" w:rsidR="00CB63DE" w:rsidRPr="00B6659B" w:rsidRDefault="00CB63DE" w:rsidP="003F079F">
            <w:pPr>
              <w:jc w:val="center"/>
              <w:rPr>
                <w:rFonts w:ascii="Cambria" w:hAnsi="Cambria"/>
                <w:b/>
                <w:bCs/>
                <w:color w:val="FFFFFF" w:themeColor="background1"/>
                <w:sz w:val="20"/>
                <w:szCs w:val="20"/>
              </w:rPr>
            </w:pPr>
            <w:r w:rsidRPr="00B6659B">
              <w:rPr>
                <w:rFonts w:ascii="Cambria" w:hAnsi="Cambria"/>
                <w:b/>
                <w:bCs/>
                <w:color w:val="FFFFFF" w:themeColor="background1"/>
                <w:sz w:val="20"/>
                <w:szCs w:val="20"/>
              </w:rPr>
              <w:t>State denounced:</w:t>
            </w:r>
          </w:p>
        </w:tc>
        <w:tc>
          <w:tcPr>
            <w:tcW w:w="4680" w:type="dxa"/>
            <w:vAlign w:val="center"/>
          </w:tcPr>
          <w:p w14:paraId="2BD0217B" w14:textId="08C43287" w:rsidR="00CB63DE" w:rsidRPr="00B6659B" w:rsidRDefault="00CB63DE" w:rsidP="003F079F">
            <w:pPr>
              <w:jc w:val="both"/>
              <w:rPr>
                <w:rFonts w:ascii="Cambria" w:hAnsi="Cambria"/>
                <w:bCs/>
                <w:sz w:val="20"/>
                <w:szCs w:val="20"/>
              </w:rPr>
            </w:pPr>
            <w:r w:rsidRPr="00B6659B">
              <w:rPr>
                <w:rFonts w:ascii="Cambria" w:hAnsi="Cambria"/>
                <w:bCs/>
                <w:sz w:val="20"/>
                <w:szCs w:val="20"/>
              </w:rPr>
              <w:t>Mexico</w:t>
            </w:r>
          </w:p>
        </w:tc>
      </w:tr>
      <w:tr w:rsidR="00CB63DE" w:rsidRPr="00B6659B" w14:paraId="57F2C481" w14:textId="77777777" w:rsidTr="00CB63DE">
        <w:tc>
          <w:tcPr>
            <w:tcW w:w="4680" w:type="dxa"/>
            <w:tcBorders>
              <w:top w:val="single" w:sz="6" w:space="0" w:color="auto"/>
              <w:bottom w:val="single" w:sz="6" w:space="0" w:color="auto"/>
            </w:tcBorders>
            <w:shd w:val="clear" w:color="auto" w:fill="67AE3C"/>
            <w:vAlign w:val="center"/>
          </w:tcPr>
          <w:p w14:paraId="62BEEF4B" w14:textId="52EAAEA3" w:rsidR="00CB63DE" w:rsidRPr="00B6659B" w:rsidRDefault="00CB63DE" w:rsidP="003F079F">
            <w:pPr>
              <w:jc w:val="center"/>
              <w:rPr>
                <w:rFonts w:ascii="Cambria" w:hAnsi="Cambria"/>
                <w:b/>
                <w:bCs/>
                <w:color w:val="FFFFFF" w:themeColor="background1"/>
                <w:sz w:val="20"/>
                <w:szCs w:val="20"/>
              </w:rPr>
            </w:pPr>
            <w:r w:rsidRPr="00B6659B">
              <w:rPr>
                <w:rFonts w:ascii="Cambria" w:hAnsi="Cambria"/>
                <w:b/>
                <w:bCs/>
                <w:color w:val="FFFFFF" w:themeColor="background1"/>
                <w:sz w:val="20"/>
                <w:szCs w:val="20"/>
              </w:rPr>
              <w:t>Rights invoked:</w:t>
            </w:r>
          </w:p>
        </w:tc>
        <w:tc>
          <w:tcPr>
            <w:tcW w:w="4680" w:type="dxa"/>
            <w:vAlign w:val="center"/>
          </w:tcPr>
          <w:p w14:paraId="459392C5" w14:textId="4C84A4C5" w:rsidR="00CB63DE" w:rsidRPr="00B6659B" w:rsidRDefault="00611370" w:rsidP="006E0A93">
            <w:pPr>
              <w:jc w:val="both"/>
              <w:rPr>
                <w:rFonts w:asciiTheme="majorHAnsi" w:hAnsiTheme="majorHAnsi" w:cs="Arial"/>
                <w:sz w:val="20"/>
                <w:szCs w:val="20"/>
              </w:rPr>
            </w:pPr>
            <w:r w:rsidRPr="00B6659B">
              <w:rPr>
                <w:rFonts w:asciiTheme="majorHAnsi" w:hAnsiTheme="majorHAnsi" w:cs="Arial"/>
                <w:sz w:val="20"/>
                <w:szCs w:val="20"/>
              </w:rPr>
              <w:t>A</w:t>
            </w:r>
            <w:r w:rsidR="00CB63DE" w:rsidRPr="00B6659B">
              <w:rPr>
                <w:rFonts w:asciiTheme="majorHAnsi" w:hAnsiTheme="majorHAnsi" w:cs="Arial"/>
                <w:sz w:val="20"/>
                <w:szCs w:val="20"/>
              </w:rPr>
              <w:t>rticles 1.1 (</w:t>
            </w:r>
            <w:r w:rsidR="00CB63DE" w:rsidRPr="00B6659B">
              <w:rPr>
                <w:rFonts w:asciiTheme="majorHAnsi" w:hAnsiTheme="majorHAnsi" w:cs="Tahoma"/>
                <w:bCs/>
                <w:color w:val="000000"/>
                <w:sz w:val="20"/>
                <w:szCs w:val="20"/>
              </w:rPr>
              <w:t>obligation to respect rights</w:t>
            </w:r>
            <w:r w:rsidR="00CB63DE" w:rsidRPr="00B6659B">
              <w:rPr>
                <w:rFonts w:asciiTheme="majorHAnsi" w:hAnsiTheme="majorHAnsi" w:cs="Arial"/>
                <w:sz w:val="20"/>
                <w:szCs w:val="20"/>
              </w:rPr>
              <w:t>), 2 (</w:t>
            </w:r>
            <w:r w:rsidR="00CB63DE" w:rsidRPr="00B6659B">
              <w:rPr>
                <w:rFonts w:asciiTheme="majorHAnsi" w:hAnsiTheme="majorHAnsi" w:cs="Tahoma"/>
                <w:bCs/>
                <w:color w:val="000000"/>
                <w:sz w:val="20"/>
                <w:szCs w:val="20"/>
              </w:rPr>
              <w:t>domestic legal effects</w:t>
            </w:r>
            <w:r w:rsidR="00CB63DE" w:rsidRPr="00B6659B">
              <w:rPr>
                <w:rFonts w:asciiTheme="majorHAnsi" w:hAnsiTheme="majorHAnsi" w:cs="Tahoma"/>
                <w:bCs/>
                <w:sz w:val="20"/>
                <w:szCs w:val="20"/>
              </w:rPr>
              <w:t>)</w:t>
            </w:r>
            <w:r w:rsidR="00CB63DE" w:rsidRPr="00B6659B">
              <w:rPr>
                <w:rFonts w:asciiTheme="majorHAnsi" w:hAnsiTheme="majorHAnsi" w:cs="Arial"/>
                <w:sz w:val="20"/>
                <w:szCs w:val="20"/>
              </w:rPr>
              <w:t>, 8 (</w:t>
            </w:r>
            <w:r w:rsidR="00CB63DE" w:rsidRPr="00B6659B">
              <w:rPr>
                <w:rFonts w:asciiTheme="majorHAnsi" w:hAnsiTheme="majorHAnsi" w:cs="Tahoma"/>
                <w:bCs/>
                <w:color w:val="000000"/>
                <w:sz w:val="20"/>
                <w:szCs w:val="20"/>
              </w:rPr>
              <w:t>right to a fair trial</w:t>
            </w:r>
            <w:r w:rsidR="00CB63DE" w:rsidRPr="00B6659B">
              <w:rPr>
                <w:rFonts w:asciiTheme="majorHAnsi" w:hAnsiTheme="majorHAnsi" w:cs="Tahoma"/>
                <w:bCs/>
                <w:sz w:val="20"/>
                <w:szCs w:val="20"/>
              </w:rPr>
              <w:t>)</w:t>
            </w:r>
            <w:r w:rsidR="00CB63DE" w:rsidRPr="00B6659B">
              <w:rPr>
                <w:rFonts w:asciiTheme="majorHAnsi" w:hAnsiTheme="majorHAnsi" w:cs="Arial"/>
                <w:sz w:val="20"/>
                <w:szCs w:val="20"/>
              </w:rPr>
              <w:t>, 16 (f</w:t>
            </w:r>
            <w:r w:rsidR="00CB63DE" w:rsidRPr="00B6659B">
              <w:rPr>
                <w:rFonts w:asciiTheme="majorHAnsi" w:hAnsiTheme="majorHAnsi" w:cs="Tahoma"/>
                <w:bCs/>
                <w:color w:val="000000"/>
                <w:sz w:val="20"/>
                <w:szCs w:val="20"/>
              </w:rPr>
              <w:t>reedom of association</w:t>
            </w:r>
            <w:r w:rsidR="00CB63DE" w:rsidRPr="00B6659B">
              <w:rPr>
                <w:rFonts w:asciiTheme="majorHAnsi" w:hAnsiTheme="majorHAnsi" w:cs="Tahoma"/>
                <w:bCs/>
                <w:sz w:val="20"/>
                <w:szCs w:val="20"/>
              </w:rPr>
              <w:t>)</w:t>
            </w:r>
            <w:r w:rsidR="00CB63DE" w:rsidRPr="00B6659B">
              <w:rPr>
                <w:rFonts w:asciiTheme="majorHAnsi" w:hAnsiTheme="majorHAnsi" w:cs="Arial"/>
                <w:sz w:val="20"/>
                <w:szCs w:val="20"/>
              </w:rPr>
              <w:t>, 24 (r</w:t>
            </w:r>
            <w:r w:rsidR="00CB63DE" w:rsidRPr="00B6659B">
              <w:rPr>
                <w:rFonts w:asciiTheme="majorHAnsi" w:hAnsiTheme="majorHAnsi" w:cs="Tahoma"/>
                <w:bCs/>
                <w:color w:val="000000"/>
                <w:sz w:val="20"/>
                <w:szCs w:val="20"/>
              </w:rPr>
              <w:t>ight to equal protection</w:t>
            </w:r>
            <w:r w:rsidR="00CB63DE" w:rsidRPr="00B6659B">
              <w:rPr>
                <w:rFonts w:asciiTheme="majorHAnsi" w:hAnsiTheme="majorHAnsi" w:cs="Tahoma"/>
                <w:bCs/>
                <w:sz w:val="20"/>
                <w:szCs w:val="20"/>
              </w:rPr>
              <w:t>)</w:t>
            </w:r>
            <w:r w:rsidR="00CB63DE" w:rsidRPr="00B6659B">
              <w:rPr>
                <w:rFonts w:asciiTheme="majorHAnsi" w:hAnsiTheme="majorHAnsi" w:cs="Arial"/>
                <w:sz w:val="20"/>
                <w:szCs w:val="20"/>
              </w:rPr>
              <w:t xml:space="preserve"> and 25 (</w:t>
            </w:r>
            <w:r w:rsidR="00CB63DE" w:rsidRPr="00B6659B">
              <w:rPr>
                <w:rFonts w:asciiTheme="majorHAnsi" w:hAnsiTheme="majorHAnsi" w:cs="Tahoma"/>
                <w:bCs/>
                <w:color w:val="000000"/>
                <w:sz w:val="20"/>
                <w:szCs w:val="20"/>
              </w:rPr>
              <w:t>right to judicial protection</w:t>
            </w:r>
            <w:r w:rsidR="00CB63DE" w:rsidRPr="00B6659B">
              <w:rPr>
                <w:rFonts w:asciiTheme="majorHAnsi" w:hAnsiTheme="majorHAnsi" w:cs="Tahoma"/>
                <w:bCs/>
                <w:sz w:val="20"/>
                <w:szCs w:val="20"/>
              </w:rPr>
              <w:t xml:space="preserve">) </w:t>
            </w:r>
            <w:r w:rsidR="00CB63DE" w:rsidRPr="00B6659B">
              <w:rPr>
                <w:rFonts w:asciiTheme="majorHAnsi" w:hAnsiTheme="majorHAnsi"/>
                <w:sz w:val="20"/>
                <w:szCs w:val="20"/>
              </w:rPr>
              <w:t>of the American Convention on Human Rights</w:t>
            </w:r>
            <w:r w:rsidR="00CB63DE" w:rsidRPr="00B6659B">
              <w:rPr>
                <w:rStyle w:val="FootnoteReference"/>
                <w:rFonts w:asciiTheme="majorHAnsi" w:hAnsiTheme="majorHAnsi" w:cs="Arial"/>
                <w:sz w:val="20"/>
                <w:szCs w:val="20"/>
              </w:rPr>
              <w:footnoteReference w:id="4"/>
            </w:r>
            <w:r w:rsidR="00CB63DE" w:rsidRPr="00B6659B">
              <w:rPr>
                <w:rFonts w:asciiTheme="majorHAnsi" w:hAnsiTheme="majorHAnsi" w:cs="Arial"/>
                <w:sz w:val="20"/>
                <w:szCs w:val="20"/>
              </w:rPr>
              <w:t>;</w:t>
            </w:r>
            <w:r w:rsidR="00CB63DE" w:rsidRPr="00B6659B">
              <w:rPr>
                <w:rFonts w:ascii="Cambria" w:hAnsi="Cambria" w:cs="Arial"/>
                <w:sz w:val="20"/>
                <w:szCs w:val="20"/>
              </w:rPr>
              <w:t xml:space="preserve"> </w:t>
            </w:r>
            <w:r w:rsidR="00CB63DE" w:rsidRPr="00B6659B">
              <w:rPr>
                <w:rFonts w:asciiTheme="majorHAnsi" w:hAnsiTheme="majorHAnsi" w:cs="Arial"/>
                <w:sz w:val="20"/>
                <w:szCs w:val="20"/>
              </w:rPr>
              <w:t>3 (</w:t>
            </w:r>
            <w:r w:rsidR="00CB63DE" w:rsidRPr="00B6659B">
              <w:rPr>
                <w:rFonts w:asciiTheme="majorHAnsi" w:hAnsiTheme="majorHAnsi" w:cs="Tahoma"/>
                <w:bCs/>
                <w:sz w:val="20"/>
                <w:szCs w:val="20"/>
              </w:rPr>
              <w:t>Obligation of nondiscrimination)</w:t>
            </w:r>
            <w:r w:rsidR="00CB63DE" w:rsidRPr="00B6659B">
              <w:rPr>
                <w:rFonts w:asciiTheme="majorHAnsi" w:hAnsiTheme="majorHAnsi" w:cs="Arial"/>
                <w:sz w:val="20"/>
                <w:szCs w:val="20"/>
              </w:rPr>
              <w:t>, 6 (</w:t>
            </w:r>
            <w:r w:rsidR="00CB63DE" w:rsidRPr="00B6659B">
              <w:rPr>
                <w:rFonts w:asciiTheme="majorHAnsi" w:hAnsiTheme="majorHAnsi" w:cs="Tahoma"/>
                <w:bCs/>
                <w:sz w:val="20"/>
                <w:szCs w:val="20"/>
              </w:rPr>
              <w:t>Right to Work)</w:t>
            </w:r>
            <w:r w:rsidR="00CB63DE" w:rsidRPr="00B6659B">
              <w:rPr>
                <w:rFonts w:asciiTheme="majorHAnsi" w:hAnsiTheme="majorHAnsi" w:cs="Arial"/>
                <w:sz w:val="20"/>
                <w:szCs w:val="20"/>
              </w:rPr>
              <w:t xml:space="preserve"> and 7 (</w:t>
            </w:r>
            <w:r w:rsidR="00CB63DE" w:rsidRPr="00B6659B">
              <w:rPr>
                <w:rFonts w:asciiTheme="majorHAnsi" w:hAnsiTheme="majorHAnsi" w:cs="Tahoma"/>
                <w:bCs/>
                <w:sz w:val="20"/>
                <w:szCs w:val="20"/>
              </w:rPr>
              <w:t xml:space="preserve">Just, Equitable, and Satisfactory Conditions of Work) of the </w:t>
            </w:r>
            <w:r w:rsidR="00CB63DE" w:rsidRPr="00B6659B">
              <w:rPr>
                <w:rStyle w:val="Strong"/>
                <w:rFonts w:asciiTheme="majorHAnsi" w:hAnsiTheme="majorHAnsi" w:cs="Arial"/>
                <w:b w:val="0"/>
                <w:sz w:val="20"/>
                <w:szCs w:val="20"/>
              </w:rPr>
              <w:t>Additional Protocol to the American Convention</w:t>
            </w:r>
            <w:r w:rsidR="00CB63DE" w:rsidRPr="00B6659B">
              <w:rPr>
                <w:rFonts w:asciiTheme="majorHAnsi" w:hAnsiTheme="majorHAnsi" w:cs="Arial"/>
                <w:sz w:val="20"/>
                <w:szCs w:val="20"/>
              </w:rPr>
              <w:t xml:space="preserve"> on Human Rights </w:t>
            </w:r>
            <w:r w:rsidR="00CB63DE" w:rsidRPr="00B6659B">
              <w:rPr>
                <w:rStyle w:val="Strong"/>
                <w:rFonts w:asciiTheme="majorHAnsi" w:hAnsiTheme="majorHAnsi" w:cs="Arial"/>
                <w:b w:val="0"/>
                <w:sz w:val="20"/>
                <w:szCs w:val="20"/>
              </w:rPr>
              <w:t>in the Area of Economic, Social</w:t>
            </w:r>
            <w:r w:rsidR="00CB63DE" w:rsidRPr="00B6659B">
              <w:rPr>
                <w:rFonts w:asciiTheme="majorHAnsi" w:hAnsiTheme="majorHAnsi" w:cs="Arial"/>
                <w:b/>
                <w:sz w:val="20"/>
                <w:szCs w:val="20"/>
              </w:rPr>
              <w:t xml:space="preserve"> </w:t>
            </w:r>
            <w:r w:rsidR="00CB63DE" w:rsidRPr="00B6659B">
              <w:rPr>
                <w:rFonts w:asciiTheme="majorHAnsi" w:hAnsiTheme="majorHAnsi" w:cs="Arial"/>
                <w:sz w:val="20"/>
                <w:szCs w:val="20"/>
              </w:rPr>
              <w:t>and</w:t>
            </w:r>
            <w:r w:rsidR="00CB63DE" w:rsidRPr="00B6659B">
              <w:rPr>
                <w:rFonts w:asciiTheme="majorHAnsi" w:hAnsiTheme="majorHAnsi" w:cs="Arial"/>
                <w:b/>
                <w:sz w:val="20"/>
                <w:szCs w:val="20"/>
              </w:rPr>
              <w:t xml:space="preserve"> </w:t>
            </w:r>
            <w:r w:rsidR="00CB63DE" w:rsidRPr="00B6659B">
              <w:rPr>
                <w:rStyle w:val="Strong"/>
                <w:rFonts w:asciiTheme="majorHAnsi" w:hAnsiTheme="majorHAnsi" w:cs="Arial"/>
                <w:b w:val="0"/>
                <w:sz w:val="20"/>
                <w:szCs w:val="20"/>
              </w:rPr>
              <w:t>Cultural Rights</w:t>
            </w:r>
            <w:r w:rsidR="00CB63DE" w:rsidRPr="00B6659B">
              <w:rPr>
                <w:rStyle w:val="FootnoteReference"/>
                <w:rFonts w:asciiTheme="majorHAnsi" w:hAnsiTheme="majorHAnsi" w:cs="Arial"/>
                <w:sz w:val="20"/>
                <w:szCs w:val="20"/>
              </w:rPr>
              <w:footnoteReference w:id="5"/>
            </w:r>
            <w:r w:rsidR="00CB63DE" w:rsidRPr="00B6659B">
              <w:rPr>
                <w:rFonts w:asciiTheme="majorHAnsi" w:hAnsiTheme="majorHAnsi" w:cs="Arial"/>
                <w:sz w:val="20"/>
                <w:szCs w:val="20"/>
              </w:rPr>
              <w:t xml:space="preserve">; 1, 4, 5, 6 and 7 of the </w:t>
            </w:r>
            <w:r w:rsidR="00CB63DE" w:rsidRPr="00B6659B">
              <w:rPr>
                <w:rFonts w:asciiTheme="majorHAnsi" w:hAnsiTheme="majorHAnsi" w:cs="Arial"/>
                <w:sz w:val="20"/>
                <w:szCs w:val="20"/>
                <w:lang w:val="en"/>
              </w:rPr>
              <w:t xml:space="preserve">Inter-American </w:t>
            </w:r>
            <w:r w:rsidR="00CB63DE" w:rsidRPr="00B6659B">
              <w:rPr>
                <w:rFonts w:asciiTheme="majorHAnsi" w:hAnsiTheme="majorHAnsi" w:cs="Arial"/>
                <w:b/>
                <w:sz w:val="20"/>
                <w:szCs w:val="20"/>
                <w:lang w:val="en"/>
              </w:rPr>
              <w:t>C</w:t>
            </w:r>
            <w:r w:rsidR="00CB63DE" w:rsidRPr="00B6659B">
              <w:rPr>
                <w:rStyle w:val="Strong"/>
                <w:rFonts w:asciiTheme="majorHAnsi" w:hAnsiTheme="majorHAnsi" w:cs="Arial"/>
                <w:b w:val="0"/>
                <w:sz w:val="20"/>
                <w:szCs w:val="20"/>
                <w:lang w:val="en"/>
              </w:rPr>
              <w:t>onvention</w:t>
            </w:r>
            <w:r w:rsidR="00CB63DE" w:rsidRPr="00B6659B">
              <w:rPr>
                <w:rFonts w:asciiTheme="majorHAnsi" w:hAnsiTheme="majorHAnsi" w:cs="Arial"/>
                <w:sz w:val="20"/>
                <w:szCs w:val="20"/>
                <w:lang w:val="en"/>
              </w:rPr>
              <w:t xml:space="preserve"> on the Prevention, Punishment and Eradication of Violence Against Women</w:t>
            </w:r>
            <w:r w:rsidR="00CB63DE" w:rsidRPr="00B6659B">
              <w:rPr>
                <w:rStyle w:val="FootnoteReference"/>
                <w:rFonts w:asciiTheme="majorHAnsi" w:hAnsiTheme="majorHAnsi" w:cs="Arial"/>
                <w:sz w:val="20"/>
                <w:szCs w:val="20"/>
              </w:rPr>
              <w:footnoteReference w:id="6"/>
            </w:r>
            <w:r w:rsidR="00CB63DE" w:rsidRPr="00B6659B">
              <w:rPr>
                <w:rFonts w:asciiTheme="majorHAnsi" w:hAnsiTheme="majorHAnsi" w:cs="Arial"/>
                <w:sz w:val="20"/>
                <w:szCs w:val="20"/>
              </w:rPr>
              <w:t>; and another international treaty</w:t>
            </w:r>
            <w:r w:rsidR="00CB63DE" w:rsidRPr="00B6659B">
              <w:rPr>
                <w:rStyle w:val="FootnoteReference"/>
                <w:rFonts w:asciiTheme="majorHAnsi" w:hAnsiTheme="majorHAnsi" w:cs="Arial"/>
                <w:sz w:val="20"/>
                <w:szCs w:val="20"/>
              </w:rPr>
              <w:footnoteReference w:id="7"/>
            </w:r>
            <w:r w:rsidR="00CB63DE" w:rsidRPr="00B6659B">
              <w:rPr>
                <w:rFonts w:asciiTheme="majorHAnsi" w:hAnsiTheme="majorHAnsi" w:cs="Arial"/>
                <w:sz w:val="20"/>
                <w:szCs w:val="20"/>
              </w:rPr>
              <w:t xml:space="preserve"> </w:t>
            </w:r>
          </w:p>
        </w:tc>
      </w:tr>
    </w:tbl>
    <w:p w14:paraId="006E8D49" w14:textId="33200AF9" w:rsidR="00F621C3" w:rsidRPr="00B6659B" w:rsidRDefault="00F621C3" w:rsidP="00F621C3">
      <w:pPr>
        <w:spacing w:before="240" w:after="240"/>
        <w:ind w:firstLine="720"/>
        <w:jc w:val="both"/>
        <w:rPr>
          <w:rFonts w:asciiTheme="majorHAnsi" w:hAnsiTheme="majorHAnsi"/>
          <w:b/>
          <w:bCs/>
          <w:sz w:val="20"/>
          <w:szCs w:val="20"/>
        </w:rPr>
      </w:pPr>
      <w:r w:rsidRPr="00B6659B">
        <w:rPr>
          <w:rFonts w:asciiTheme="majorHAnsi" w:hAnsiTheme="majorHAnsi"/>
          <w:b/>
          <w:bCs/>
          <w:sz w:val="20"/>
          <w:szCs w:val="20"/>
        </w:rPr>
        <w:t>II.</w:t>
      </w:r>
      <w:r w:rsidRPr="00B6659B">
        <w:rPr>
          <w:rFonts w:asciiTheme="majorHAnsi" w:hAnsiTheme="majorHAnsi"/>
          <w:b/>
          <w:bCs/>
          <w:sz w:val="20"/>
          <w:szCs w:val="20"/>
        </w:rPr>
        <w:tab/>
        <w:t>PROCEDURE BEFORE THE IACHR</w:t>
      </w:r>
      <w:r w:rsidR="00653EA6" w:rsidRPr="00B6659B">
        <w:rPr>
          <w:rStyle w:val="FootnoteReference"/>
          <w:rFonts w:ascii="Cambria" w:hAnsi="Cambria"/>
          <w:b/>
          <w:sz w:val="20"/>
          <w:szCs w:val="20"/>
        </w:rPr>
        <w:footnoteReference w:id="8"/>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CB63DE" w:rsidRPr="00B6659B" w14:paraId="1CAEC3AF" w14:textId="77777777" w:rsidTr="00CB63DE">
        <w:tc>
          <w:tcPr>
            <w:tcW w:w="4680" w:type="dxa"/>
            <w:tcBorders>
              <w:top w:val="single" w:sz="6" w:space="0" w:color="auto"/>
              <w:bottom w:val="single" w:sz="6" w:space="0" w:color="auto"/>
            </w:tcBorders>
            <w:shd w:val="clear" w:color="auto" w:fill="67AE3C"/>
            <w:vAlign w:val="center"/>
          </w:tcPr>
          <w:p w14:paraId="2C2ED774" w14:textId="77777777" w:rsidR="00CB63DE" w:rsidRPr="00B6659B" w:rsidRDefault="00CB63DE" w:rsidP="00FC36D9">
            <w:pPr>
              <w:jc w:val="center"/>
              <w:rPr>
                <w:rFonts w:ascii="Cambria" w:hAnsi="Cambria"/>
                <w:b/>
                <w:bCs/>
                <w:color w:val="FFFFFF" w:themeColor="background1"/>
                <w:sz w:val="20"/>
                <w:szCs w:val="20"/>
              </w:rPr>
            </w:pPr>
            <w:r w:rsidRPr="00B6659B">
              <w:rPr>
                <w:rFonts w:ascii="Cambria" w:hAnsi="Cambria"/>
                <w:b/>
                <w:bCs/>
                <w:color w:val="FFFFFF" w:themeColor="background1"/>
                <w:sz w:val="20"/>
                <w:szCs w:val="20"/>
              </w:rPr>
              <w:t>Date on which the petition was received:</w:t>
            </w:r>
          </w:p>
        </w:tc>
        <w:tc>
          <w:tcPr>
            <w:tcW w:w="4680" w:type="dxa"/>
            <w:vAlign w:val="center"/>
          </w:tcPr>
          <w:p w14:paraId="36C71CB3" w14:textId="0DE5A295" w:rsidR="00CB63DE" w:rsidRPr="00B6659B" w:rsidRDefault="00CB63DE" w:rsidP="00FC36D9">
            <w:pPr>
              <w:jc w:val="both"/>
              <w:rPr>
                <w:rFonts w:ascii="Cambria" w:hAnsi="Cambria"/>
                <w:bCs/>
                <w:sz w:val="20"/>
                <w:szCs w:val="20"/>
              </w:rPr>
            </w:pPr>
            <w:r w:rsidRPr="00B6659B">
              <w:rPr>
                <w:rFonts w:ascii="Cambria" w:hAnsi="Cambria"/>
                <w:bCs/>
                <w:sz w:val="20"/>
                <w:szCs w:val="20"/>
              </w:rPr>
              <w:t>November</w:t>
            </w:r>
            <w:r w:rsidR="004A2675" w:rsidRPr="00B6659B">
              <w:rPr>
                <w:rFonts w:ascii="Cambria" w:hAnsi="Cambria"/>
                <w:bCs/>
                <w:sz w:val="20"/>
                <w:szCs w:val="20"/>
              </w:rPr>
              <w:t xml:space="preserve"> </w:t>
            </w:r>
            <w:r w:rsidRPr="00B6659B">
              <w:rPr>
                <w:rFonts w:ascii="Cambria" w:hAnsi="Cambria"/>
                <w:bCs/>
                <w:sz w:val="20"/>
                <w:szCs w:val="20"/>
              </w:rPr>
              <w:t>14, 2007</w:t>
            </w:r>
          </w:p>
        </w:tc>
      </w:tr>
      <w:tr w:rsidR="00CB63DE" w:rsidRPr="00B6659B" w14:paraId="7EAB2BD7" w14:textId="77777777" w:rsidTr="00CB63DE">
        <w:tc>
          <w:tcPr>
            <w:tcW w:w="4680" w:type="dxa"/>
            <w:tcBorders>
              <w:top w:val="single" w:sz="6" w:space="0" w:color="auto"/>
              <w:bottom w:val="single" w:sz="6" w:space="0" w:color="auto"/>
            </w:tcBorders>
            <w:shd w:val="clear" w:color="auto" w:fill="67AE3C"/>
            <w:vAlign w:val="center"/>
          </w:tcPr>
          <w:p w14:paraId="79E6B4A9" w14:textId="77777777" w:rsidR="00CB63DE" w:rsidRPr="00B6659B" w:rsidRDefault="00CB63DE" w:rsidP="00FC36D9">
            <w:pPr>
              <w:jc w:val="center"/>
              <w:rPr>
                <w:rFonts w:ascii="Cambria" w:hAnsi="Cambria"/>
                <w:b/>
                <w:bCs/>
                <w:color w:val="FFFFFF" w:themeColor="background1"/>
                <w:sz w:val="20"/>
                <w:szCs w:val="20"/>
              </w:rPr>
            </w:pPr>
            <w:r w:rsidRPr="00B6659B">
              <w:rPr>
                <w:rFonts w:ascii="Cambria" w:hAnsi="Cambria"/>
                <w:b/>
                <w:color w:val="FFFFFF" w:themeColor="background1"/>
                <w:sz w:val="20"/>
                <w:szCs w:val="20"/>
              </w:rPr>
              <w:t>Date on which the petition was transmitted to the State:</w:t>
            </w:r>
          </w:p>
        </w:tc>
        <w:tc>
          <w:tcPr>
            <w:tcW w:w="4680" w:type="dxa"/>
            <w:vAlign w:val="center"/>
          </w:tcPr>
          <w:p w14:paraId="3EDEF3D3" w14:textId="7AC09C57" w:rsidR="00CB63DE" w:rsidRPr="00B6659B" w:rsidRDefault="00CB63DE" w:rsidP="00FC36D9">
            <w:pPr>
              <w:jc w:val="both"/>
              <w:rPr>
                <w:rFonts w:ascii="Cambria" w:hAnsi="Cambria"/>
                <w:bCs/>
                <w:sz w:val="20"/>
                <w:szCs w:val="20"/>
              </w:rPr>
            </w:pPr>
            <w:r w:rsidRPr="00B6659B">
              <w:rPr>
                <w:rFonts w:ascii="Cambria" w:hAnsi="Cambria"/>
                <w:bCs/>
                <w:sz w:val="20"/>
                <w:szCs w:val="20"/>
              </w:rPr>
              <w:t>January 17, 2012</w:t>
            </w:r>
          </w:p>
        </w:tc>
      </w:tr>
      <w:tr w:rsidR="00CB63DE" w:rsidRPr="00B6659B" w14:paraId="56560AE1" w14:textId="77777777" w:rsidTr="00CB63DE">
        <w:trPr>
          <w:trHeight w:val="264"/>
        </w:trPr>
        <w:tc>
          <w:tcPr>
            <w:tcW w:w="4680" w:type="dxa"/>
            <w:tcBorders>
              <w:top w:val="single" w:sz="6" w:space="0" w:color="auto"/>
              <w:bottom w:val="single" w:sz="6" w:space="0" w:color="auto"/>
            </w:tcBorders>
            <w:shd w:val="clear" w:color="auto" w:fill="67AE3C"/>
            <w:vAlign w:val="center"/>
          </w:tcPr>
          <w:p w14:paraId="07BDDCA2" w14:textId="77777777" w:rsidR="00CB63DE" w:rsidRPr="00B6659B" w:rsidRDefault="00CB63DE" w:rsidP="00FC36D9">
            <w:pPr>
              <w:jc w:val="center"/>
              <w:rPr>
                <w:rFonts w:ascii="Cambria" w:hAnsi="Cambria"/>
                <w:b/>
                <w:bCs/>
                <w:color w:val="FFFFFF" w:themeColor="background1"/>
                <w:sz w:val="20"/>
                <w:szCs w:val="20"/>
              </w:rPr>
            </w:pPr>
            <w:r w:rsidRPr="00B6659B">
              <w:rPr>
                <w:rFonts w:ascii="Cambria" w:hAnsi="Cambria"/>
                <w:b/>
                <w:color w:val="FFFFFF" w:themeColor="background1"/>
                <w:sz w:val="20"/>
                <w:szCs w:val="20"/>
              </w:rPr>
              <w:t>Date of the State’s first response:</w:t>
            </w:r>
          </w:p>
        </w:tc>
        <w:tc>
          <w:tcPr>
            <w:tcW w:w="4680" w:type="dxa"/>
            <w:vAlign w:val="center"/>
          </w:tcPr>
          <w:p w14:paraId="585A0D22" w14:textId="08D8C355" w:rsidR="00CB63DE" w:rsidRPr="00B6659B" w:rsidRDefault="00CB63DE" w:rsidP="00FC36D9">
            <w:pPr>
              <w:jc w:val="both"/>
              <w:rPr>
                <w:rFonts w:ascii="Cambria" w:hAnsi="Cambria"/>
                <w:bCs/>
                <w:sz w:val="20"/>
                <w:szCs w:val="20"/>
              </w:rPr>
            </w:pPr>
            <w:r w:rsidRPr="00B6659B">
              <w:rPr>
                <w:rFonts w:ascii="Cambria" w:hAnsi="Cambria"/>
                <w:bCs/>
                <w:sz w:val="20"/>
                <w:szCs w:val="20"/>
              </w:rPr>
              <w:t>May 31, 2012</w:t>
            </w:r>
          </w:p>
        </w:tc>
      </w:tr>
      <w:tr w:rsidR="00CB63DE" w:rsidRPr="00B6659B" w14:paraId="7A8A8A3C" w14:textId="77777777" w:rsidTr="00CB63DE">
        <w:tc>
          <w:tcPr>
            <w:tcW w:w="4680" w:type="dxa"/>
            <w:tcBorders>
              <w:top w:val="single" w:sz="6" w:space="0" w:color="auto"/>
              <w:bottom w:val="single" w:sz="6" w:space="0" w:color="auto"/>
            </w:tcBorders>
            <w:shd w:val="clear" w:color="auto" w:fill="67AE3C"/>
            <w:vAlign w:val="center"/>
          </w:tcPr>
          <w:p w14:paraId="3DEC3A52" w14:textId="34A79966" w:rsidR="00CB63DE" w:rsidRPr="00B6659B" w:rsidRDefault="00CB63DE" w:rsidP="00FC36D9">
            <w:pPr>
              <w:jc w:val="center"/>
              <w:rPr>
                <w:rFonts w:ascii="Cambria" w:hAnsi="Cambria"/>
                <w:b/>
                <w:bCs/>
                <w:color w:val="FFFFFF" w:themeColor="background1"/>
                <w:sz w:val="20"/>
                <w:szCs w:val="20"/>
              </w:rPr>
            </w:pPr>
            <w:r w:rsidRPr="00B6659B">
              <w:rPr>
                <w:rFonts w:ascii="Cambria" w:hAnsi="Cambria"/>
                <w:b/>
                <w:bCs/>
                <w:color w:val="FFFFFF" w:themeColor="background1"/>
                <w:sz w:val="20"/>
                <w:szCs w:val="20"/>
              </w:rPr>
              <w:t>Additional observations from the petitioning party:</w:t>
            </w:r>
          </w:p>
        </w:tc>
        <w:tc>
          <w:tcPr>
            <w:tcW w:w="4680" w:type="dxa"/>
            <w:vAlign w:val="center"/>
          </w:tcPr>
          <w:p w14:paraId="2947F7A9" w14:textId="0C5FCBD8" w:rsidR="00CB63DE" w:rsidRPr="00B6659B" w:rsidRDefault="00CB63DE" w:rsidP="004A2675">
            <w:pPr>
              <w:jc w:val="both"/>
              <w:rPr>
                <w:rFonts w:ascii="Cambria" w:hAnsi="Cambria"/>
                <w:bCs/>
                <w:sz w:val="20"/>
                <w:szCs w:val="20"/>
              </w:rPr>
            </w:pPr>
            <w:r w:rsidRPr="00B6659B">
              <w:rPr>
                <w:rFonts w:ascii="Cambria" w:hAnsi="Cambria"/>
                <w:bCs/>
                <w:sz w:val="20"/>
                <w:szCs w:val="20"/>
              </w:rPr>
              <w:t>September 12, 2012;</w:t>
            </w:r>
            <w:r w:rsidR="004A2675" w:rsidRPr="00B6659B">
              <w:rPr>
                <w:rFonts w:asciiTheme="majorHAnsi" w:hAnsiTheme="majorHAnsi"/>
                <w:sz w:val="20"/>
                <w:szCs w:val="20"/>
              </w:rPr>
              <w:t xml:space="preserve"> May 3 and July 19, 2013; February 7 and December 31, 2014; </w:t>
            </w:r>
            <w:r w:rsidRPr="00B6659B">
              <w:rPr>
                <w:rFonts w:asciiTheme="majorHAnsi" w:hAnsiTheme="majorHAnsi"/>
                <w:sz w:val="20"/>
                <w:szCs w:val="20"/>
              </w:rPr>
              <w:t>July 13, 2015</w:t>
            </w:r>
            <w:r w:rsidR="004A2675" w:rsidRPr="00B6659B">
              <w:rPr>
                <w:rFonts w:asciiTheme="majorHAnsi" w:hAnsiTheme="majorHAnsi"/>
                <w:sz w:val="20"/>
                <w:szCs w:val="20"/>
              </w:rPr>
              <w:t>; and January 24, 2017</w:t>
            </w:r>
            <w:r w:rsidRPr="00B6659B">
              <w:rPr>
                <w:rFonts w:ascii="Cambria" w:hAnsi="Cambria"/>
                <w:bCs/>
                <w:sz w:val="20"/>
                <w:szCs w:val="20"/>
              </w:rPr>
              <w:t xml:space="preserve"> </w:t>
            </w:r>
          </w:p>
        </w:tc>
      </w:tr>
      <w:tr w:rsidR="00CB63DE" w:rsidRPr="00B6659B" w14:paraId="3D79AA57" w14:textId="77777777" w:rsidTr="00CB63DE">
        <w:tc>
          <w:tcPr>
            <w:tcW w:w="4680" w:type="dxa"/>
            <w:tcBorders>
              <w:top w:val="single" w:sz="6" w:space="0" w:color="auto"/>
              <w:bottom w:val="single" w:sz="6" w:space="0" w:color="auto"/>
            </w:tcBorders>
            <w:shd w:val="clear" w:color="auto" w:fill="67AE3C"/>
            <w:vAlign w:val="center"/>
          </w:tcPr>
          <w:p w14:paraId="2FE60FBE" w14:textId="11BD82D3" w:rsidR="00CB63DE" w:rsidRPr="00B6659B" w:rsidRDefault="00CB63DE" w:rsidP="00FC36D9">
            <w:pPr>
              <w:jc w:val="center"/>
              <w:rPr>
                <w:rFonts w:ascii="Cambria" w:hAnsi="Cambria"/>
                <w:b/>
                <w:bCs/>
                <w:color w:val="FFFFFF" w:themeColor="background1"/>
                <w:sz w:val="20"/>
                <w:szCs w:val="20"/>
              </w:rPr>
            </w:pPr>
            <w:r w:rsidRPr="00B6659B">
              <w:rPr>
                <w:rFonts w:ascii="Cambria" w:hAnsi="Cambria"/>
                <w:b/>
                <w:bCs/>
                <w:color w:val="FFFFFF" w:themeColor="background1"/>
                <w:sz w:val="20"/>
                <w:szCs w:val="20"/>
              </w:rPr>
              <w:t>Additional observations from the State:</w:t>
            </w:r>
          </w:p>
        </w:tc>
        <w:tc>
          <w:tcPr>
            <w:tcW w:w="4680" w:type="dxa"/>
            <w:vAlign w:val="center"/>
          </w:tcPr>
          <w:p w14:paraId="76A095EA" w14:textId="5D69A38C" w:rsidR="00CB63DE" w:rsidRPr="00B6659B" w:rsidRDefault="00CB63DE" w:rsidP="004A2675">
            <w:pPr>
              <w:jc w:val="both"/>
              <w:rPr>
                <w:rFonts w:ascii="Cambria" w:hAnsi="Cambria"/>
                <w:bCs/>
                <w:sz w:val="20"/>
                <w:szCs w:val="20"/>
              </w:rPr>
            </w:pPr>
            <w:r w:rsidRPr="00B6659B">
              <w:rPr>
                <w:rFonts w:asciiTheme="majorHAnsi" w:hAnsiTheme="majorHAnsi"/>
                <w:bCs/>
                <w:sz w:val="20"/>
                <w:szCs w:val="20"/>
              </w:rPr>
              <w:t xml:space="preserve">December 10, 2012; March 25, </w:t>
            </w:r>
            <w:r w:rsidR="004A2675" w:rsidRPr="00B6659B">
              <w:rPr>
                <w:rFonts w:asciiTheme="majorHAnsi" w:hAnsiTheme="majorHAnsi"/>
                <w:bCs/>
                <w:sz w:val="20"/>
                <w:szCs w:val="20"/>
              </w:rPr>
              <w:t>October 1 and</w:t>
            </w:r>
            <w:r w:rsidRPr="00B6659B">
              <w:rPr>
                <w:rFonts w:asciiTheme="majorHAnsi" w:hAnsiTheme="majorHAnsi"/>
                <w:bCs/>
                <w:sz w:val="20"/>
                <w:szCs w:val="20"/>
              </w:rPr>
              <w:t xml:space="preserve"> December 11, 2013; March 23, 2015</w:t>
            </w:r>
            <w:r w:rsidR="004A2675" w:rsidRPr="00B6659B">
              <w:rPr>
                <w:rFonts w:asciiTheme="majorHAnsi" w:hAnsiTheme="majorHAnsi"/>
                <w:bCs/>
                <w:sz w:val="20"/>
                <w:szCs w:val="20"/>
              </w:rPr>
              <w:t>;</w:t>
            </w:r>
            <w:r w:rsidRPr="00B6659B">
              <w:rPr>
                <w:rFonts w:asciiTheme="majorHAnsi" w:hAnsiTheme="majorHAnsi"/>
                <w:bCs/>
                <w:sz w:val="20"/>
                <w:szCs w:val="20"/>
              </w:rPr>
              <w:t xml:space="preserve"> May 14, 2015</w:t>
            </w:r>
            <w:r w:rsidR="004A2675" w:rsidRPr="00B6659B">
              <w:rPr>
                <w:rFonts w:asciiTheme="majorHAnsi" w:hAnsiTheme="majorHAnsi"/>
                <w:bCs/>
                <w:sz w:val="20"/>
                <w:szCs w:val="20"/>
              </w:rPr>
              <w:t>; and February 1, 2017</w:t>
            </w:r>
          </w:p>
        </w:tc>
      </w:tr>
    </w:tbl>
    <w:p w14:paraId="7F88B361" w14:textId="77777777" w:rsidR="00F621C3" w:rsidRPr="00B6659B" w:rsidRDefault="00F621C3" w:rsidP="00F621C3">
      <w:pPr>
        <w:spacing w:before="240" w:after="240"/>
        <w:ind w:firstLine="720"/>
        <w:jc w:val="both"/>
        <w:rPr>
          <w:rFonts w:asciiTheme="majorHAnsi" w:hAnsiTheme="majorHAnsi"/>
          <w:b/>
          <w:bCs/>
          <w:sz w:val="20"/>
          <w:szCs w:val="20"/>
        </w:rPr>
      </w:pPr>
      <w:r w:rsidRPr="00B6659B">
        <w:rPr>
          <w:rFonts w:asciiTheme="majorHAnsi" w:hAnsiTheme="majorHAnsi"/>
          <w:b/>
          <w:bCs/>
          <w:sz w:val="20"/>
          <w:szCs w:val="20"/>
        </w:rPr>
        <w:lastRenderedPageBreak/>
        <w:t xml:space="preserve">III. </w:t>
      </w:r>
      <w:r w:rsidRPr="00B6659B">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B6659B" w14:paraId="2F81CC8B" w14:textId="77777777" w:rsidTr="009163FC">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B6659B" w:rsidRDefault="00F621C3" w:rsidP="009163FC">
            <w:pPr>
              <w:jc w:val="center"/>
              <w:rPr>
                <w:rFonts w:ascii="Cambria" w:hAnsi="Cambria"/>
                <w:b/>
                <w:bCs/>
                <w:i/>
                <w:color w:val="FFFFFF" w:themeColor="background1"/>
                <w:sz w:val="20"/>
                <w:szCs w:val="20"/>
              </w:rPr>
            </w:pPr>
            <w:r w:rsidRPr="00B6659B">
              <w:rPr>
                <w:rFonts w:ascii="Cambria" w:hAnsi="Cambria"/>
                <w:b/>
                <w:bCs/>
                <w:color w:val="FFFFFF" w:themeColor="background1"/>
                <w:sz w:val="20"/>
                <w:szCs w:val="20"/>
              </w:rPr>
              <w:t>Competence</w:t>
            </w:r>
            <w:r w:rsidRPr="00B6659B">
              <w:rPr>
                <w:rFonts w:ascii="Cambria" w:hAnsi="Cambria"/>
                <w:b/>
                <w:bCs/>
                <w:i/>
                <w:color w:val="FFFFFF" w:themeColor="background1"/>
                <w:sz w:val="20"/>
                <w:szCs w:val="20"/>
              </w:rPr>
              <w:t xml:space="preserve"> Ratione personae:</w:t>
            </w:r>
          </w:p>
        </w:tc>
        <w:tc>
          <w:tcPr>
            <w:tcW w:w="4680" w:type="dxa"/>
            <w:vAlign w:val="center"/>
          </w:tcPr>
          <w:p w14:paraId="237A8D0C" w14:textId="15AD2701" w:rsidR="00F621C3" w:rsidRPr="00B6659B" w:rsidRDefault="007B778B" w:rsidP="009163FC">
            <w:pPr>
              <w:rPr>
                <w:rFonts w:asciiTheme="majorHAnsi" w:hAnsiTheme="majorHAnsi"/>
                <w:bCs/>
                <w:sz w:val="20"/>
                <w:szCs w:val="20"/>
              </w:rPr>
            </w:pPr>
            <w:r w:rsidRPr="00B6659B">
              <w:rPr>
                <w:rFonts w:asciiTheme="majorHAnsi" w:hAnsiTheme="majorHAnsi"/>
                <w:bCs/>
                <w:sz w:val="20"/>
                <w:szCs w:val="20"/>
              </w:rPr>
              <w:t>Yes</w:t>
            </w:r>
          </w:p>
        </w:tc>
      </w:tr>
      <w:tr w:rsidR="00F621C3" w:rsidRPr="00B6659B" w14:paraId="5FE56D1B" w14:textId="77777777" w:rsidTr="009163FC">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B6659B" w:rsidRDefault="00F621C3" w:rsidP="009163FC">
            <w:pPr>
              <w:jc w:val="center"/>
              <w:rPr>
                <w:rFonts w:ascii="Cambria" w:hAnsi="Cambria"/>
                <w:b/>
                <w:bCs/>
                <w:color w:val="FFFFFF" w:themeColor="background1"/>
                <w:sz w:val="20"/>
                <w:szCs w:val="20"/>
              </w:rPr>
            </w:pPr>
            <w:r w:rsidRPr="00B6659B">
              <w:rPr>
                <w:rFonts w:ascii="Cambria" w:hAnsi="Cambria"/>
                <w:b/>
                <w:bCs/>
                <w:color w:val="FFFFFF" w:themeColor="background1"/>
                <w:sz w:val="20"/>
                <w:szCs w:val="20"/>
              </w:rPr>
              <w:t>Competence</w:t>
            </w:r>
            <w:r w:rsidRPr="00B6659B">
              <w:rPr>
                <w:rFonts w:ascii="Cambria" w:hAnsi="Cambria"/>
                <w:b/>
                <w:bCs/>
                <w:i/>
                <w:color w:val="FFFFFF" w:themeColor="background1"/>
                <w:sz w:val="20"/>
                <w:szCs w:val="20"/>
              </w:rPr>
              <w:t xml:space="preserve"> Ratione loci</w:t>
            </w:r>
            <w:r w:rsidRPr="00B6659B">
              <w:rPr>
                <w:rFonts w:ascii="Cambria" w:hAnsi="Cambria"/>
                <w:b/>
                <w:bCs/>
                <w:color w:val="FFFFFF" w:themeColor="background1"/>
                <w:sz w:val="20"/>
                <w:szCs w:val="20"/>
              </w:rPr>
              <w:t>:</w:t>
            </w:r>
          </w:p>
        </w:tc>
        <w:tc>
          <w:tcPr>
            <w:tcW w:w="4680" w:type="dxa"/>
            <w:vAlign w:val="center"/>
          </w:tcPr>
          <w:p w14:paraId="48257424" w14:textId="2EBDFC39" w:rsidR="00F621C3" w:rsidRPr="00B6659B" w:rsidRDefault="007B778B" w:rsidP="009163FC">
            <w:pPr>
              <w:rPr>
                <w:rFonts w:asciiTheme="majorHAnsi" w:hAnsiTheme="majorHAnsi"/>
                <w:bCs/>
                <w:sz w:val="20"/>
                <w:szCs w:val="20"/>
              </w:rPr>
            </w:pPr>
            <w:r w:rsidRPr="00B6659B">
              <w:rPr>
                <w:rFonts w:asciiTheme="majorHAnsi" w:hAnsiTheme="majorHAnsi"/>
                <w:bCs/>
                <w:sz w:val="20"/>
                <w:szCs w:val="20"/>
              </w:rPr>
              <w:t>Yes</w:t>
            </w:r>
          </w:p>
        </w:tc>
      </w:tr>
      <w:tr w:rsidR="00F621C3" w:rsidRPr="00B6659B" w14:paraId="372B5DD8" w14:textId="77777777" w:rsidTr="009163FC">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B6659B" w:rsidRDefault="00F621C3" w:rsidP="009163FC">
            <w:pPr>
              <w:jc w:val="center"/>
              <w:rPr>
                <w:rFonts w:ascii="Cambria" w:hAnsi="Cambria"/>
                <w:b/>
                <w:bCs/>
                <w:color w:val="FFFFFF" w:themeColor="background1"/>
                <w:sz w:val="20"/>
                <w:szCs w:val="20"/>
              </w:rPr>
            </w:pPr>
            <w:r w:rsidRPr="00B6659B">
              <w:rPr>
                <w:rFonts w:ascii="Cambria" w:hAnsi="Cambria"/>
                <w:b/>
                <w:bCs/>
                <w:color w:val="FFFFFF" w:themeColor="background1"/>
                <w:sz w:val="20"/>
                <w:szCs w:val="20"/>
              </w:rPr>
              <w:t>Competence</w:t>
            </w:r>
            <w:r w:rsidRPr="00B6659B">
              <w:rPr>
                <w:rFonts w:ascii="Cambria" w:hAnsi="Cambria"/>
                <w:b/>
                <w:bCs/>
                <w:i/>
                <w:color w:val="FFFFFF" w:themeColor="background1"/>
                <w:sz w:val="20"/>
                <w:szCs w:val="20"/>
              </w:rPr>
              <w:t xml:space="preserve"> Ratione temporis</w:t>
            </w:r>
            <w:r w:rsidRPr="00B6659B">
              <w:rPr>
                <w:rFonts w:ascii="Cambria" w:hAnsi="Cambria"/>
                <w:b/>
                <w:bCs/>
                <w:color w:val="FFFFFF" w:themeColor="background1"/>
                <w:sz w:val="20"/>
                <w:szCs w:val="20"/>
              </w:rPr>
              <w:t>:</w:t>
            </w:r>
          </w:p>
        </w:tc>
        <w:tc>
          <w:tcPr>
            <w:tcW w:w="4680" w:type="dxa"/>
            <w:vAlign w:val="center"/>
          </w:tcPr>
          <w:p w14:paraId="74B3F783" w14:textId="4981ECA6" w:rsidR="00F621C3" w:rsidRPr="00B6659B" w:rsidRDefault="007B778B" w:rsidP="009163FC">
            <w:pPr>
              <w:rPr>
                <w:rFonts w:asciiTheme="majorHAnsi" w:hAnsiTheme="majorHAnsi"/>
                <w:bCs/>
                <w:sz w:val="20"/>
                <w:szCs w:val="20"/>
              </w:rPr>
            </w:pPr>
            <w:r w:rsidRPr="00B6659B">
              <w:rPr>
                <w:rFonts w:asciiTheme="majorHAnsi" w:hAnsiTheme="majorHAnsi"/>
                <w:bCs/>
                <w:sz w:val="20"/>
                <w:szCs w:val="20"/>
              </w:rPr>
              <w:t>Yes</w:t>
            </w:r>
          </w:p>
        </w:tc>
      </w:tr>
      <w:tr w:rsidR="00F621C3" w:rsidRPr="00B6659B" w14:paraId="6648704B" w14:textId="77777777" w:rsidTr="009163FC">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B6659B" w:rsidRDefault="00F621C3" w:rsidP="009163FC">
            <w:pPr>
              <w:jc w:val="center"/>
              <w:rPr>
                <w:rFonts w:ascii="Cambria" w:hAnsi="Cambria"/>
                <w:b/>
                <w:bCs/>
                <w:color w:val="FFFFFF" w:themeColor="background1"/>
                <w:sz w:val="20"/>
                <w:szCs w:val="20"/>
              </w:rPr>
            </w:pPr>
            <w:r w:rsidRPr="00B6659B">
              <w:rPr>
                <w:rFonts w:ascii="Cambria" w:hAnsi="Cambria"/>
                <w:b/>
                <w:bCs/>
                <w:color w:val="FFFFFF" w:themeColor="background1"/>
                <w:sz w:val="20"/>
                <w:szCs w:val="20"/>
              </w:rPr>
              <w:t>Competence</w:t>
            </w:r>
            <w:r w:rsidRPr="00B6659B">
              <w:rPr>
                <w:rFonts w:ascii="Cambria" w:hAnsi="Cambria"/>
                <w:b/>
                <w:bCs/>
                <w:i/>
                <w:color w:val="FFFFFF" w:themeColor="background1"/>
                <w:sz w:val="20"/>
                <w:szCs w:val="20"/>
              </w:rPr>
              <w:t xml:space="preserve"> Ratione materiae</w:t>
            </w:r>
            <w:r w:rsidRPr="00B6659B">
              <w:rPr>
                <w:rFonts w:ascii="Cambria" w:hAnsi="Cambria"/>
                <w:b/>
                <w:bCs/>
                <w:color w:val="FFFFFF" w:themeColor="background1"/>
                <w:sz w:val="20"/>
                <w:szCs w:val="20"/>
              </w:rPr>
              <w:t>:</w:t>
            </w:r>
          </w:p>
        </w:tc>
        <w:tc>
          <w:tcPr>
            <w:tcW w:w="4680" w:type="dxa"/>
            <w:vAlign w:val="center"/>
          </w:tcPr>
          <w:p w14:paraId="64B3F199" w14:textId="6927B8A4" w:rsidR="00F621C3" w:rsidRPr="00B6659B" w:rsidRDefault="007B778B" w:rsidP="007B778B">
            <w:pPr>
              <w:pStyle w:val="Default"/>
              <w:jc w:val="both"/>
              <w:rPr>
                <w:sz w:val="20"/>
                <w:szCs w:val="20"/>
              </w:rPr>
            </w:pPr>
            <w:r w:rsidRPr="00B6659B">
              <w:rPr>
                <w:sz w:val="20"/>
                <w:szCs w:val="20"/>
              </w:rPr>
              <w:t xml:space="preserve">Yes, American Convention (ratification instrument deposited on March 24, 1981) </w:t>
            </w:r>
          </w:p>
        </w:tc>
      </w:tr>
    </w:tbl>
    <w:p w14:paraId="0408D4CD" w14:textId="77777777" w:rsidR="00F621C3" w:rsidRPr="00B6659B" w:rsidRDefault="00F621C3" w:rsidP="00F621C3">
      <w:pPr>
        <w:spacing w:before="240" w:after="240"/>
        <w:ind w:firstLine="720"/>
        <w:jc w:val="both"/>
        <w:rPr>
          <w:rFonts w:asciiTheme="majorHAnsi" w:hAnsiTheme="majorHAnsi"/>
          <w:b/>
          <w:bCs/>
          <w:sz w:val="20"/>
          <w:szCs w:val="20"/>
        </w:rPr>
      </w:pPr>
      <w:r w:rsidRPr="00B6659B">
        <w:rPr>
          <w:rFonts w:asciiTheme="majorHAnsi" w:hAnsiTheme="majorHAnsi"/>
          <w:b/>
          <w:bCs/>
          <w:sz w:val="20"/>
          <w:szCs w:val="20"/>
        </w:rPr>
        <w:t xml:space="preserve">IV. </w:t>
      </w:r>
      <w:r w:rsidRPr="00B6659B">
        <w:rPr>
          <w:rFonts w:asciiTheme="majorHAnsi" w:hAnsiTheme="majorHAnsi"/>
          <w:b/>
          <w:bCs/>
          <w:sz w:val="20"/>
          <w:szCs w:val="20"/>
        </w:rPr>
        <w:tab/>
        <w:t xml:space="preserve">ANALYSIS OF DUPLICATION OF PROCEDURES AND INTERNATIONAL </w:t>
      </w:r>
      <w:r w:rsidRPr="00B6659B">
        <w:rPr>
          <w:rFonts w:asciiTheme="majorHAnsi" w:hAnsiTheme="majorHAnsi"/>
          <w:b/>
          <w:bCs/>
          <w:i/>
          <w:sz w:val="20"/>
          <w:szCs w:val="20"/>
        </w:rPr>
        <w:t>RES JUDICATA</w:t>
      </w:r>
      <w:r w:rsidRPr="00B6659B">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B6659B" w14:paraId="4091A423" w14:textId="77777777" w:rsidTr="009163FC">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B6659B" w:rsidRDefault="00F621C3" w:rsidP="009163FC">
            <w:pPr>
              <w:jc w:val="center"/>
              <w:rPr>
                <w:rFonts w:ascii="Cambria" w:hAnsi="Cambria"/>
                <w:b/>
                <w:bCs/>
                <w:color w:val="FFFFFF" w:themeColor="background1"/>
                <w:sz w:val="20"/>
                <w:szCs w:val="20"/>
              </w:rPr>
            </w:pPr>
            <w:r w:rsidRPr="00B6659B">
              <w:rPr>
                <w:rFonts w:ascii="Cambria" w:hAnsi="Cambria"/>
                <w:b/>
                <w:bCs/>
                <w:color w:val="FFFFFF" w:themeColor="background1"/>
                <w:sz w:val="20"/>
                <w:szCs w:val="20"/>
              </w:rPr>
              <w:t xml:space="preserve">Duplication of procedures and International </w:t>
            </w:r>
            <w:r w:rsidRPr="00B6659B">
              <w:rPr>
                <w:rFonts w:ascii="Cambria" w:hAnsi="Cambria"/>
                <w:b/>
                <w:bCs/>
                <w:i/>
                <w:color w:val="FFFFFF" w:themeColor="background1"/>
                <w:sz w:val="20"/>
                <w:szCs w:val="20"/>
              </w:rPr>
              <w:t>res judicata</w:t>
            </w:r>
            <w:r w:rsidRPr="00B6659B">
              <w:rPr>
                <w:rFonts w:ascii="Cambria" w:hAnsi="Cambria"/>
                <w:b/>
                <w:bCs/>
                <w:color w:val="FFFFFF" w:themeColor="background1"/>
                <w:sz w:val="20"/>
                <w:szCs w:val="20"/>
              </w:rPr>
              <w:t>:</w:t>
            </w:r>
          </w:p>
        </w:tc>
        <w:tc>
          <w:tcPr>
            <w:tcW w:w="4680" w:type="dxa"/>
            <w:vAlign w:val="center"/>
          </w:tcPr>
          <w:p w14:paraId="4773CD23" w14:textId="33E35A66" w:rsidR="00F621C3" w:rsidRPr="00B6659B" w:rsidRDefault="007B778B" w:rsidP="009163FC">
            <w:pPr>
              <w:jc w:val="both"/>
              <w:rPr>
                <w:rFonts w:ascii="Cambria" w:hAnsi="Cambria"/>
                <w:bCs/>
                <w:sz w:val="20"/>
                <w:szCs w:val="20"/>
              </w:rPr>
            </w:pPr>
            <w:r w:rsidRPr="00B6659B">
              <w:rPr>
                <w:rFonts w:ascii="Cambria" w:hAnsi="Cambria"/>
                <w:bCs/>
                <w:sz w:val="20"/>
                <w:szCs w:val="20"/>
              </w:rPr>
              <w:t>No</w:t>
            </w:r>
          </w:p>
        </w:tc>
      </w:tr>
      <w:tr w:rsidR="00F621C3" w:rsidRPr="00B6659B" w14:paraId="24B3B5A9" w14:textId="77777777" w:rsidTr="009163FC">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B6659B" w:rsidRDefault="00F621C3" w:rsidP="009163FC">
            <w:pPr>
              <w:jc w:val="center"/>
              <w:rPr>
                <w:rFonts w:ascii="Cambria" w:hAnsi="Cambria"/>
                <w:b/>
                <w:bCs/>
                <w:i/>
                <w:color w:val="FFFFFF" w:themeColor="background1"/>
                <w:sz w:val="20"/>
                <w:szCs w:val="20"/>
              </w:rPr>
            </w:pPr>
            <w:r w:rsidRPr="00B6659B">
              <w:rPr>
                <w:rFonts w:ascii="Cambria" w:hAnsi="Cambria"/>
                <w:b/>
                <w:bCs/>
                <w:color w:val="FFFFFF" w:themeColor="background1"/>
                <w:sz w:val="20"/>
                <w:szCs w:val="20"/>
              </w:rPr>
              <w:t>Rights declared admissible</w:t>
            </w:r>
          </w:p>
        </w:tc>
        <w:tc>
          <w:tcPr>
            <w:tcW w:w="4680" w:type="dxa"/>
            <w:vAlign w:val="center"/>
          </w:tcPr>
          <w:p w14:paraId="33BE4040" w14:textId="340FC755" w:rsidR="00F621C3" w:rsidRPr="00B6659B" w:rsidRDefault="007B778B" w:rsidP="009163FC">
            <w:pPr>
              <w:jc w:val="both"/>
              <w:rPr>
                <w:rFonts w:ascii="Cambria" w:hAnsi="Cambria"/>
                <w:bCs/>
                <w:sz w:val="20"/>
                <w:szCs w:val="20"/>
              </w:rPr>
            </w:pPr>
            <w:r w:rsidRPr="00B6659B">
              <w:rPr>
                <w:rFonts w:ascii="Cambria" w:hAnsi="Cambria"/>
                <w:bCs/>
                <w:sz w:val="20"/>
                <w:szCs w:val="20"/>
              </w:rPr>
              <w:t>None</w:t>
            </w:r>
          </w:p>
        </w:tc>
      </w:tr>
      <w:tr w:rsidR="00F621C3" w:rsidRPr="00B6659B" w14:paraId="4DFB74FC" w14:textId="77777777" w:rsidTr="00603F58">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B6659B" w:rsidRDefault="00F621C3" w:rsidP="009163FC">
            <w:pPr>
              <w:jc w:val="center"/>
              <w:rPr>
                <w:rFonts w:ascii="Cambria" w:hAnsi="Cambria"/>
                <w:b/>
                <w:bCs/>
                <w:color w:val="FFFFFF" w:themeColor="background1"/>
                <w:sz w:val="20"/>
                <w:szCs w:val="20"/>
              </w:rPr>
            </w:pPr>
            <w:r w:rsidRPr="00B6659B">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32DC56B" w14:textId="02009A08" w:rsidR="00F621C3" w:rsidRPr="00B6659B" w:rsidRDefault="007B778B" w:rsidP="00603F58">
            <w:pPr>
              <w:rPr>
                <w:rFonts w:ascii="Cambria" w:hAnsi="Cambria"/>
                <w:bCs/>
                <w:sz w:val="20"/>
                <w:szCs w:val="20"/>
              </w:rPr>
            </w:pPr>
            <w:r w:rsidRPr="00B6659B">
              <w:rPr>
                <w:rFonts w:ascii="Cambria" w:hAnsi="Cambria"/>
                <w:bCs/>
                <w:sz w:val="20"/>
                <w:szCs w:val="20"/>
              </w:rPr>
              <w:t>No</w:t>
            </w:r>
          </w:p>
        </w:tc>
      </w:tr>
      <w:tr w:rsidR="00F621C3" w:rsidRPr="00B6659B" w14:paraId="6D900199" w14:textId="77777777" w:rsidTr="009163FC">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B6659B" w:rsidRDefault="00F621C3" w:rsidP="009163FC">
            <w:pPr>
              <w:jc w:val="center"/>
              <w:rPr>
                <w:rFonts w:ascii="Cambria" w:hAnsi="Cambria"/>
                <w:b/>
                <w:bCs/>
                <w:color w:val="FFFFFF" w:themeColor="background1"/>
                <w:sz w:val="20"/>
                <w:szCs w:val="20"/>
              </w:rPr>
            </w:pPr>
            <w:r w:rsidRPr="00B6659B">
              <w:rPr>
                <w:rFonts w:ascii="Cambria" w:hAnsi="Cambria"/>
                <w:b/>
                <w:bCs/>
                <w:color w:val="FFFFFF" w:themeColor="background1"/>
                <w:sz w:val="20"/>
                <w:szCs w:val="20"/>
              </w:rPr>
              <w:t>Timeliness of the petition:</w:t>
            </w:r>
          </w:p>
        </w:tc>
        <w:tc>
          <w:tcPr>
            <w:tcW w:w="4680" w:type="dxa"/>
            <w:vAlign w:val="center"/>
          </w:tcPr>
          <w:p w14:paraId="6A26CCE9" w14:textId="5C5EDE45" w:rsidR="00F621C3" w:rsidRPr="00B6659B" w:rsidRDefault="007B778B" w:rsidP="009163FC">
            <w:pPr>
              <w:rPr>
                <w:rFonts w:asciiTheme="majorHAnsi" w:hAnsiTheme="majorHAnsi"/>
                <w:bCs/>
                <w:sz w:val="20"/>
                <w:szCs w:val="20"/>
              </w:rPr>
            </w:pPr>
            <w:r w:rsidRPr="00B6659B">
              <w:rPr>
                <w:rFonts w:asciiTheme="majorHAnsi" w:hAnsiTheme="majorHAnsi"/>
                <w:bCs/>
                <w:sz w:val="20"/>
                <w:szCs w:val="20"/>
              </w:rPr>
              <w:t>N/A</w:t>
            </w:r>
          </w:p>
        </w:tc>
      </w:tr>
    </w:tbl>
    <w:p w14:paraId="629E2DE8" w14:textId="77777777" w:rsidR="00F621C3" w:rsidRPr="00B6659B" w:rsidRDefault="00F621C3" w:rsidP="00F621C3">
      <w:pPr>
        <w:spacing w:before="240" w:after="240"/>
        <w:ind w:firstLine="720"/>
        <w:jc w:val="both"/>
        <w:rPr>
          <w:rFonts w:asciiTheme="majorHAnsi" w:hAnsiTheme="majorHAnsi"/>
          <w:b/>
          <w:sz w:val="20"/>
          <w:szCs w:val="20"/>
        </w:rPr>
      </w:pPr>
      <w:r w:rsidRPr="00B6659B">
        <w:rPr>
          <w:rFonts w:asciiTheme="majorHAnsi" w:hAnsiTheme="majorHAnsi"/>
          <w:b/>
          <w:sz w:val="20"/>
          <w:szCs w:val="20"/>
        </w:rPr>
        <w:t xml:space="preserve">V. </w:t>
      </w:r>
      <w:r w:rsidRPr="00B6659B">
        <w:rPr>
          <w:rFonts w:asciiTheme="majorHAnsi" w:hAnsiTheme="majorHAnsi"/>
          <w:b/>
          <w:sz w:val="20"/>
          <w:szCs w:val="20"/>
        </w:rPr>
        <w:tab/>
        <w:t xml:space="preserve">ALLEGED FACTS </w:t>
      </w:r>
    </w:p>
    <w:p w14:paraId="7B62373D" w14:textId="0A36E42B" w:rsidR="00F80174" w:rsidRPr="00B6659B" w:rsidRDefault="00603F58" w:rsidP="00F801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659B">
        <w:rPr>
          <w:rFonts w:ascii="Cambria" w:hAnsi="Cambria"/>
          <w:sz w:val="20"/>
          <w:szCs w:val="20"/>
        </w:rPr>
        <w:t xml:space="preserve">The petitioners hold that the Mexican State is responsible for the violation of Ms. Solórzano’s </w:t>
      </w:r>
      <w:r w:rsidRPr="00B6659B">
        <w:rPr>
          <w:rFonts w:asciiTheme="majorHAnsi" w:eastAsia="SimSun" w:hAnsiTheme="majorHAnsi"/>
          <w:sz w:val="20"/>
          <w:szCs w:val="20"/>
        </w:rPr>
        <w:t>(hereinafter “the alleged victim”)</w:t>
      </w:r>
      <w:r w:rsidRPr="00B6659B">
        <w:rPr>
          <w:rFonts w:ascii="Cambria" w:hAnsi="Cambria"/>
          <w:sz w:val="20"/>
          <w:szCs w:val="20"/>
        </w:rPr>
        <w:t xml:space="preserve"> human rights due to her wrongful and discriminatory dismissal based on her gender and for denial of justice.  </w:t>
      </w:r>
      <w:r w:rsidR="00F80174" w:rsidRPr="00B6659B">
        <w:rPr>
          <w:rFonts w:ascii="Cambria" w:hAnsi="Cambria"/>
          <w:sz w:val="20"/>
          <w:szCs w:val="20"/>
        </w:rPr>
        <w:t xml:space="preserve">According to the petitioners, the alleged victim was one of the founders of Radio Querétaro and performed her duties as a broadcaster on the program “Querétaro en la Hora Nacional" in an exemplary fashion until June 9, 2003, when she was fired.  They state that </w:t>
      </w:r>
      <w:r w:rsidR="00F27D4D" w:rsidRPr="00B6659B">
        <w:rPr>
          <w:rFonts w:ascii="Cambria" w:hAnsi="Cambria"/>
          <w:sz w:val="20"/>
          <w:szCs w:val="20"/>
        </w:rPr>
        <w:t>she was fired because</w:t>
      </w:r>
      <w:r w:rsidR="00F80174" w:rsidRPr="00B6659B">
        <w:rPr>
          <w:rFonts w:ascii="Cambria" w:hAnsi="Cambria"/>
          <w:sz w:val="20"/>
          <w:szCs w:val="20"/>
        </w:rPr>
        <w:t xml:space="preserve"> the director of the radio station at that time preferred to have a male voice hosting the radio program and preferred to “disseminate an image in which the man was the main host and the woman would play a secondary role.”</w:t>
      </w:r>
    </w:p>
    <w:p w14:paraId="6432B296" w14:textId="1EADF107" w:rsidR="00F27D4D" w:rsidRPr="00B6659B" w:rsidRDefault="00F27D4D" w:rsidP="00F27D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B6659B">
        <w:rPr>
          <w:rFonts w:asciiTheme="majorHAnsi" w:hAnsiTheme="majorHAnsi" w:cs="Arial"/>
          <w:sz w:val="20"/>
          <w:szCs w:val="20"/>
        </w:rPr>
        <w:t>The petitioners allege that there is no effective remedy in the Mexican legal system to simultaneously address violations of the alleged victim’s labor rights and human rights.  They indicate that for this reason Ms. Solórzano filed an employment claim before Special Board No. 50 of the Federal Conciliation and Arbitration Board (hereinafter, “the Board”) and went to the State and National Commission on Human Rights (hereinafter, “CEDH” and “CNDH”, respectively to address the violation of her human rights.</w:t>
      </w:r>
    </w:p>
    <w:p w14:paraId="22BFEE64" w14:textId="1DBCD123" w:rsidR="005C73EE" w:rsidRPr="00B6659B" w:rsidRDefault="00F27D4D" w:rsidP="005C73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B6659B">
        <w:rPr>
          <w:rFonts w:asciiTheme="majorHAnsi" w:hAnsiTheme="majorHAnsi" w:cs="Arial"/>
          <w:sz w:val="20"/>
          <w:szCs w:val="20"/>
        </w:rPr>
        <w:t xml:space="preserve">They allege that the employment claim was ineffective given the proceeding’s unwarranted delay and because the Board did not rule on the discrimination that Mrs. Solórzano suffered.  With regard to the unwarranted delay, they assert that the Board took about nine years to resolve the claim and this delay is exclusively attributable to the State since during this period several hearings were postponed and the Board did not respect the procedurals terms and deadlines set forth under the Federal Labor Law. </w:t>
      </w:r>
      <w:r w:rsidR="005C73EE" w:rsidRPr="00B6659B">
        <w:rPr>
          <w:rFonts w:asciiTheme="majorHAnsi" w:hAnsiTheme="majorHAnsi" w:cs="Arial"/>
          <w:sz w:val="20"/>
          <w:szCs w:val="20"/>
        </w:rPr>
        <w:t xml:space="preserve"> The petitioners affirm that the victim’s consent to hearing postponements does not exempt the State from its responsibility for the delay, as the Board should have set new dates for the hearings in keeping with the deadlines established by law, which it failed to do.  Furthermore, they indicate that Ms. Solórzano did not file indirect </w:t>
      </w:r>
      <w:r w:rsidR="005C73EE" w:rsidRPr="00B6659B">
        <w:rPr>
          <w:rFonts w:asciiTheme="majorHAnsi" w:hAnsiTheme="majorHAnsi" w:cs="Arial"/>
          <w:i/>
          <w:sz w:val="20"/>
          <w:szCs w:val="20"/>
        </w:rPr>
        <w:t xml:space="preserve">amparos </w:t>
      </w:r>
      <w:r w:rsidR="005C73EE" w:rsidRPr="00B6659B">
        <w:rPr>
          <w:rFonts w:asciiTheme="majorHAnsi" w:hAnsiTheme="majorHAnsi" w:cs="Arial"/>
          <w:sz w:val="20"/>
          <w:szCs w:val="20"/>
        </w:rPr>
        <w:t xml:space="preserve">to correct procedural errors because it would have been necessary to submit numerous </w:t>
      </w:r>
      <w:r w:rsidR="005C73EE" w:rsidRPr="00B6659B">
        <w:rPr>
          <w:rFonts w:asciiTheme="majorHAnsi" w:hAnsiTheme="majorHAnsi" w:cs="Arial"/>
          <w:i/>
          <w:sz w:val="20"/>
          <w:szCs w:val="20"/>
        </w:rPr>
        <w:t>amparos</w:t>
      </w:r>
      <w:r w:rsidR="005C73EE" w:rsidRPr="00B6659B">
        <w:rPr>
          <w:rFonts w:asciiTheme="majorHAnsi" w:hAnsiTheme="majorHAnsi" w:cs="Arial"/>
          <w:sz w:val="20"/>
          <w:szCs w:val="20"/>
        </w:rPr>
        <w:t xml:space="preserve"> to correct the large amount of errors committed by the </w:t>
      </w:r>
      <w:r w:rsidR="00611370" w:rsidRPr="00B6659B">
        <w:rPr>
          <w:rFonts w:asciiTheme="majorHAnsi" w:hAnsiTheme="majorHAnsi" w:cs="Arial"/>
          <w:sz w:val="20"/>
          <w:szCs w:val="20"/>
        </w:rPr>
        <w:t>Board</w:t>
      </w:r>
      <w:r w:rsidR="005C73EE" w:rsidRPr="00B6659B">
        <w:rPr>
          <w:rFonts w:asciiTheme="majorHAnsi" w:hAnsiTheme="majorHAnsi" w:cs="Arial"/>
          <w:sz w:val="20"/>
          <w:szCs w:val="20"/>
        </w:rPr>
        <w:t>.  They assert that this would have been contrary to the purpose of this remedy, which is to ensure a speedy trial.  As regards the purported omission of the Board with respect to the alleged discrimination suffered by Ms. Solórzano, the petitioners indicate that the Board only assessed the date on which her employment with the radio station had ceased and, in determining that her employment had been terminated on a date subsequent to the one she had alleged due to the non-renewal of her contract, the Board considered that it was not necessary to delve into the reasons for her dismissal.</w:t>
      </w:r>
    </w:p>
    <w:p w14:paraId="3E2F2C51" w14:textId="3082569A" w:rsidR="001205BC" w:rsidRPr="00B6659B" w:rsidRDefault="001205BC" w:rsidP="001205B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B6659B">
        <w:rPr>
          <w:rFonts w:asciiTheme="majorHAnsi" w:hAnsiTheme="majorHAnsi" w:cs="Arial"/>
          <w:sz w:val="20"/>
          <w:szCs w:val="20"/>
        </w:rPr>
        <w:t xml:space="preserve">According to the petitioners, the alleged victim appealed the Board’s decision by filing a direct </w:t>
      </w:r>
      <w:r w:rsidRPr="00B6659B">
        <w:rPr>
          <w:rFonts w:asciiTheme="majorHAnsi" w:hAnsiTheme="majorHAnsi" w:cs="Arial"/>
          <w:i/>
          <w:sz w:val="20"/>
          <w:szCs w:val="20"/>
        </w:rPr>
        <w:t xml:space="preserve">amparo, </w:t>
      </w:r>
      <w:r w:rsidRPr="00B6659B">
        <w:rPr>
          <w:rFonts w:asciiTheme="majorHAnsi" w:hAnsiTheme="majorHAnsi" w:cs="Arial"/>
          <w:sz w:val="20"/>
          <w:szCs w:val="20"/>
        </w:rPr>
        <w:t xml:space="preserve">but subsequently dropped the appeal after reaching an agreement with the State with respect </w:t>
      </w:r>
      <w:r w:rsidRPr="00B6659B">
        <w:rPr>
          <w:rFonts w:asciiTheme="majorHAnsi" w:hAnsiTheme="majorHAnsi" w:cs="Arial"/>
          <w:sz w:val="20"/>
          <w:szCs w:val="20"/>
        </w:rPr>
        <w:lastRenderedPageBreak/>
        <w:t xml:space="preserve">to her employment situation because of the financial pressure she was under.  However they claim that the direct </w:t>
      </w:r>
      <w:r w:rsidRPr="00B6659B">
        <w:rPr>
          <w:rFonts w:asciiTheme="majorHAnsi" w:hAnsiTheme="majorHAnsi" w:cs="Arial"/>
          <w:i/>
          <w:sz w:val="20"/>
          <w:szCs w:val="20"/>
        </w:rPr>
        <w:t>amparo</w:t>
      </w:r>
      <w:r w:rsidRPr="00B6659B">
        <w:rPr>
          <w:rFonts w:asciiTheme="majorHAnsi" w:hAnsiTheme="majorHAnsi" w:cs="Arial"/>
          <w:sz w:val="20"/>
          <w:szCs w:val="20"/>
        </w:rPr>
        <w:t xml:space="preserve"> was not the effective remedy to ensure the rights violated, as the filing of this appeal first depended on the board’s final decision, which only occurred nine year after the suit was filed.  Therefore, any effectiveness this remedy would was lost due to the labor proceedings’ unjustified delay.  They add that although the constitutional reform of 2011 provided that the </w:t>
      </w:r>
      <w:r w:rsidRPr="00B6659B">
        <w:rPr>
          <w:rFonts w:asciiTheme="majorHAnsi" w:hAnsiTheme="majorHAnsi" w:cs="Arial"/>
          <w:i/>
          <w:sz w:val="20"/>
          <w:szCs w:val="20"/>
        </w:rPr>
        <w:t>amparo</w:t>
      </w:r>
      <w:r w:rsidRPr="00B6659B">
        <w:rPr>
          <w:rFonts w:asciiTheme="majorHAnsi" w:hAnsiTheme="majorHAnsi" w:cs="Arial"/>
          <w:sz w:val="20"/>
          <w:szCs w:val="20"/>
        </w:rPr>
        <w:t xml:space="preserve"> proceedings must perform a conventionality control, exhaustion of this remedy is not required to go before the IACHR.  In this regard, they point out that in keeping with the </w:t>
      </w:r>
      <w:r w:rsidRPr="00B6659B">
        <w:rPr>
          <w:rFonts w:asciiTheme="majorHAnsi" w:hAnsiTheme="majorHAnsi" w:cs="Arial"/>
          <w:i/>
          <w:sz w:val="20"/>
          <w:szCs w:val="20"/>
        </w:rPr>
        <w:t>pro homine</w:t>
      </w:r>
      <w:r w:rsidRPr="00B6659B">
        <w:rPr>
          <w:rFonts w:asciiTheme="majorHAnsi" w:hAnsiTheme="majorHAnsi" w:cs="Arial"/>
          <w:sz w:val="20"/>
          <w:szCs w:val="20"/>
        </w:rPr>
        <w:t xml:space="preserve"> principle, the legislation to be applied is the one that most favors Ms. Solórzano’s interests and offers speedy, expedited justice and the protection of her human rights. They allege that in this case, such a remedy is the petition submitted to the IACHR. </w:t>
      </w:r>
    </w:p>
    <w:p w14:paraId="21F22C79" w14:textId="6FE64D1D" w:rsidR="008A794A" w:rsidRPr="00B6659B" w:rsidRDefault="00E2113B" w:rsidP="006200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659B">
        <w:rPr>
          <w:rFonts w:asciiTheme="majorHAnsi" w:hAnsiTheme="majorHAnsi" w:cs="Arial"/>
          <w:sz w:val="20"/>
          <w:szCs w:val="20"/>
        </w:rPr>
        <w:t xml:space="preserve">The petitioners </w:t>
      </w:r>
      <w:r w:rsidR="001205BC" w:rsidRPr="00B6659B">
        <w:rPr>
          <w:rFonts w:asciiTheme="majorHAnsi" w:hAnsiTheme="majorHAnsi" w:cs="Arial"/>
          <w:sz w:val="20"/>
          <w:szCs w:val="20"/>
        </w:rPr>
        <w:t>also indicate</w:t>
      </w:r>
      <w:r w:rsidRPr="00B6659B">
        <w:rPr>
          <w:rFonts w:asciiTheme="majorHAnsi" w:hAnsiTheme="majorHAnsi" w:cs="Arial"/>
          <w:sz w:val="20"/>
          <w:szCs w:val="20"/>
        </w:rPr>
        <w:t xml:space="preserve"> that only the complaints and remedies filed with the CEDH and the CNDH could have been effective to ensure the human rights of the alleged victim.  They indicate that these administrative remedies were exhausted, but that they were ineffective as the State did not comply with the recommendations </w:t>
      </w:r>
      <w:r w:rsidR="001205BC" w:rsidRPr="00B6659B">
        <w:rPr>
          <w:rFonts w:asciiTheme="majorHAnsi" w:hAnsiTheme="majorHAnsi" w:cs="Arial"/>
          <w:sz w:val="20"/>
          <w:szCs w:val="20"/>
        </w:rPr>
        <w:t>of these commissions.</w:t>
      </w:r>
    </w:p>
    <w:p w14:paraId="6B28BBE7" w14:textId="084F7952" w:rsidR="00042911" w:rsidRPr="00B6659B" w:rsidRDefault="001205BC" w:rsidP="000429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6659B">
        <w:rPr>
          <w:rFonts w:asciiTheme="majorHAnsi" w:hAnsiTheme="majorHAnsi"/>
          <w:sz w:val="20"/>
          <w:szCs w:val="20"/>
        </w:rPr>
        <w:t>The State holds that the IACHR has limited competence to hear this matter and that the petition should be declared inadmissible.</w:t>
      </w:r>
      <w:r w:rsidR="00042911" w:rsidRPr="00B6659B">
        <w:rPr>
          <w:rFonts w:asciiTheme="majorHAnsi" w:hAnsiTheme="majorHAnsi"/>
          <w:sz w:val="20"/>
          <w:szCs w:val="20"/>
        </w:rPr>
        <w:t xml:space="preserve">  In this regard, it asserts that the employment claim Ms. Solórzano filed addressed work-related matters that fall outside the Commission’s competence and that the effective remedies that exist in the Mexican legal system to guarantee the human rights purportedly violated were not exhausted.  Additionally, the State indicates that given the petitioner’s withdrawal of her </w:t>
      </w:r>
      <w:r w:rsidR="00042911" w:rsidRPr="00B6659B">
        <w:rPr>
          <w:rFonts w:asciiTheme="majorHAnsi" w:hAnsiTheme="majorHAnsi"/>
          <w:i/>
          <w:sz w:val="20"/>
          <w:szCs w:val="20"/>
        </w:rPr>
        <w:t>amparo</w:t>
      </w:r>
      <w:r w:rsidR="00042911" w:rsidRPr="00B6659B">
        <w:rPr>
          <w:rFonts w:asciiTheme="majorHAnsi" w:hAnsiTheme="majorHAnsi"/>
          <w:sz w:val="20"/>
          <w:szCs w:val="20"/>
        </w:rPr>
        <w:t xml:space="preserve"> and the conclusion of the labor proceedings through a friendly settlement, the petition should be archived as the grounds therefor no longer exist.</w:t>
      </w:r>
    </w:p>
    <w:p w14:paraId="11F6B9E6" w14:textId="63E5AE25" w:rsidR="002E508F" w:rsidRPr="00B6659B" w:rsidRDefault="002E508F" w:rsidP="002E50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6659B">
        <w:rPr>
          <w:rFonts w:asciiTheme="majorHAnsi" w:hAnsiTheme="majorHAnsi"/>
          <w:sz w:val="20"/>
          <w:szCs w:val="20"/>
        </w:rPr>
        <w:t xml:space="preserve">The State points out that the employment claim filed by the alleged victim was the suitable remedy to protect her labor and human rights.  The State adds that the allegedly unwarranted delay in concluding the employment lawsuit was exclusively due to Ms. Solórzano’s litigation strategy and adds that the Supreme Court of Justice has already established the suitability of the indirect </w:t>
      </w:r>
      <w:r w:rsidRPr="00B6659B">
        <w:rPr>
          <w:rFonts w:asciiTheme="majorHAnsi" w:hAnsiTheme="majorHAnsi"/>
          <w:i/>
          <w:sz w:val="20"/>
          <w:szCs w:val="20"/>
        </w:rPr>
        <w:t xml:space="preserve">amparo </w:t>
      </w:r>
      <w:r w:rsidRPr="00B6659B">
        <w:rPr>
          <w:rFonts w:asciiTheme="majorHAnsi" w:hAnsiTheme="majorHAnsi"/>
          <w:sz w:val="20"/>
          <w:szCs w:val="20"/>
        </w:rPr>
        <w:t>for omissions and delays in labor proceedings and at no time did Ms. Solórzano file this remedy.  The State alleges that the petitioners’ argument on this remedy’s efficacy and their justification for not filing it is abstract and that a reading of Article 46 of the American Convention does not provide for the petitioners’ right to assess the alleged effectiveness of an existing remedy that is available without even having filed it.</w:t>
      </w:r>
    </w:p>
    <w:p w14:paraId="35D11AF8" w14:textId="5BB7D217" w:rsidR="001C1864" w:rsidRPr="00B6659B" w:rsidRDefault="002E508F" w:rsidP="001C18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6659B">
        <w:rPr>
          <w:rFonts w:asciiTheme="majorHAnsi" w:hAnsiTheme="majorHAnsi"/>
          <w:sz w:val="20"/>
          <w:szCs w:val="20"/>
        </w:rPr>
        <w:t xml:space="preserve">The State also alleges that once the Board issued a ruling, the alleged victim was able to address the purported violation of her rights through a direct </w:t>
      </w:r>
      <w:r w:rsidRPr="00B6659B">
        <w:rPr>
          <w:rFonts w:asciiTheme="majorHAnsi" w:hAnsiTheme="majorHAnsi"/>
          <w:i/>
          <w:sz w:val="20"/>
          <w:szCs w:val="20"/>
        </w:rPr>
        <w:t>amparo</w:t>
      </w:r>
      <w:r w:rsidRPr="00B6659B">
        <w:rPr>
          <w:rFonts w:asciiTheme="majorHAnsi" w:hAnsiTheme="majorHAnsi"/>
          <w:sz w:val="20"/>
          <w:szCs w:val="20"/>
        </w:rPr>
        <w:t>, a remedy which the IACHR itself has recognized to be suitable for analyzing and repairing human rights violations.</w:t>
      </w:r>
      <w:r w:rsidR="001C1864" w:rsidRPr="00B6659B">
        <w:rPr>
          <w:rFonts w:asciiTheme="majorHAnsi" w:hAnsiTheme="majorHAnsi"/>
          <w:sz w:val="20"/>
          <w:szCs w:val="20"/>
        </w:rPr>
        <w:t xml:space="preserve">  The State indicates that M</w:t>
      </w:r>
      <w:r w:rsidRPr="00B6659B">
        <w:rPr>
          <w:rFonts w:asciiTheme="majorHAnsi" w:hAnsiTheme="majorHAnsi"/>
          <w:sz w:val="20"/>
          <w:szCs w:val="20"/>
        </w:rPr>
        <w:t>s. Solórzano filed this remedy on June 21, 2012, but withdrew it on February 1, 2013</w:t>
      </w:r>
      <w:r w:rsidR="001C1864" w:rsidRPr="00B6659B">
        <w:rPr>
          <w:rFonts w:asciiTheme="majorHAnsi" w:hAnsiTheme="majorHAnsi"/>
          <w:sz w:val="20"/>
          <w:szCs w:val="20"/>
        </w:rPr>
        <w:t>,</w:t>
      </w:r>
      <w:r w:rsidRPr="00B6659B">
        <w:rPr>
          <w:rFonts w:asciiTheme="majorHAnsi" w:hAnsiTheme="majorHAnsi"/>
          <w:sz w:val="20"/>
          <w:szCs w:val="20"/>
        </w:rPr>
        <w:t xml:space="preserve"> as a result of the friendly conciliation of the interests of both parties to the labor dispute.</w:t>
      </w:r>
      <w:r w:rsidR="001C1864" w:rsidRPr="00B6659B">
        <w:rPr>
          <w:rFonts w:asciiTheme="majorHAnsi" w:hAnsiTheme="majorHAnsi"/>
          <w:sz w:val="20"/>
          <w:szCs w:val="20"/>
        </w:rPr>
        <w:t xml:space="preserve"> </w:t>
      </w:r>
      <w:r w:rsidRPr="00B6659B">
        <w:rPr>
          <w:rFonts w:asciiTheme="majorHAnsi" w:hAnsiTheme="majorHAnsi"/>
          <w:sz w:val="20"/>
          <w:szCs w:val="20"/>
        </w:rPr>
        <w:t xml:space="preserve"> </w:t>
      </w:r>
      <w:r w:rsidR="001C1864" w:rsidRPr="00B6659B">
        <w:rPr>
          <w:rFonts w:asciiTheme="majorHAnsi" w:hAnsiTheme="majorHAnsi"/>
          <w:sz w:val="20"/>
          <w:szCs w:val="20"/>
        </w:rPr>
        <w:t xml:space="preserve">Furthermore, the State claims that the </w:t>
      </w:r>
      <w:r w:rsidR="001C1864" w:rsidRPr="00B6659B">
        <w:rPr>
          <w:rFonts w:asciiTheme="majorHAnsi" w:hAnsiTheme="majorHAnsi"/>
          <w:i/>
          <w:sz w:val="20"/>
          <w:szCs w:val="20"/>
        </w:rPr>
        <w:t>pro homine</w:t>
      </w:r>
      <w:r w:rsidR="001C1864" w:rsidRPr="00B6659B">
        <w:rPr>
          <w:rFonts w:asciiTheme="majorHAnsi" w:hAnsiTheme="majorHAnsi"/>
          <w:sz w:val="20"/>
          <w:szCs w:val="20"/>
        </w:rPr>
        <w:t xml:space="preserve"> principle does not allow choose between submitting her claim to domestic courts or directly to the IACHR.  It affirms that the IACHR has subsidiary competence and that before it can rule on an alleged violation of human rights it must allow the States to repair the alleged violations. </w:t>
      </w:r>
    </w:p>
    <w:p w14:paraId="46B65F05" w14:textId="02AA4523" w:rsidR="001C1864" w:rsidRPr="00B6659B" w:rsidRDefault="001C1864" w:rsidP="001C18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6659B">
        <w:rPr>
          <w:rFonts w:asciiTheme="majorHAnsi" w:hAnsiTheme="majorHAnsi"/>
          <w:sz w:val="20"/>
          <w:szCs w:val="20"/>
        </w:rPr>
        <w:t xml:space="preserve">The State also alleges that it has complied with </w:t>
      </w:r>
      <w:r w:rsidR="00A34AA9" w:rsidRPr="00B6659B">
        <w:rPr>
          <w:rFonts w:asciiTheme="majorHAnsi" w:hAnsiTheme="majorHAnsi"/>
          <w:sz w:val="20"/>
          <w:szCs w:val="20"/>
        </w:rPr>
        <w:t xml:space="preserve">the </w:t>
      </w:r>
      <w:r w:rsidRPr="00B6659B">
        <w:rPr>
          <w:rFonts w:asciiTheme="majorHAnsi" w:hAnsiTheme="majorHAnsi"/>
          <w:sz w:val="20"/>
          <w:szCs w:val="20"/>
        </w:rPr>
        <w:t xml:space="preserve">CEDH’s recommendations. </w:t>
      </w:r>
      <w:r w:rsidR="00A34AA9" w:rsidRPr="00B6659B">
        <w:rPr>
          <w:rFonts w:asciiTheme="majorHAnsi" w:hAnsiTheme="majorHAnsi"/>
          <w:sz w:val="20"/>
          <w:szCs w:val="20"/>
        </w:rPr>
        <w:t xml:space="preserve"> </w:t>
      </w:r>
      <w:r w:rsidRPr="00B6659B">
        <w:rPr>
          <w:rFonts w:asciiTheme="majorHAnsi" w:hAnsiTheme="majorHAnsi"/>
          <w:sz w:val="20"/>
          <w:szCs w:val="20"/>
        </w:rPr>
        <w:t xml:space="preserve">In this respect, it indicates that administrative proceedings were initiated and concluded against the director of the radio station at that time </w:t>
      </w:r>
      <w:r w:rsidR="00A34AA9" w:rsidRPr="00B6659B">
        <w:rPr>
          <w:rFonts w:asciiTheme="majorHAnsi" w:hAnsiTheme="majorHAnsi"/>
          <w:sz w:val="20"/>
          <w:szCs w:val="20"/>
        </w:rPr>
        <w:t>and that M</w:t>
      </w:r>
      <w:r w:rsidRPr="00B6659B">
        <w:rPr>
          <w:rFonts w:asciiTheme="majorHAnsi" w:hAnsiTheme="majorHAnsi"/>
          <w:sz w:val="20"/>
          <w:szCs w:val="20"/>
        </w:rPr>
        <w:t xml:space="preserve">s. Solórzano’s </w:t>
      </w:r>
      <w:r w:rsidR="00A34AA9" w:rsidRPr="00B6659B">
        <w:rPr>
          <w:rFonts w:asciiTheme="majorHAnsi" w:hAnsiTheme="majorHAnsi"/>
          <w:i/>
          <w:sz w:val="20"/>
          <w:szCs w:val="20"/>
        </w:rPr>
        <w:t>curriculum vitae</w:t>
      </w:r>
      <w:r w:rsidRPr="00B6659B">
        <w:rPr>
          <w:rFonts w:asciiTheme="majorHAnsi" w:hAnsiTheme="majorHAnsi"/>
          <w:sz w:val="20"/>
          <w:szCs w:val="20"/>
        </w:rPr>
        <w:t xml:space="preserve"> was evaluated for her former post. </w:t>
      </w:r>
      <w:r w:rsidR="00A34AA9" w:rsidRPr="00B6659B">
        <w:rPr>
          <w:rFonts w:asciiTheme="majorHAnsi" w:hAnsiTheme="majorHAnsi"/>
          <w:sz w:val="20"/>
          <w:szCs w:val="20"/>
        </w:rPr>
        <w:t xml:space="preserve"> </w:t>
      </w:r>
      <w:r w:rsidRPr="00B6659B">
        <w:rPr>
          <w:rFonts w:asciiTheme="majorHAnsi" w:hAnsiTheme="majorHAnsi"/>
          <w:sz w:val="20"/>
          <w:szCs w:val="20"/>
        </w:rPr>
        <w:t xml:space="preserve">It indicates that she presented three complaints to the CNDH as she considered that the State had not complied with the CEDH’s recommendations; however, on September 12, 2006, the CNDH, in its last recommendation, stated that the complaint was not admissible given that the government had </w:t>
      </w:r>
      <w:r w:rsidR="00A34AA9" w:rsidRPr="00B6659B">
        <w:rPr>
          <w:rFonts w:asciiTheme="majorHAnsi" w:hAnsiTheme="majorHAnsi"/>
          <w:sz w:val="20"/>
          <w:szCs w:val="20"/>
        </w:rPr>
        <w:t>complied with</w:t>
      </w:r>
      <w:r w:rsidRPr="00B6659B">
        <w:rPr>
          <w:rFonts w:asciiTheme="majorHAnsi" w:hAnsiTheme="majorHAnsi"/>
          <w:sz w:val="20"/>
          <w:szCs w:val="20"/>
        </w:rPr>
        <w:t xml:space="preserve"> the CEDH’s recommendations.  </w:t>
      </w:r>
    </w:p>
    <w:p w14:paraId="55505107" w14:textId="77777777" w:rsidR="00F621C3" w:rsidRPr="00B6659B" w:rsidRDefault="00F621C3" w:rsidP="00F621C3">
      <w:pPr>
        <w:spacing w:before="240" w:after="240"/>
        <w:ind w:firstLine="720"/>
        <w:jc w:val="both"/>
        <w:rPr>
          <w:rFonts w:ascii="Cambria" w:hAnsi="Cambria"/>
          <w:sz w:val="20"/>
          <w:szCs w:val="20"/>
        </w:rPr>
      </w:pPr>
      <w:r w:rsidRPr="00B6659B">
        <w:rPr>
          <w:rFonts w:asciiTheme="majorHAnsi" w:eastAsia="Cambria" w:hAnsiTheme="majorHAnsi" w:cs="Cambria"/>
          <w:b/>
          <w:bCs/>
          <w:color w:val="000000"/>
          <w:sz w:val="20"/>
          <w:szCs w:val="20"/>
          <w:u w:color="000000"/>
          <w:lang w:eastAsia="es-ES"/>
        </w:rPr>
        <w:t>VI.</w:t>
      </w:r>
      <w:r w:rsidRPr="00B6659B">
        <w:rPr>
          <w:rFonts w:asciiTheme="majorHAnsi" w:eastAsia="Cambria" w:hAnsiTheme="majorHAnsi" w:cs="Cambria"/>
          <w:b/>
          <w:bCs/>
          <w:color w:val="000000"/>
          <w:sz w:val="20"/>
          <w:szCs w:val="20"/>
          <w:u w:color="000000"/>
          <w:lang w:eastAsia="es-ES"/>
        </w:rPr>
        <w:tab/>
      </w:r>
      <w:r w:rsidRPr="00B6659B">
        <w:rPr>
          <w:rFonts w:asciiTheme="majorHAnsi" w:hAnsiTheme="majorHAnsi"/>
          <w:b/>
          <w:sz w:val="20"/>
          <w:szCs w:val="20"/>
        </w:rPr>
        <w:t>EXHAUSTION OF DOMESTIC REMEDIES AND TIMELINESS OF THE PETITION</w:t>
      </w:r>
      <w:r w:rsidRPr="00B6659B">
        <w:rPr>
          <w:rFonts w:asciiTheme="majorHAnsi" w:eastAsia="Cambria" w:hAnsiTheme="majorHAnsi" w:cs="Cambria"/>
          <w:b/>
          <w:bCs/>
          <w:color w:val="000000"/>
          <w:sz w:val="20"/>
          <w:szCs w:val="20"/>
          <w:u w:color="000000"/>
          <w:lang w:eastAsia="es-ES"/>
        </w:rPr>
        <w:t xml:space="preserve"> </w:t>
      </w:r>
    </w:p>
    <w:p w14:paraId="4C09B363" w14:textId="3440DBBD" w:rsidR="00C007D7" w:rsidRPr="00B6659B" w:rsidRDefault="00C007D7" w:rsidP="00C007D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6659B">
        <w:rPr>
          <w:rFonts w:asciiTheme="majorHAnsi" w:hAnsiTheme="majorHAnsi"/>
          <w:sz w:val="20"/>
          <w:szCs w:val="20"/>
        </w:rPr>
        <w:t xml:space="preserve">According to the petitioners, there is no effective remedy in the Mexican legal system to simultaneously address violations of </w:t>
      </w:r>
      <w:r w:rsidR="00C506CD" w:rsidRPr="00B6659B">
        <w:rPr>
          <w:rFonts w:asciiTheme="majorHAnsi" w:hAnsiTheme="majorHAnsi"/>
          <w:sz w:val="20"/>
          <w:szCs w:val="20"/>
        </w:rPr>
        <w:t>the alleged victim</w:t>
      </w:r>
      <w:r w:rsidRPr="00B6659B">
        <w:rPr>
          <w:rFonts w:asciiTheme="majorHAnsi" w:hAnsiTheme="majorHAnsi" w:cs="Arial"/>
          <w:sz w:val="20"/>
          <w:szCs w:val="20"/>
        </w:rPr>
        <w:t xml:space="preserve">’s labor rights and human rights and therefore the exception to the requirement to exhaust domestic remedies provided for under 46(2)(a) of the Convention should apply. </w:t>
      </w:r>
      <w:r w:rsidR="002A79B3" w:rsidRPr="00B6659B">
        <w:rPr>
          <w:rFonts w:asciiTheme="majorHAnsi" w:hAnsiTheme="majorHAnsi" w:cs="Arial"/>
          <w:sz w:val="20"/>
          <w:szCs w:val="20"/>
        </w:rPr>
        <w:t xml:space="preserve"> </w:t>
      </w:r>
      <w:r w:rsidRPr="00B6659B">
        <w:rPr>
          <w:rFonts w:asciiTheme="majorHAnsi" w:hAnsiTheme="majorHAnsi" w:cs="Arial"/>
          <w:sz w:val="20"/>
          <w:szCs w:val="20"/>
        </w:rPr>
        <w:t xml:space="preserve">They also allege that there was unwarranted delay that was exclusively the State’s fault in </w:t>
      </w:r>
      <w:r w:rsidRPr="00B6659B">
        <w:rPr>
          <w:rFonts w:asciiTheme="majorHAnsi" w:hAnsiTheme="majorHAnsi" w:cs="Arial"/>
          <w:sz w:val="20"/>
          <w:szCs w:val="20"/>
        </w:rPr>
        <w:lastRenderedPageBreak/>
        <w:t xml:space="preserve">concluding the judicial proceedings and the exception to exhaustion of domestic remedies provided for under </w:t>
      </w:r>
      <w:r w:rsidRPr="00B6659B">
        <w:rPr>
          <w:rFonts w:asciiTheme="majorHAnsi" w:hAnsiTheme="majorHAnsi"/>
          <w:sz w:val="20"/>
          <w:szCs w:val="20"/>
        </w:rPr>
        <w:t xml:space="preserve">46(2)(c) of the Convention should apply. </w:t>
      </w:r>
      <w:r w:rsidR="002A79B3" w:rsidRPr="00B6659B">
        <w:rPr>
          <w:rFonts w:asciiTheme="majorHAnsi" w:hAnsiTheme="majorHAnsi"/>
          <w:sz w:val="20"/>
          <w:szCs w:val="20"/>
        </w:rPr>
        <w:t xml:space="preserve"> </w:t>
      </w:r>
      <w:r w:rsidRPr="00B6659B">
        <w:rPr>
          <w:rFonts w:asciiTheme="majorHAnsi" w:hAnsiTheme="majorHAnsi"/>
          <w:sz w:val="20"/>
          <w:szCs w:val="20"/>
        </w:rPr>
        <w:t>For its part, the State affirms that the employment claim submitted to the Board was initially suitable fo</w:t>
      </w:r>
      <w:r w:rsidR="002A79B3" w:rsidRPr="00B6659B">
        <w:rPr>
          <w:rFonts w:asciiTheme="majorHAnsi" w:hAnsiTheme="majorHAnsi"/>
          <w:sz w:val="20"/>
          <w:szCs w:val="20"/>
        </w:rPr>
        <w:t>r repairing the violations of M</w:t>
      </w:r>
      <w:r w:rsidRPr="00B6659B">
        <w:rPr>
          <w:rFonts w:asciiTheme="majorHAnsi" w:hAnsiTheme="majorHAnsi"/>
          <w:sz w:val="20"/>
          <w:szCs w:val="20"/>
        </w:rPr>
        <w:t xml:space="preserve">s. </w:t>
      </w:r>
      <w:r w:rsidRPr="00B6659B">
        <w:rPr>
          <w:rFonts w:ascii="Cambria" w:hAnsi="Cambria" w:cs="Cambria"/>
          <w:color w:val="000000"/>
          <w:sz w:val="20"/>
          <w:szCs w:val="20"/>
          <w:lang w:eastAsia="es-ES"/>
        </w:rPr>
        <w:t xml:space="preserve">Solórzano’s labor and human rights, and once the Board’s decision was issued, the suitable remedy was to file a direct </w:t>
      </w:r>
      <w:r w:rsidRPr="00B6659B">
        <w:rPr>
          <w:rFonts w:ascii="Cambria" w:hAnsi="Cambria" w:cs="Cambria"/>
          <w:i/>
          <w:color w:val="000000"/>
          <w:sz w:val="20"/>
          <w:szCs w:val="20"/>
          <w:lang w:eastAsia="es-ES"/>
        </w:rPr>
        <w:t>amparo</w:t>
      </w:r>
      <w:r w:rsidRPr="00B6659B">
        <w:rPr>
          <w:rFonts w:ascii="Cambria" w:hAnsi="Cambria" w:cs="Cambria"/>
          <w:color w:val="000000"/>
          <w:sz w:val="20"/>
          <w:szCs w:val="20"/>
          <w:lang w:eastAsia="es-ES"/>
        </w:rPr>
        <w:t xml:space="preserve">. </w:t>
      </w:r>
      <w:r w:rsidR="002A79B3" w:rsidRPr="00B6659B">
        <w:rPr>
          <w:rFonts w:ascii="Cambria" w:hAnsi="Cambria" w:cs="Cambria"/>
          <w:color w:val="000000"/>
          <w:sz w:val="20"/>
          <w:szCs w:val="20"/>
          <w:lang w:eastAsia="es-ES"/>
        </w:rPr>
        <w:t xml:space="preserve"> </w:t>
      </w:r>
      <w:r w:rsidR="00C506CD" w:rsidRPr="00B6659B">
        <w:rPr>
          <w:rFonts w:ascii="Cambria" w:hAnsi="Cambria" w:cs="Cambria"/>
          <w:color w:val="000000"/>
          <w:sz w:val="20"/>
          <w:szCs w:val="20"/>
          <w:lang w:eastAsia="es-ES"/>
        </w:rPr>
        <w:t>It</w:t>
      </w:r>
      <w:r w:rsidRPr="00B6659B">
        <w:rPr>
          <w:rFonts w:ascii="Cambria" w:hAnsi="Cambria" w:cs="Cambria"/>
          <w:color w:val="000000"/>
          <w:sz w:val="20"/>
          <w:szCs w:val="20"/>
          <w:lang w:eastAsia="es-ES"/>
        </w:rPr>
        <w:t xml:space="preserve"> further indicates that the delays in concluding judicial proceedings was due to the alleged victim’s litigation strategy and that domestic remedies were not exhausted since </w:t>
      </w:r>
      <w:r w:rsidR="00C506CD" w:rsidRPr="00B6659B">
        <w:rPr>
          <w:rFonts w:ascii="Cambria" w:hAnsi="Cambria" w:cs="Cambria"/>
          <w:color w:val="000000"/>
          <w:sz w:val="20"/>
          <w:szCs w:val="20"/>
          <w:lang w:eastAsia="es-ES"/>
        </w:rPr>
        <w:t>the alleged victim</w:t>
      </w:r>
      <w:r w:rsidRPr="00B6659B">
        <w:rPr>
          <w:rFonts w:asciiTheme="majorHAnsi" w:hAnsiTheme="majorHAnsi" w:cs="Arial"/>
          <w:sz w:val="20"/>
          <w:szCs w:val="20"/>
        </w:rPr>
        <w:t xml:space="preserve"> dropped her case.</w:t>
      </w:r>
    </w:p>
    <w:p w14:paraId="48924DB0" w14:textId="63EB9518" w:rsidR="002A79B3" w:rsidRPr="00B6659B" w:rsidRDefault="00033194" w:rsidP="008A2D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659B">
        <w:rPr>
          <w:rFonts w:asciiTheme="majorHAnsi" w:hAnsiTheme="majorHAnsi"/>
          <w:sz w:val="20"/>
          <w:szCs w:val="20"/>
        </w:rPr>
        <w:t>Based on the information presented, t</w:t>
      </w:r>
      <w:r w:rsidR="002A79B3" w:rsidRPr="00B6659B">
        <w:rPr>
          <w:rFonts w:asciiTheme="majorHAnsi" w:hAnsiTheme="majorHAnsi"/>
          <w:sz w:val="20"/>
          <w:szCs w:val="20"/>
        </w:rPr>
        <w:t>he IACHR notes that M</w:t>
      </w:r>
      <w:r w:rsidRPr="00B6659B">
        <w:rPr>
          <w:rFonts w:asciiTheme="majorHAnsi" w:hAnsiTheme="majorHAnsi"/>
          <w:sz w:val="20"/>
          <w:szCs w:val="20"/>
        </w:rPr>
        <w:t xml:space="preserve">s. Solórzano alleged in her employment claim that she had been discriminated against and fired for being a woman and had requested that the Board reinstate her. </w:t>
      </w:r>
      <w:r w:rsidR="002A79B3" w:rsidRPr="00B6659B">
        <w:rPr>
          <w:rFonts w:asciiTheme="majorHAnsi" w:hAnsiTheme="majorHAnsi"/>
          <w:sz w:val="20"/>
          <w:szCs w:val="20"/>
        </w:rPr>
        <w:t xml:space="preserve"> On June 21, 2012, this complaint was dismissed.  On August 3, 2012, the alleged victim filed a direct </w:t>
      </w:r>
      <w:r w:rsidR="002A79B3" w:rsidRPr="00B6659B">
        <w:rPr>
          <w:rFonts w:asciiTheme="majorHAnsi" w:hAnsiTheme="majorHAnsi"/>
          <w:i/>
          <w:sz w:val="20"/>
          <w:szCs w:val="20"/>
        </w:rPr>
        <w:t>amparo</w:t>
      </w:r>
      <w:r w:rsidR="002A79B3" w:rsidRPr="00B6659B">
        <w:rPr>
          <w:rFonts w:asciiTheme="majorHAnsi" w:hAnsiTheme="majorHAnsi"/>
          <w:sz w:val="20"/>
          <w:szCs w:val="20"/>
        </w:rPr>
        <w:t xml:space="preserve"> before the Appellate Court of the Twenty-Second District (hereinafter, “the Appellate Court”) invoking the claim of her unjustified dismissal and the Board’s omission in this regard and requested that the Board’s resolution be nullified and that a new one be entered.</w:t>
      </w:r>
      <w:r w:rsidR="00695843" w:rsidRPr="00B6659B">
        <w:rPr>
          <w:rFonts w:asciiTheme="majorHAnsi" w:hAnsiTheme="majorHAnsi"/>
          <w:sz w:val="20"/>
          <w:szCs w:val="20"/>
        </w:rPr>
        <w:t xml:space="preserve">  On December 11, 2012, the Appellate Court granted the </w:t>
      </w:r>
      <w:r w:rsidR="00695843" w:rsidRPr="00B6659B">
        <w:rPr>
          <w:rFonts w:asciiTheme="majorHAnsi" w:hAnsiTheme="majorHAnsi"/>
          <w:i/>
          <w:sz w:val="20"/>
          <w:szCs w:val="20"/>
        </w:rPr>
        <w:t xml:space="preserve">amparo </w:t>
      </w:r>
      <w:r w:rsidR="00695843" w:rsidRPr="00B6659B">
        <w:rPr>
          <w:rFonts w:asciiTheme="majorHAnsi" w:hAnsiTheme="majorHAnsi"/>
          <w:sz w:val="20"/>
          <w:szCs w:val="20"/>
        </w:rPr>
        <w:t xml:space="preserve">in this respect, recognizing the lack of congruence between the object of the employment complaint and the Board’s decision since it did not address the </w:t>
      </w:r>
      <w:r w:rsidR="00A00AAA" w:rsidRPr="00B6659B">
        <w:rPr>
          <w:rFonts w:asciiTheme="majorHAnsi" w:hAnsiTheme="majorHAnsi"/>
          <w:sz w:val="20"/>
          <w:szCs w:val="20"/>
        </w:rPr>
        <w:t>unjustified dismissal.  Therefore, the Appellate Court voided the Board’s decision and ordered it to issue a new one in which it should fully resolve the matters raised in the complaint.  According to the available documentation, the Board and the alleged victim were notified of this decision in December 2012.</w:t>
      </w:r>
    </w:p>
    <w:p w14:paraId="332B51BA" w14:textId="4237106B" w:rsidR="00A00AAA" w:rsidRPr="00B6659B" w:rsidRDefault="00A00AAA" w:rsidP="002314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659B">
        <w:rPr>
          <w:rFonts w:ascii="Cambria" w:hAnsi="Cambria"/>
          <w:sz w:val="20"/>
          <w:szCs w:val="20"/>
        </w:rPr>
        <w:t>On February 1, 2013, the alleged victim dropped her employment complaint after reaching an agreement with the defendants</w:t>
      </w:r>
      <w:r w:rsidRPr="00B6659B">
        <w:rPr>
          <w:rStyle w:val="FootnoteReference"/>
          <w:rFonts w:asciiTheme="majorHAnsi" w:hAnsiTheme="majorHAnsi" w:cs="Arial"/>
          <w:sz w:val="20"/>
          <w:szCs w:val="20"/>
        </w:rPr>
        <w:footnoteReference w:id="9"/>
      </w:r>
      <w:r w:rsidRPr="00B6659B">
        <w:rPr>
          <w:rFonts w:ascii="Cambria" w:hAnsi="Cambria"/>
          <w:sz w:val="20"/>
          <w:szCs w:val="20"/>
        </w:rPr>
        <w:t xml:space="preserve">. </w:t>
      </w:r>
      <w:r w:rsidR="00E33089" w:rsidRPr="00B6659B">
        <w:rPr>
          <w:rFonts w:ascii="Cambria" w:hAnsi="Cambria"/>
          <w:sz w:val="20"/>
          <w:szCs w:val="20"/>
        </w:rPr>
        <w:t xml:space="preserve"> </w:t>
      </w:r>
      <w:r w:rsidR="00191ECD" w:rsidRPr="00B6659B">
        <w:rPr>
          <w:rFonts w:ascii="Cambria" w:hAnsi="Cambria"/>
          <w:sz w:val="20"/>
          <w:szCs w:val="20"/>
        </w:rPr>
        <w:t xml:space="preserve">On February 14, the Appellate Court asked the alleged victim to express her opinion on the enforcement of the </w:t>
      </w:r>
      <w:r w:rsidR="00191ECD" w:rsidRPr="00B6659B">
        <w:rPr>
          <w:rFonts w:ascii="Cambria" w:hAnsi="Cambria"/>
          <w:i/>
          <w:sz w:val="20"/>
          <w:szCs w:val="20"/>
        </w:rPr>
        <w:t>amparo</w:t>
      </w:r>
      <w:r w:rsidR="00191ECD" w:rsidRPr="00B6659B">
        <w:rPr>
          <w:rFonts w:ascii="Cambria" w:hAnsi="Cambria"/>
          <w:sz w:val="20"/>
          <w:szCs w:val="20"/>
        </w:rPr>
        <w:t xml:space="preserve"> decision, stating that, if a response was not received within three days, the body would rule on the compliance.  On February 20, 2013, the Appellate Court, noting that none of the parties had requested a review of the December 11, 2012 decision, declared that decision enforced.  Moreover, on March 13, 2013, the Appellate Court, noting that the alleged victim had not responded to the Court’s request of February 14, considered that, despite the Board not issuing a new resolution, due to the withdrawal of the complaint</w:t>
      </w:r>
      <w:r w:rsidR="002314AF" w:rsidRPr="00B6659B">
        <w:rPr>
          <w:rFonts w:ascii="Cambria" w:hAnsi="Cambria"/>
          <w:sz w:val="20"/>
          <w:szCs w:val="20"/>
        </w:rPr>
        <w:t xml:space="preserve"> and the order to close the matter, the object of the complaint no longer existed and it would not be possible for a new resolution to be issued.  It added that, given the conformity of the contestants, the protective judgment was considered to have been complied with for all legal purposes.  The alleged victim was notified of this decision on March 15, 2013.  Later, on April 15, 2013, since that decision had not been challenged, the Appellate Court decided to close the matter. </w:t>
      </w:r>
    </w:p>
    <w:p w14:paraId="130B8F69" w14:textId="48413723" w:rsidR="002314AF" w:rsidRPr="00B6659B" w:rsidRDefault="002314AF" w:rsidP="008A2D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659B">
        <w:rPr>
          <w:rFonts w:asciiTheme="majorHAnsi" w:hAnsiTheme="majorHAnsi"/>
          <w:sz w:val="20"/>
          <w:szCs w:val="20"/>
        </w:rPr>
        <w:t xml:space="preserve">From the allegations raised in the employment complaint it is possible to identify that the alleged victim considered this complaint to be an appropriate remedy to address her claim concerning her </w:t>
      </w:r>
      <w:r w:rsidR="000304B4" w:rsidRPr="00B6659B">
        <w:rPr>
          <w:rFonts w:asciiTheme="majorHAnsi" w:hAnsiTheme="majorHAnsi"/>
          <w:sz w:val="20"/>
          <w:szCs w:val="20"/>
        </w:rPr>
        <w:t>alleged</w:t>
      </w:r>
      <w:r w:rsidRPr="00B6659B">
        <w:rPr>
          <w:rFonts w:asciiTheme="majorHAnsi" w:hAnsiTheme="majorHAnsi"/>
          <w:sz w:val="20"/>
          <w:szCs w:val="20"/>
        </w:rPr>
        <w:t xml:space="preserve"> unjustified and discriminatory dismissal.  </w:t>
      </w:r>
      <w:r w:rsidR="000304B4" w:rsidRPr="00B6659B">
        <w:rPr>
          <w:rFonts w:asciiTheme="majorHAnsi" w:hAnsiTheme="majorHAnsi"/>
          <w:sz w:val="20"/>
          <w:szCs w:val="20"/>
        </w:rPr>
        <w:t xml:space="preserve">Furthermore, the judicial authorities voided the Board’s resolution dismissing the complaint and ordered it to issue a new resolution in which it was to address the reasons for the alleged victim’s dismissal.  The Board did not issue a new resolution due to the withdrawal of the complaint by the alleged victim, who, in addition, did not </w:t>
      </w:r>
      <w:r w:rsidR="0000056D" w:rsidRPr="00B6659B">
        <w:rPr>
          <w:rFonts w:asciiTheme="majorHAnsi" w:hAnsiTheme="majorHAnsi"/>
          <w:sz w:val="20"/>
          <w:szCs w:val="20"/>
        </w:rPr>
        <w:t xml:space="preserve">present any observations to the Appellate Court concerning the enforcement of the </w:t>
      </w:r>
      <w:r w:rsidR="0000056D" w:rsidRPr="00B6659B">
        <w:rPr>
          <w:rFonts w:asciiTheme="majorHAnsi" w:hAnsiTheme="majorHAnsi"/>
          <w:i/>
          <w:sz w:val="20"/>
          <w:szCs w:val="20"/>
        </w:rPr>
        <w:t xml:space="preserve">amparo </w:t>
      </w:r>
      <w:r w:rsidR="0000056D" w:rsidRPr="00B6659B">
        <w:rPr>
          <w:rFonts w:asciiTheme="majorHAnsi" w:hAnsiTheme="majorHAnsi"/>
          <w:sz w:val="20"/>
          <w:szCs w:val="20"/>
        </w:rPr>
        <w:t xml:space="preserve">decision and the compliance of the Board with that decision.  Therefore, the withdrawal of the complaint, which according to the information available in the case file was a voluntary act by the alleged victim, put an end to the proceedings before the Board could have issued a new resolution in compliance with the </w:t>
      </w:r>
      <w:r w:rsidR="0000056D" w:rsidRPr="00B6659B">
        <w:rPr>
          <w:rFonts w:asciiTheme="majorHAnsi" w:hAnsiTheme="majorHAnsi"/>
          <w:i/>
          <w:sz w:val="20"/>
          <w:szCs w:val="20"/>
        </w:rPr>
        <w:t xml:space="preserve">amparo </w:t>
      </w:r>
      <w:r w:rsidR="0000056D" w:rsidRPr="00B6659B">
        <w:rPr>
          <w:rFonts w:asciiTheme="majorHAnsi" w:hAnsiTheme="majorHAnsi"/>
          <w:sz w:val="20"/>
          <w:szCs w:val="20"/>
        </w:rPr>
        <w:t xml:space="preserve">decision.  In this regard, the Commission concludes that the available remedies were not properly exhausted and finds no elements to warrant the application of an exception to the requirement of exhaustion of domestic remedies. </w:t>
      </w:r>
    </w:p>
    <w:p w14:paraId="6F563508" w14:textId="736008F8" w:rsidR="009D57A9" w:rsidRPr="00B6659B" w:rsidRDefault="009D57A9" w:rsidP="008A2D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659B">
        <w:rPr>
          <w:rFonts w:ascii="Cambria" w:hAnsi="Cambria"/>
          <w:sz w:val="20"/>
          <w:szCs w:val="20"/>
        </w:rPr>
        <w:t xml:space="preserve">In addition, with respect to the alleged violation of the rights enshrined in Articles 8 and 25 of the American Convention due to a supposed unwarranted delay in resolving the employment complaint, the IACHR observes that the judicial files show that the alleged victim did not question the duration of the proceedings and that several postponements generally occurred with her consent, as a result of her own </w:t>
      </w:r>
      <w:r w:rsidRPr="00B6659B">
        <w:rPr>
          <w:rFonts w:ascii="Cambria" w:hAnsi="Cambria"/>
          <w:sz w:val="20"/>
          <w:szCs w:val="20"/>
        </w:rPr>
        <w:lastRenderedPageBreak/>
        <w:t>request or due to her own procedural activity.  Hence, the IACHR considers that the domestic remedies were not exhausted in this regard and that the exception of Article 46.2.c of the Convention is also not applicable.</w:t>
      </w:r>
    </w:p>
    <w:p w14:paraId="08F53C60" w14:textId="763721ED" w:rsidR="002C67A1" w:rsidRPr="00B6659B" w:rsidRDefault="002C67A1" w:rsidP="009D57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6659B">
        <w:rPr>
          <w:rFonts w:asciiTheme="majorHAnsi" w:hAnsiTheme="majorHAnsi"/>
          <w:sz w:val="20"/>
          <w:szCs w:val="20"/>
        </w:rPr>
        <w:t>Given that domestic remedies have not been exhausted and the exceptions to such a requirement are not applicable, the IACHR concludes that this petition is inadmissible in terms of Articles 46(1)(a) and 47(a) of the American Convention and Article 31(1) of the Rules of Procedure, with which it is not necessary to analyze the other requirements for admissibility.</w:t>
      </w:r>
    </w:p>
    <w:p w14:paraId="4B1FDE48" w14:textId="061D4575" w:rsidR="00623663" w:rsidRPr="00B6659B" w:rsidRDefault="00F621C3" w:rsidP="00623663">
      <w:pPr>
        <w:pStyle w:val="ListParagraph"/>
        <w:spacing w:before="240" w:after="240"/>
        <w:jc w:val="both"/>
        <w:rPr>
          <w:rFonts w:asciiTheme="majorHAnsi" w:hAnsiTheme="majorHAnsi"/>
          <w:b/>
          <w:bCs/>
          <w:sz w:val="20"/>
          <w:szCs w:val="20"/>
        </w:rPr>
      </w:pPr>
      <w:r w:rsidRPr="00B6659B">
        <w:rPr>
          <w:rFonts w:asciiTheme="majorHAnsi" w:hAnsiTheme="majorHAnsi"/>
          <w:b/>
          <w:bCs/>
          <w:sz w:val="20"/>
          <w:szCs w:val="20"/>
        </w:rPr>
        <w:t xml:space="preserve">VIII. </w:t>
      </w:r>
      <w:r w:rsidRPr="00B6659B">
        <w:rPr>
          <w:rFonts w:asciiTheme="majorHAnsi" w:hAnsiTheme="majorHAnsi"/>
          <w:b/>
          <w:bCs/>
          <w:sz w:val="20"/>
          <w:szCs w:val="20"/>
        </w:rPr>
        <w:tab/>
        <w:t>DECISION</w:t>
      </w:r>
    </w:p>
    <w:p w14:paraId="1B4DDD25" w14:textId="54478152" w:rsidR="00623663" w:rsidRPr="00B6659B" w:rsidRDefault="00623663" w:rsidP="00623663">
      <w:pPr>
        <w:pStyle w:val="Default"/>
        <w:numPr>
          <w:ilvl w:val="0"/>
          <w:numId w:val="105"/>
        </w:numPr>
        <w:spacing w:after="240"/>
        <w:rPr>
          <w:sz w:val="20"/>
          <w:szCs w:val="20"/>
        </w:rPr>
      </w:pPr>
      <w:r w:rsidRPr="00B6659B">
        <w:rPr>
          <w:sz w:val="20"/>
          <w:szCs w:val="20"/>
        </w:rPr>
        <w:t xml:space="preserve">To declare this petition inadmissible; </w:t>
      </w:r>
    </w:p>
    <w:p w14:paraId="15299D6D" w14:textId="3D0E7A02" w:rsidR="00623663" w:rsidRPr="00B6659B" w:rsidRDefault="00623663" w:rsidP="00623663">
      <w:pPr>
        <w:pStyle w:val="Default"/>
        <w:numPr>
          <w:ilvl w:val="0"/>
          <w:numId w:val="105"/>
        </w:numPr>
        <w:spacing w:after="240"/>
        <w:rPr>
          <w:sz w:val="20"/>
          <w:szCs w:val="20"/>
        </w:rPr>
      </w:pPr>
      <w:r w:rsidRPr="00B6659B">
        <w:rPr>
          <w:sz w:val="20"/>
          <w:szCs w:val="20"/>
        </w:rPr>
        <w:t xml:space="preserve">To notify the parties of this decision; and </w:t>
      </w:r>
    </w:p>
    <w:p w14:paraId="78890EEC" w14:textId="6F6B6562" w:rsidR="00623663" w:rsidRPr="00B6659B" w:rsidRDefault="00623663" w:rsidP="00623663">
      <w:pPr>
        <w:pStyle w:val="Default"/>
        <w:numPr>
          <w:ilvl w:val="0"/>
          <w:numId w:val="105"/>
        </w:numPr>
        <w:spacing w:after="240"/>
        <w:rPr>
          <w:sz w:val="20"/>
          <w:szCs w:val="20"/>
        </w:rPr>
      </w:pPr>
      <w:r w:rsidRPr="00B6659B">
        <w:rPr>
          <w:sz w:val="20"/>
          <w:szCs w:val="20"/>
        </w:rPr>
        <w:t xml:space="preserve">To publish this ruling and include it in its Annual Report to the General Assembly of the Organization of American States. </w:t>
      </w:r>
    </w:p>
    <w:p w14:paraId="3FDAB253" w14:textId="38594B06" w:rsidR="00C76176" w:rsidRPr="000B6B7A" w:rsidRDefault="00C76176" w:rsidP="00C76176">
      <w:pPr>
        <w:pStyle w:val="ListParagraph"/>
        <w:suppressAutoHyphens/>
        <w:spacing w:before="240" w:after="240"/>
        <w:ind w:left="0" w:firstLine="720"/>
        <w:jc w:val="both"/>
        <w:rPr>
          <w:rFonts w:asciiTheme="majorHAnsi" w:hAnsiTheme="majorHAnsi"/>
          <w:sz w:val="20"/>
          <w:szCs w:val="20"/>
        </w:rPr>
      </w:pPr>
      <w:r>
        <w:rPr>
          <w:rFonts w:asciiTheme="majorHAnsi" w:hAnsiTheme="majorHAnsi"/>
          <w:sz w:val="20"/>
          <w:szCs w:val="20"/>
        </w:rPr>
        <w:t>Done and signed in the city of Montevideo, Uruguay on the 26</w:t>
      </w:r>
      <w:r w:rsidRPr="00D45595">
        <w:rPr>
          <w:rFonts w:asciiTheme="majorHAnsi" w:hAnsiTheme="majorHAnsi"/>
          <w:sz w:val="20"/>
          <w:szCs w:val="20"/>
          <w:vertAlign w:val="superscript"/>
        </w:rPr>
        <w:t>th</w:t>
      </w:r>
      <w:r>
        <w:rPr>
          <w:rFonts w:asciiTheme="majorHAnsi" w:hAnsiTheme="majorHAnsi"/>
          <w:sz w:val="20"/>
          <w:szCs w:val="20"/>
        </w:rPr>
        <w:t xml:space="preserve"> day of the month of October, 2017. (Signed): Francisco Jos</w:t>
      </w:r>
      <w:r w:rsidRPr="00C76176">
        <w:rPr>
          <w:rFonts w:asciiTheme="majorHAnsi" w:hAnsiTheme="majorHAnsi"/>
          <w:sz w:val="20"/>
          <w:szCs w:val="20"/>
        </w:rPr>
        <w:t xml:space="preserve">é Eguiguren, President; </w:t>
      </w:r>
      <w:r>
        <w:rPr>
          <w:rFonts w:asciiTheme="majorHAnsi" w:hAnsiTheme="majorHAnsi"/>
          <w:sz w:val="20"/>
          <w:szCs w:val="20"/>
        </w:rPr>
        <w:t>Margarette May Macaulay, First Vice President; Esmeralda E. Arosemena Bernal de Troiti</w:t>
      </w:r>
      <w:r w:rsidRPr="00D45595">
        <w:rPr>
          <w:rFonts w:asciiTheme="majorHAnsi" w:hAnsiTheme="majorHAnsi"/>
          <w:sz w:val="20"/>
          <w:szCs w:val="20"/>
        </w:rPr>
        <w:t>ño</w:t>
      </w:r>
      <w:r>
        <w:rPr>
          <w:rFonts w:asciiTheme="majorHAnsi" w:hAnsiTheme="majorHAnsi"/>
          <w:sz w:val="20"/>
          <w:szCs w:val="20"/>
        </w:rPr>
        <w:t xml:space="preserve">, Second Vice President; Paulo Vannuchi, James L. Cavallaro, and Luis Ernesto Vargas Silva, Commissioners. </w:t>
      </w:r>
    </w:p>
    <w:p w14:paraId="1C6AA622" w14:textId="77777777" w:rsidR="00F621C3" w:rsidRPr="00FC36D9" w:rsidRDefault="00F621C3" w:rsidP="00623663">
      <w:pPr>
        <w:pStyle w:val="ListParagraph"/>
        <w:suppressAutoHyphens/>
        <w:spacing w:before="240" w:after="240"/>
        <w:jc w:val="both"/>
        <w:rPr>
          <w:rFonts w:asciiTheme="majorHAnsi" w:hAnsiTheme="majorHAnsi"/>
          <w:sz w:val="20"/>
          <w:szCs w:val="20"/>
        </w:rPr>
      </w:pPr>
    </w:p>
    <w:p w14:paraId="42743A32" w14:textId="77777777" w:rsidR="00F621C3" w:rsidRPr="00FC36D9"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FC36D9"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FC36D9" w:rsidRDefault="00F621C3" w:rsidP="00F621C3">
      <w:pPr>
        <w:rPr>
          <w:rFonts w:ascii="Cambria" w:hAnsi="Cambria" w:cs="Calibri"/>
          <w:sz w:val="20"/>
          <w:szCs w:val="20"/>
        </w:rPr>
      </w:pPr>
    </w:p>
    <w:p w14:paraId="2122B46A" w14:textId="77777777" w:rsidR="00C55560" w:rsidRPr="00FC36D9" w:rsidRDefault="00C55560" w:rsidP="00230163">
      <w:pPr>
        <w:tabs>
          <w:tab w:val="left" w:pos="2820"/>
        </w:tabs>
        <w:suppressAutoHyphens/>
        <w:spacing w:line="276" w:lineRule="auto"/>
        <w:rPr>
          <w:rFonts w:asciiTheme="majorHAnsi" w:hAnsiTheme="majorHAnsi"/>
          <w:sz w:val="20"/>
          <w:szCs w:val="20"/>
        </w:rPr>
      </w:pPr>
    </w:p>
    <w:sectPr w:rsidR="00C55560" w:rsidRPr="00FC36D9"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ED79D" w14:textId="77777777" w:rsidR="001E096E" w:rsidRDefault="001E096E" w:rsidP="00036A8A">
      <w:r>
        <w:separator/>
      </w:r>
    </w:p>
  </w:endnote>
  <w:endnote w:type="continuationSeparator" w:id="0">
    <w:p w14:paraId="3FFB5680" w14:textId="77777777" w:rsidR="001E096E" w:rsidRDefault="001E096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CF3F" w14:textId="77777777" w:rsidR="00F27044" w:rsidRDefault="00F27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27044">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5ACCF" w14:textId="77777777" w:rsidR="001E096E" w:rsidRPr="00036A8A" w:rsidRDefault="001E096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05A7742" w14:textId="77777777" w:rsidR="001E096E" w:rsidRPr="00036A8A" w:rsidRDefault="001E096E" w:rsidP="00036A8A">
      <w:pPr>
        <w:rPr>
          <w:rFonts w:asciiTheme="majorHAnsi" w:hAnsiTheme="majorHAnsi"/>
          <w:sz w:val="16"/>
          <w:szCs w:val="16"/>
        </w:rPr>
      </w:pPr>
      <w:r w:rsidRPr="00036A8A">
        <w:rPr>
          <w:rFonts w:asciiTheme="majorHAnsi" w:hAnsiTheme="majorHAnsi"/>
          <w:sz w:val="16"/>
          <w:szCs w:val="16"/>
        </w:rPr>
        <w:separator/>
      </w:r>
    </w:p>
    <w:p w14:paraId="499DD2E7" w14:textId="77777777" w:rsidR="001E096E" w:rsidRPr="00036A8A" w:rsidRDefault="001E096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550E94D" w14:textId="77777777" w:rsidR="001E096E" w:rsidRPr="0093441A" w:rsidRDefault="001E096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5993078" w14:textId="77777777" w:rsidR="004A2675" w:rsidRPr="00E90CBB" w:rsidRDefault="004A2675" w:rsidP="004A2675">
      <w:pPr>
        <w:pStyle w:val="FootnoteText"/>
        <w:ind w:firstLine="720"/>
        <w:jc w:val="both"/>
      </w:pPr>
      <w:r w:rsidRPr="00E90CBB">
        <w:rPr>
          <w:rStyle w:val="FootnoteReference"/>
          <w:sz w:val="16"/>
          <w:szCs w:val="16"/>
        </w:rPr>
        <w:footnoteRef/>
      </w:r>
      <w:r w:rsidRPr="00E90CBB">
        <w:t xml:space="preserve"> </w:t>
      </w:r>
      <w:r w:rsidRPr="00E90CBB">
        <w:rPr>
          <w:rFonts w:ascii="Cambria" w:hAnsi="Cambria"/>
          <w:sz w:val="16"/>
          <w:szCs w:val="16"/>
        </w:rPr>
        <w:t xml:space="preserve">In keeping with Article 17(2)(a) of the Commission’s Rules of Procedure, Commissioner José de Jesús Orozco Henríquez, a Mexican national, did not participated in the deliberations or decision concerning this matter. </w:t>
      </w:r>
    </w:p>
  </w:footnote>
  <w:footnote w:id="3">
    <w:p w14:paraId="6D8EE72F" w14:textId="7514F3CF" w:rsidR="00CB63DE" w:rsidRPr="00E90CBB" w:rsidRDefault="00CB63DE" w:rsidP="004A2675">
      <w:pPr>
        <w:pStyle w:val="FootnoteText"/>
        <w:ind w:firstLine="720"/>
        <w:jc w:val="both"/>
        <w:rPr>
          <w:lang w:val="es-ES"/>
        </w:rPr>
      </w:pPr>
      <w:r w:rsidRPr="00E90CBB">
        <w:rPr>
          <w:rStyle w:val="FootnoteReference"/>
        </w:rPr>
        <w:footnoteRef/>
      </w:r>
      <w:r w:rsidRPr="00E90CBB">
        <w:rPr>
          <w:lang w:val="es-ES"/>
        </w:rPr>
        <w:t xml:space="preserve"> </w:t>
      </w:r>
      <w:r w:rsidRPr="00E90CBB">
        <w:rPr>
          <w:rFonts w:ascii="Cambria" w:hAnsi="Cambria"/>
          <w:color w:val="auto"/>
          <w:sz w:val="16"/>
          <w:szCs w:val="16"/>
          <w:lang w:val="es-ES"/>
        </w:rPr>
        <w:t xml:space="preserve">The following </w:t>
      </w:r>
      <w:r w:rsidR="004A2675" w:rsidRPr="00E90CBB">
        <w:rPr>
          <w:rFonts w:ascii="Cambria" w:hAnsi="Cambria"/>
          <w:color w:val="auto"/>
          <w:sz w:val="16"/>
          <w:szCs w:val="16"/>
          <w:lang w:val="es-ES"/>
        </w:rPr>
        <w:t>entities</w:t>
      </w:r>
      <w:r w:rsidRPr="00E90CBB">
        <w:rPr>
          <w:rFonts w:ascii="Cambria" w:hAnsi="Cambria"/>
          <w:color w:val="auto"/>
          <w:sz w:val="16"/>
          <w:szCs w:val="16"/>
          <w:lang w:val="es-ES"/>
        </w:rPr>
        <w:t xml:space="preserve"> are co-petitioners in this case:</w:t>
      </w:r>
      <w:r w:rsidRPr="00E90CBB">
        <w:rPr>
          <w:rFonts w:asciiTheme="majorHAnsi" w:eastAsia="Arial Unicode MS" w:hAnsiTheme="majorHAnsi" w:cs="Times New Roman"/>
          <w:color w:val="auto"/>
          <w:sz w:val="16"/>
          <w:szCs w:val="16"/>
          <w:lang w:val="es-ES" w:eastAsia="en-US"/>
        </w:rPr>
        <w:t xml:space="preserve"> </w:t>
      </w:r>
      <w:r w:rsidRPr="00E90CBB">
        <w:rPr>
          <w:rFonts w:ascii="Cambria" w:hAnsi="Cambria"/>
          <w:color w:val="auto"/>
          <w:sz w:val="16"/>
          <w:szCs w:val="16"/>
          <w:lang w:val="es-ES"/>
        </w:rPr>
        <w:t xml:space="preserve">Alianza Cívica A.C.; Asociación Nacional de Locutores de México, A.C.; Fundación Movimiento por la Certidumbre, A.C.; Comité Ejecutivo Nacional de Movimiento México Avanza; Corriente Social Participativa; Junta Nacional México Democrático; Confederación de Jóvenes Mexicanos; Genes Instituto de Género y Salud Sexual, S.C.; Agrupación Política Nacional “Emiliano Zapata”; Comité Nacional de la Asociación Mexicana de Periodistas de Radio y Televisión; Academia Mexicana de Derechos Humanos; Asociación Nacional de Abogados por los Derechos Humanos A.C.; Movimiento Social por la Democracia Nacional; Comité Estatal del Estado de Querétaro; Comité Nacional de Democracia Social A.C.; Foro Nacional Permanente de Legisladores; y el Movimiento Nacional de Crítica Socio-Política CEN.  </w:t>
      </w:r>
    </w:p>
  </w:footnote>
  <w:footnote w:id="4">
    <w:p w14:paraId="1C5FD65D" w14:textId="69888644" w:rsidR="00CB63DE" w:rsidRPr="00E90CBB" w:rsidRDefault="00CB63DE" w:rsidP="004A2675">
      <w:pPr>
        <w:pStyle w:val="FootnoteText"/>
        <w:ind w:firstLine="720"/>
        <w:jc w:val="both"/>
        <w:rPr>
          <w:rFonts w:asciiTheme="majorHAnsi" w:hAnsiTheme="majorHAnsi"/>
          <w:color w:val="auto"/>
          <w:sz w:val="16"/>
          <w:szCs w:val="16"/>
        </w:rPr>
      </w:pPr>
      <w:r w:rsidRPr="00E90CBB">
        <w:rPr>
          <w:rStyle w:val="FootnoteReference"/>
          <w:rFonts w:asciiTheme="majorHAnsi" w:hAnsiTheme="majorHAnsi"/>
          <w:color w:val="auto"/>
          <w:sz w:val="16"/>
          <w:szCs w:val="16"/>
        </w:rPr>
        <w:footnoteRef/>
      </w:r>
      <w:r w:rsidRPr="00E90CBB">
        <w:rPr>
          <w:rFonts w:asciiTheme="majorHAnsi" w:hAnsiTheme="majorHAnsi"/>
          <w:color w:val="auto"/>
          <w:sz w:val="16"/>
          <w:szCs w:val="16"/>
        </w:rPr>
        <w:t xml:space="preserve"> </w:t>
      </w:r>
      <w:r w:rsidRPr="00E90CBB">
        <w:rPr>
          <w:rFonts w:asciiTheme="majorHAnsi" w:hAnsiTheme="majorHAnsi"/>
          <w:sz w:val="16"/>
          <w:szCs w:val="16"/>
        </w:rPr>
        <w:t>Hereinafter "the American Convention" or "the Convention".</w:t>
      </w:r>
    </w:p>
  </w:footnote>
  <w:footnote w:id="5">
    <w:p w14:paraId="23AF6456" w14:textId="531D732A" w:rsidR="00CB63DE" w:rsidRPr="00E90CBB" w:rsidRDefault="00CB63DE" w:rsidP="004A2675">
      <w:pPr>
        <w:pStyle w:val="FootnoteText"/>
        <w:ind w:firstLine="720"/>
        <w:jc w:val="both"/>
        <w:rPr>
          <w:rFonts w:asciiTheme="majorHAnsi" w:hAnsiTheme="majorHAnsi"/>
          <w:color w:val="auto"/>
          <w:sz w:val="16"/>
          <w:szCs w:val="16"/>
        </w:rPr>
      </w:pPr>
      <w:r w:rsidRPr="00E90CBB">
        <w:rPr>
          <w:rStyle w:val="FootnoteReference"/>
          <w:rFonts w:asciiTheme="majorHAnsi" w:hAnsiTheme="majorHAnsi"/>
          <w:color w:val="auto"/>
          <w:sz w:val="16"/>
          <w:szCs w:val="16"/>
        </w:rPr>
        <w:footnoteRef/>
      </w:r>
      <w:r w:rsidRPr="00E90CBB">
        <w:rPr>
          <w:rFonts w:asciiTheme="majorHAnsi" w:hAnsiTheme="majorHAnsi"/>
          <w:color w:val="auto"/>
          <w:sz w:val="16"/>
          <w:szCs w:val="16"/>
        </w:rPr>
        <w:t xml:space="preserve"> </w:t>
      </w:r>
      <w:r w:rsidRPr="00E90CBB">
        <w:rPr>
          <w:rFonts w:asciiTheme="majorHAnsi" w:hAnsiTheme="majorHAnsi"/>
          <w:sz w:val="16"/>
          <w:szCs w:val="16"/>
        </w:rPr>
        <w:t>Hereinafter "</w:t>
      </w:r>
      <w:r w:rsidRPr="00E90CBB">
        <w:rPr>
          <w:rFonts w:asciiTheme="majorHAnsi" w:hAnsiTheme="majorHAnsi" w:cs="Tahoma"/>
          <w:sz w:val="16"/>
          <w:szCs w:val="16"/>
        </w:rPr>
        <w:t>Protocol of San Salvador</w:t>
      </w:r>
      <w:r w:rsidRPr="00E90CBB">
        <w:rPr>
          <w:rFonts w:asciiTheme="majorHAnsi" w:hAnsiTheme="majorHAnsi"/>
          <w:sz w:val="16"/>
          <w:szCs w:val="16"/>
        </w:rPr>
        <w:t xml:space="preserve">".  </w:t>
      </w:r>
    </w:p>
  </w:footnote>
  <w:footnote w:id="6">
    <w:p w14:paraId="1AA8F3B6" w14:textId="24C70635" w:rsidR="00CB63DE" w:rsidRPr="00E90CBB" w:rsidRDefault="00CB63DE" w:rsidP="004A2675">
      <w:pPr>
        <w:pStyle w:val="FootnoteText"/>
        <w:ind w:firstLine="720"/>
        <w:jc w:val="both"/>
        <w:rPr>
          <w:rFonts w:asciiTheme="majorHAnsi" w:hAnsiTheme="majorHAnsi"/>
          <w:color w:val="auto"/>
          <w:sz w:val="16"/>
          <w:szCs w:val="16"/>
        </w:rPr>
      </w:pPr>
      <w:r w:rsidRPr="00E90CBB">
        <w:rPr>
          <w:rStyle w:val="FootnoteReference"/>
          <w:rFonts w:asciiTheme="majorHAnsi" w:hAnsiTheme="majorHAnsi"/>
          <w:color w:val="auto"/>
          <w:sz w:val="16"/>
          <w:szCs w:val="16"/>
        </w:rPr>
        <w:footnoteRef/>
      </w:r>
      <w:r w:rsidRPr="00E90CBB">
        <w:rPr>
          <w:rFonts w:asciiTheme="majorHAnsi" w:hAnsiTheme="majorHAnsi"/>
          <w:color w:val="auto"/>
          <w:sz w:val="16"/>
          <w:szCs w:val="16"/>
        </w:rPr>
        <w:t xml:space="preserve"> </w:t>
      </w:r>
      <w:r w:rsidRPr="00E90CBB">
        <w:rPr>
          <w:rFonts w:asciiTheme="majorHAnsi" w:hAnsiTheme="majorHAnsi"/>
          <w:sz w:val="16"/>
          <w:szCs w:val="16"/>
        </w:rPr>
        <w:t>Hereinafter "C</w:t>
      </w:r>
      <w:r w:rsidRPr="00E90CBB">
        <w:rPr>
          <w:rStyle w:val="Strong"/>
          <w:rFonts w:asciiTheme="majorHAnsi" w:hAnsiTheme="majorHAnsi" w:cs="Arial"/>
          <w:b w:val="0"/>
          <w:sz w:val="16"/>
          <w:szCs w:val="16"/>
        </w:rPr>
        <w:t>onvention</w:t>
      </w:r>
      <w:r w:rsidRPr="00E90CBB">
        <w:rPr>
          <w:rFonts w:asciiTheme="majorHAnsi" w:hAnsiTheme="majorHAnsi" w:cs="Arial"/>
          <w:b/>
          <w:sz w:val="16"/>
          <w:szCs w:val="16"/>
        </w:rPr>
        <w:t xml:space="preserve"> </w:t>
      </w:r>
      <w:r w:rsidRPr="00E90CBB">
        <w:rPr>
          <w:rFonts w:asciiTheme="majorHAnsi" w:hAnsiTheme="majorHAnsi" w:cs="Arial"/>
          <w:sz w:val="16"/>
          <w:szCs w:val="16"/>
        </w:rPr>
        <w:t>of B</w:t>
      </w:r>
      <w:r w:rsidRPr="00E90CBB">
        <w:rPr>
          <w:rStyle w:val="Strong"/>
          <w:rFonts w:asciiTheme="majorHAnsi" w:hAnsiTheme="majorHAnsi" w:cs="Arial"/>
          <w:b w:val="0"/>
          <w:sz w:val="16"/>
          <w:szCs w:val="16"/>
        </w:rPr>
        <w:t>elem do Para</w:t>
      </w:r>
      <w:r w:rsidRPr="00E90CBB">
        <w:rPr>
          <w:rFonts w:asciiTheme="majorHAnsi" w:hAnsiTheme="majorHAnsi"/>
          <w:b/>
          <w:sz w:val="16"/>
          <w:szCs w:val="16"/>
        </w:rPr>
        <w:t>"</w:t>
      </w:r>
      <w:r w:rsidRPr="00E90CBB">
        <w:rPr>
          <w:rFonts w:asciiTheme="majorHAnsi" w:hAnsiTheme="majorHAnsi"/>
          <w:sz w:val="16"/>
          <w:szCs w:val="16"/>
        </w:rPr>
        <w:t>.</w:t>
      </w:r>
    </w:p>
  </w:footnote>
  <w:footnote w:id="7">
    <w:p w14:paraId="5E9A56FF" w14:textId="4625C0DF" w:rsidR="00CB63DE" w:rsidRPr="00E90CBB" w:rsidRDefault="00CB63DE" w:rsidP="004A2675">
      <w:pPr>
        <w:pStyle w:val="FootnoteText"/>
        <w:ind w:firstLine="720"/>
        <w:jc w:val="both"/>
      </w:pPr>
      <w:r w:rsidRPr="00E90CBB">
        <w:rPr>
          <w:rStyle w:val="FootnoteReference"/>
          <w:rFonts w:asciiTheme="majorHAnsi" w:hAnsiTheme="majorHAnsi"/>
          <w:color w:val="auto"/>
          <w:sz w:val="16"/>
          <w:szCs w:val="16"/>
        </w:rPr>
        <w:footnoteRef/>
      </w:r>
      <w:r w:rsidRPr="00E90CBB">
        <w:rPr>
          <w:rFonts w:asciiTheme="majorHAnsi" w:hAnsiTheme="majorHAnsi"/>
          <w:color w:val="auto"/>
          <w:sz w:val="16"/>
          <w:szCs w:val="16"/>
        </w:rPr>
        <w:t xml:space="preserve"> Articles </w:t>
      </w:r>
      <w:r w:rsidRPr="00E90CBB">
        <w:rPr>
          <w:rFonts w:asciiTheme="majorHAnsi" w:hAnsiTheme="majorHAnsi" w:cs="Arial"/>
          <w:color w:val="auto"/>
          <w:sz w:val="16"/>
          <w:szCs w:val="16"/>
        </w:rPr>
        <w:t xml:space="preserve">1, 3 and 11 of the </w:t>
      </w:r>
      <w:hyperlink r:id="rId1" w:history="1">
        <w:r w:rsidRPr="00E90CBB">
          <w:rPr>
            <w:rFonts w:asciiTheme="majorHAnsi" w:hAnsiTheme="majorHAnsi"/>
            <w:color w:val="auto"/>
            <w:sz w:val="16"/>
            <w:szCs w:val="16"/>
          </w:rPr>
          <w:t>Convention on the Elimination of All Forms of Discrimination against Women.</w:t>
        </w:r>
      </w:hyperlink>
    </w:p>
  </w:footnote>
  <w:footnote w:id="8">
    <w:p w14:paraId="6F51BDAF" w14:textId="2FCEA3A6" w:rsidR="00653EA6" w:rsidRPr="00E90CBB" w:rsidRDefault="00653EA6" w:rsidP="004A2675">
      <w:pPr>
        <w:pStyle w:val="FootnoteText"/>
        <w:ind w:firstLine="720"/>
        <w:jc w:val="both"/>
        <w:rPr>
          <w:rFonts w:ascii="Cambria" w:hAnsi="Cambria"/>
          <w:sz w:val="16"/>
          <w:szCs w:val="16"/>
        </w:rPr>
      </w:pPr>
      <w:r w:rsidRPr="00E90CBB">
        <w:rPr>
          <w:rStyle w:val="FootnoteReference"/>
          <w:rFonts w:ascii="Cambria" w:hAnsi="Cambria"/>
          <w:sz w:val="16"/>
          <w:szCs w:val="16"/>
        </w:rPr>
        <w:footnoteRef/>
      </w:r>
      <w:r w:rsidRPr="00E90CBB">
        <w:rPr>
          <w:rFonts w:ascii="Cambria" w:hAnsi="Cambria"/>
          <w:sz w:val="16"/>
          <w:szCs w:val="16"/>
        </w:rPr>
        <w:t xml:space="preserve"> The observations presented by each party were duly transmitted to the opposing party.</w:t>
      </w:r>
    </w:p>
  </w:footnote>
  <w:footnote w:id="9">
    <w:p w14:paraId="4DACDAA4" w14:textId="0103ABDE" w:rsidR="00A00AAA" w:rsidRPr="00B462EB" w:rsidRDefault="00A00AAA" w:rsidP="00A00AAA">
      <w:pPr>
        <w:pStyle w:val="FootnoteText"/>
        <w:ind w:firstLine="720"/>
        <w:jc w:val="both"/>
      </w:pPr>
      <w:r w:rsidRPr="00E90CBB">
        <w:rPr>
          <w:rStyle w:val="FootnoteReference"/>
          <w:rFonts w:asciiTheme="majorHAnsi" w:hAnsiTheme="majorHAnsi"/>
          <w:color w:val="auto"/>
          <w:sz w:val="16"/>
          <w:szCs w:val="16"/>
        </w:rPr>
        <w:footnoteRef/>
      </w:r>
      <w:r w:rsidRPr="00E90CBB">
        <w:rPr>
          <w:rFonts w:asciiTheme="majorHAnsi" w:hAnsiTheme="majorHAnsi"/>
          <w:color w:val="auto"/>
          <w:sz w:val="16"/>
          <w:szCs w:val="16"/>
        </w:rPr>
        <w:t xml:space="preserve"> On December 30, 2016, the Commission requested both parties to provide a simple copy of the agreement reached in the employment complain in order to conduct a </w:t>
      </w:r>
      <w:r w:rsidRPr="00E90CBB">
        <w:rPr>
          <w:rFonts w:asciiTheme="majorHAnsi" w:hAnsiTheme="majorHAnsi"/>
          <w:i/>
          <w:color w:val="auto"/>
          <w:sz w:val="16"/>
          <w:szCs w:val="16"/>
        </w:rPr>
        <w:t xml:space="preserve">prima facie </w:t>
      </w:r>
      <w:r w:rsidRPr="00E90CBB">
        <w:rPr>
          <w:rFonts w:asciiTheme="majorHAnsi" w:hAnsiTheme="majorHAnsi"/>
          <w:color w:val="auto"/>
          <w:sz w:val="16"/>
          <w:szCs w:val="16"/>
        </w:rPr>
        <w:t>review of the terms.  However, the parties only provided a copy the certificate of the withdrawal of the case, which did not contain the terms of the agreement between Ms. Solórzano and the defendants in the employment claim.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1E096E"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A0468" w14:textId="77777777" w:rsidR="00F27044" w:rsidRDefault="00F27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56D"/>
    <w:rsid w:val="00000CDA"/>
    <w:rsid w:val="00005BBB"/>
    <w:rsid w:val="000070D7"/>
    <w:rsid w:val="000111A8"/>
    <w:rsid w:val="0001788C"/>
    <w:rsid w:val="00021EB5"/>
    <w:rsid w:val="00022CF5"/>
    <w:rsid w:val="000304B4"/>
    <w:rsid w:val="00033194"/>
    <w:rsid w:val="00036A8A"/>
    <w:rsid w:val="00040C3A"/>
    <w:rsid w:val="00042911"/>
    <w:rsid w:val="000639C0"/>
    <w:rsid w:val="00070F3A"/>
    <w:rsid w:val="000716C5"/>
    <w:rsid w:val="00075E23"/>
    <w:rsid w:val="00092F32"/>
    <w:rsid w:val="0009344A"/>
    <w:rsid w:val="000A575F"/>
    <w:rsid w:val="000B65C9"/>
    <w:rsid w:val="000C4365"/>
    <w:rsid w:val="000D10DB"/>
    <w:rsid w:val="000E057E"/>
    <w:rsid w:val="000E2A1C"/>
    <w:rsid w:val="001205BC"/>
    <w:rsid w:val="00122143"/>
    <w:rsid w:val="00124116"/>
    <w:rsid w:val="0013104F"/>
    <w:rsid w:val="00137EBA"/>
    <w:rsid w:val="00145EDC"/>
    <w:rsid w:val="00153084"/>
    <w:rsid w:val="00167A34"/>
    <w:rsid w:val="001714B4"/>
    <w:rsid w:val="0018037F"/>
    <w:rsid w:val="00191ECD"/>
    <w:rsid w:val="001A5F27"/>
    <w:rsid w:val="001A65E4"/>
    <w:rsid w:val="001A7870"/>
    <w:rsid w:val="001C1864"/>
    <w:rsid w:val="001C1B41"/>
    <w:rsid w:val="001E096E"/>
    <w:rsid w:val="001E366B"/>
    <w:rsid w:val="001E370F"/>
    <w:rsid w:val="00210E0E"/>
    <w:rsid w:val="00230163"/>
    <w:rsid w:val="002314AF"/>
    <w:rsid w:val="00247403"/>
    <w:rsid w:val="00247542"/>
    <w:rsid w:val="00257893"/>
    <w:rsid w:val="00266092"/>
    <w:rsid w:val="00266B61"/>
    <w:rsid w:val="0026712A"/>
    <w:rsid w:val="002704DB"/>
    <w:rsid w:val="002760CE"/>
    <w:rsid w:val="002A79B3"/>
    <w:rsid w:val="002B7A85"/>
    <w:rsid w:val="002C1641"/>
    <w:rsid w:val="002C67A1"/>
    <w:rsid w:val="002D7EA2"/>
    <w:rsid w:val="002E15DF"/>
    <w:rsid w:val="002E187C"/>
    <w:rsid w:val="002E508F"/>
    <w:rsid w:val="002E6E57"/>
    <w:rsid w:val="00301075"/>
    <w:rsid w:val="00302733"/>
    <w:rsid w:val="00311A4F"/>
    <w:rsid w:val="00314078"/>
    <w:rsid w:val="00322450"/>
    <w:rsid w:val="003246B5"/>
    <w:rsid w:val="00325A12"/>
    <w:rsid w:val="0033169F"/>
    <w:rsid w:val="003414AC"/>
    <w:rsid w:val="00356185"/>
    <w:rsid w:val="00360380"/>
    <w:rsid w:val="003771A3"/>
    <w:rsid w:val="00386CF0"/>
    <w:rsid w:val="003A4348"/>
    <w:rsid w:val="003B466E"/>
    <w:rsid w:val="003C32BC"/>
    <w:rsid w:val="003E3E03"/>
    <w:rsid w:val="003F079F"/>
    <w:rsid w:val="003F1BBF"/>
    <w:rsid w:val="004162B1"/>
    <w:rsid w:val="004165C2"/>
    <w:rsid w:val="00450A4A"/>
    <w:rsid w:val="004547B7"/>
    <w:rsid w:val="004666FB"/>
    <w:rsid w:val="00466D0B"/>
    <w:rsid w:val="00467B7E"/>
    <w:rsid w:val="00473828"/>
    <w:rsid w:val="0049419D"/>
    <w:rsid w:val="004A2675"/>
    <w:rsid w:val="004B2762"/>
    <w:rsid w:val="004B3CCB"/>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86310"/>
    <w:rsid w:val="0059191A"/>
    <w:rsid w:val="005921FF"/>
    <w:rsid w:val="00592718"/>
    <w:rsid w:val="005A6D0E"/>
    <w:rsid w:val="005B222D"/>
    <w:rsid w:val="005B52B0"/>
    <w:rsid w:val="005B6806"/>
    <w:rsid w:val="005C00F9"/>
    <w:rsid w:val="005C4225"/>
    <w:rsid w:val="005C73EE"/>
    <w:rsid w:val="005C77B7"/>
    <w:rsid w:val="005F0F33"/>
    <w:rsid w:val="00600DEB"/>
    <w:rsid w:val="00603F58"/>
    <w:rsid w:val="00611370"/>
    <w:rsid w:val="00613027"/>
    <w:rsid w:val="0062009D"/>
    <w:rsid w:val="00623663"/>
    <w:rsid w:val="00627C9F"/>
    <w:rsid w:val="006311DA"/>
    <w:rsid w:val="006311E9"/>
    <w:rsid w:val="006318B2"/>
    <w:rsid w:val="00632354"/>
    <w:rsid w:val="00642810"/>
    <w:rsid w:val="00652333"/>
    <w:rsid w:val="00653EA6"/>
    <w:rsid w:val="00666134"/>
    <w:rsid w:val="0068009E"/>
    <w:rsid w:val="00692BC8"/>
    <w:rsid w:val="00695843"/>
    <w:rsid w:val="006A17D2"/>
    <w:rsid w:val="006A73E6"/>
    <w:rsid w:val="006B2D5C"/>
    <w:rsid w:val="006C4EB1"/>
    <w:rsid w:val="006D4707"/>
    <w:rsid w:val="006E0166"/>
    <w:rsid w:val="006E0A93"/>
    <w:rsid w:val="006E7B34"/>
    <w:rsid w:val="00701B24"/>
    <w:rsid w:val="00702610"/>
    <w:rsid w:val="0071495F"/>
    <w:rsid w:val="0073798E"/>
    <w:rsid w:val="00745899"/>
    <w:rsid w:val="007607C4"/>
    <w:rsid w:val="0076643F"/>
    <w:rsid w:val="00781653"/>
    <w:rsid w:val="007A2F70"/>
    <w:rsid w:val="007B778B"/>
    <w:rsid w:val="007C3334"/>
    <w:rsid w:val="007C52BB"/>
    <w:rsid w:val="007D2B98"/>
    <w:rsid w:val="007F4E91"/>
    <w:rsid w:val="00803F1C"/>
    <w:rsid w:val="0080600E"/>
    <w:rsid w:val="00817612"/>
    <w:rsid w:val="00837C45"/>
    <w:rsid w:val="00853419"/>
    <w:rsid w:val="008729B3"/>
    <w:rsid w:val="00897E12"/>
    <w:rsid w:val="008A2DC4"/>
    <w:rsid w:val="008A794A"/>
    <w:rsid w:val="008D00E9"/>
    <w:rsid w:val="008D43BA"/>
    <w:rsid w:val="008E3759"/>
    <w:rsid w:val="009041DC"/>
    <w:rsid w:val="009104B4"/>
    <w:rsid w:val="009228DA"/>
    <w:rsid w:val="00925FCD"/>
    <w:rsid w:val="0093441A"/>
    <w:rsid w:val="00954BF7"/>
    <w:rsid w:val="009564C4"/>
    <w:rsid w:val="0096706E"/>
    <w:rsid w:val="00981FBA"/>
    <w:rsid w:val="009B381B"/>
    <w:rsid w:val="009D57A9"/>
    <w:rsid w:val="009D7611"/>
    <w:rsid w:val="009E53DE"/>
    <w:rsid w:val="009E566A"/>
    <w:rsid w:val="00A00AAA"/>
    <w:rsid w:val="00A12DBC"/>
    <w:rsid w:val="00A34AA9"/>
    <w:rsid w:val="00A43458"/>
    <w:rsid w:val="00A528D1"/>
    <w:rsid w:val="00A6022E"/>
    <w:rsid w:val="00A66BE5"/>
    <w:rsid w:val="00AA47EC"/>
    <w:rsid w:val="00AC3E42"/>
    <w:rsid w:val="00AD37C1"/>
    <w:rsid w:val="00AE66EC"/>
    <w:rsid w:val="00AE6F91"/>
    <w:rsid w:val="00AF5571"/>
    <w:rsid w:val="00B167E9"/>
    <w:rsid w:val="00B179ED"/>
    <w:rsid w:val="00B314DB"/>
    <w:rsid w:val="00B31EBE"/>
    <w:rsid w:val="00B3718B"/>
    <w:rsid w:val="00B44B23"/>
    <w:rsid w:val="00B462EB"/>
    <w:rsid w:val="00B4632A"/>
    <w:rsid w:val="00B5262B"/>
    <w:rsid w:val="00B6659B"/>
    <w:rsid w:val="00B92E49"/>
    <w:rsid w:val="00BA276C"/>
    <w:rsid w:val="00BB306F"/>
    <w:rsid w:val="00BC1B5A"/>
    <w:rsid w:val="00BD232B"/>
    <w:rsid w:val="00BD2E42"/>
    <w:rsid w:val="00BD4B89"/>
    <w:rsid w:val="00BE6735"/>
    <w:rsid w:val="00C007D7"/>
    <w:rsid w:val="00C07433"/>
    <w:rsid w:val="00C21762"/>
    <w:rsid w:val="00C24543"/>
    <w:rsid w:val="00C256A2"/>
    <w:rsid w:val="00C3492D"/>
    <w:rsid w:val="00C506CD"/>
    <w:rsid w:val="00C55560"/>
    <w:rsid w:val="00C66B72"/>
    <w:rsid w:val="00C76176"/>
    <w:rsid w:val="00C9567A"/>
    <w:rsid w:val="00CA6577"/>
    <w:rsid w:val="00CB2660"/>
    <w:rsid w:val="00CB3F8C"/>
    <w:rsid w:val="00CB63DE"/>
    <w:rsid w:val="00CC5E90"/>
    <w:rsid w:val="00CD046C"/>
    <w:rsid w:val="00CE5199"/>
    <w:rsid w:val="00CE66D5"/>
    <w:rsid w:val="00CF63FD"/>
    <w:rsid w:val="00D12ED1"/>
    <w:rsid w:val="00D155AC"/>
    <w:rsid w:val="00D34786"/>
    <w:rsid w:val="00D40A1E"/>
    <w:rsid w:val="00D533C0"/>
    <w:rsid w:val="00D712D3"/>
    <w:rsid w:val="00D71422"/>
    <w:rsid w:val="00D7145E"/>
    <w:rsid w:val="00D75084"/>
    <w:rsid w:val="00D7558D"/>
    <w:rsid w:val="00D81D92"/>
    <w:rsid w:val="00D93446"/>
    <w:rsid w:val="00DA7B5F"/>
    <w:rsid w:val="00DF078B"/>
    <w:rsid w:val="00DF350D"/>
    <w:rsid w:val="00E123D8"/>
    <w:rsid w:val="00E17490"/>
    <w:rsid w:val="00E2113B"/>
    <w:rsid w:val="00E227C1"/>
    <w:rsid w:val="00E33089"/>
    <w:rsid w:val="00E43157"/>
    <w:rsid w:val="00E47F3D"/>
    <w:rsid w:val="00E533FF"/>
    <w:rsid w:val="00E709B3"/>
    <w:rsid w:val="00E7588C"/>
    <w:rsid w:val="00E759FD"/>
    <w:rsid w:val="00E850B6"/>
    <w:rsid w:val="00E8789F"/>
    <w:rsid w:val="00E90CBB"/>
    <w:rsid w:val="00E97B71"/>
    <w:rsid w:val="00EB454D"/>
    <w:rsid w:val="00ED0D1B"/>
    <w:rsid w:val="00EE3522"/>
    <w:rsid w:val="00EF619B"/>
    <w:rsid w:val="00F00B55"/>
    <w:rsid w:val="00F1380F"/>
    <w:rsid w:val="00F14F0E"/>
    <w:rsid w:val="00F15A3B"/>
    <w:rsid w:val="00F24C29"/>
    <w:rsid w:val="00F253CC"/>
    <w:rsid w:val="00F27044"/>
    <w:rsid w:val="00F27D4D"/>
    <w:rsid w:val="00F42B71"/>
    <w:rsid w:val="00F448CF"/>
    <w:rsid w:val="00F56BA5"/>
    <w:rsid w:val="00F621C3"/>
    <w:rsid w:val="00F644E6"/>
    <w:rsid w:val="00F80174"/>
    <w:rsid w:val="00F9653B"/>
    <w:rsid w:val="00FB62CF"/>
    <w:rsid w:val="00FC36D9"/>
    <w:rsid w:val="00FC3EB4"/>
    <w:rsid w:val="00FC6C58"/>
    <w:rsid w:val="00FE6B45"/>
    <w:rsid w:val="00FF24C1"/>
    <w:rsid w:val="00FF5851"/>
    <w:rsid w:val="00FF62D6"/>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3F079F"/>
    <w:rPr>
      <w:sz w:val="16"/>
      <w:szCs w:val="16"/>
    </w:rPr>
  </w:style>
  <w:style w:type="paragraph" w:styleId="CommentText">
    <w:name w:val="annotation text"/>
    <w:basedOn w:val="Normal"/>
    <w:link w:val="CommentTextChar"/>
    <w:uiPriority w:val="99"/>
    <w:semiHidden/>
    <w:unhideWhenUsed/>
    <w:rsid w:val="003F079F"/>
    <w:rPr>
      <w:sz w:val="20"/>
      <w:szCs w:val="20"/>
    </w:rPr>
  </w:style>
  <w:style w:type="character" w:customStyle="1" w:styleId="CommentTextChar">
    <w:name w:val="Comment Text Char"/>
    <w:basedOn w:val="DefaultParagraphFont"/>
    <w:link w:val="CommentText"/>
    <w:uiPriority w:val="99"/>
    <w:semiHidden/>
    <w:rsid w:val="003F079F"/>
    <w:rPr>
      <w:lang w:val="en-US" w:eastAsia="en-US"/>
    </w:rPr>
  </w:style>
  <w:style w:type="paragraph" w:customStyle="1" w:styleId="Default">
    <w:name w:val="Default"/>
    <w:rsid w:val="003F07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US"/>
    </w:rPr>
  </w:style>
  <w:style w:type="character" w:styleId="Strong">
    <w:name w:val="Strong"/>
    <w:basedOn w:val="DefaultParagraphFont"/>
    <w:uiPriority w:val="22"/>
    <w:qFormat/>
    <w:rsid w:val="001221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3F079F"/>
    <w:rPr>
      <w:sz w:val="16"/>
      <w:szCs w:val="16"/>
    </w:rPr>
  </w:style>
  <w:style w:type="paragraph" w:styleId="CommentText">
    <w:name w:val="annotation text"/>
    <w:basedOn w:val="Normal"/>
    <w:link w:val="CommentTextChar"/>
    <w:uiPriority w:val="99"/>
    <w:semiHidden/>
    <w:unhideWhenUsed/>
    <w:rsid w:val="003F079F"/>
    <w:rPr>
      <w:sz w:val="20"/>
      <w:szCs w:val="20"/>
    </w:rPr>
  </w:style>
  <w:style w:type="character" w:customStyle="1" w:styleId="CommentTextChar">
    <w:name w:val="Comment Text Char"/>
    <w:basedOn w:val="DefaultParagraphFont"/>
    <w:link w:val="CommentText"/>
    <w:uiPriority w:val="99"/>
    <w:semiHidden/>
    <w:rsid w:val="003F079F"/>
    <w:rPr>
      <w:lang w:val="en-US" w:eastAsia="en-US"/>
    </w:rPr>
  </w:style>
  <w:style w:type="paragraph" w:customStyle="1" w:styleId="Default">
    <w:name w:val="Default"/>
    <w:rsid w:val="003F07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US"/>
    </w:rPr>
  </w:style>
  <w:style w:type="character" w:styleId="Strong">
    <w:name w:val="Strong"/>
    <w:basedOn w:val="DefaultParagraphFont"/>
    <w:uiPriority w:val="22"/>
    <w:qFormat/>
    <w:rsid w:val="00122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8567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36556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n.org/womenwatch/daw/cedaw/cedaw.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3937CCC1BE46798D47D7D716BEF88B"/>
        <w:category>
          <w:name w:val="General"/>
          <w:gallery w:val="placeholder"/>
        </w:category>
        <w:types>
          <w:type w:val="bbPlcHdr"/>
        </w:types>
        <w:behaviors>
          <w:behavior w:val="content"/>
        </w:behaviors>
        <w:guid w:val="{02E5EC5D-407E-4123-A6D8-1DED5E91B6D1}"/>
      </w:docPartPr>
      <w:docPartBody>
        <w:p w:rsidR="00346305" w:rsidRDefault="00A348C7" w:rsidP="00A348C7">
          <w:pPr>
            <w:pStyle w:val="8C3937CCC1BE46798D47D7D716BEF88B"/>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E1A29"/>
    <w:rsid w:val="00346305"/>
    <w:rsid w:val="004108B1"/>
    <w:rsid w:val="00442936"/>
    <w:rsid w:val="00704263"/>
    <w:rsid w:val="009D56E1"/>
    <w:rsid w:val="00A069E1"/>
    <w:rsid w:val="00A348C7"/>
    <w:rsid w:val="00AB44F1"/>
    <w:rsid w:val="00B241F9"/>
    <w:rsid w:val="00D634F5"/>
    <w:rsid w:val="00E715BD"/>
    <w:rsid w:val="00EA0868"/>
    <w:rsid w:val="00F2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8C7"/>
    <w:rPr>
      <w:color w:val="808080"/>
    </w:rPr>
  </w:style>
  <w:style w:type="paragraph" w:customStyle="1" w:styleId="4DBB5F3FC358F64B9E5EFB773263C7D2">
    <w:name w:val="4DBB5F3FC358F64B9E5EFB773263C7D2"/>
    <w:rsid w:val="00AB44F1"/>
  </w:style>
  <w:style w:type="paragraph" w:customStyle="1" w:styleId="66F772CD6243400EBF596AEE61010B75">
    <w:name w:val="66F772CD6243400EBF596AEE61010B75"/>
    <w:rsid w:val="00A348C7"/>
    <w:pPr>
      <w:spacing w:after="160" w:line="259" w:lineRule="auto"/>
    </w:pPr>
    <w:rPr>
      <w:sz w:val="22"/>
      <w:szCs w:val="22"/>
    </w:rPr>
  </w:style>
  <w:style w:type="paragraph" w:customStyle="1" w:styleId="BF7B7644D471461D91F24CE570576642">
    <w:name w:val="BF7B7644D471461D91F24CE570576642"/>
    <w:rsid w:val="00A348C7"/>
    <w:pPr>
      <w:spacing w:after="160" w:line="259" w:lineRule="auto"/>
    </w:pPr>
    <w:rPr>
      <w:sz w:val="22"/>
      <w:szCs w:val="22"/>
    </w:rPr>
  </w:style>
  <w:style w:type="paragraph" w:customStyle="1" w:styleId="8C3937CCC1BE46798D47D7D716BEF88B">
    <w:name w:val="8C3937CCC1BE46798D47D7D716BEF88B"/>
    <w:rsid w:val="00A348C7"/>
    <w:pPr>
      <w:spacing w:after="160" w:line="259" w:lineRule="auto"/>
    </w:pPr>
    <w:rPr>
      <w:sz w:val="22"/>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8C7"/>
    <w:rPr>
      <w:color w:val="808080"/>
    </w:rPr>
  </w:style>
  <w:style w:type="paragraph" w:customStyle="1" w:styleId="4DBB5F3FC358F64B9E5EFB773263C7D2">
    <w:name w:val="4DBB5F3FC358F64B9E5EFB773263C7D2"/>
    <w:rsid w:val="00AB44F1"/>
  </w:style>
  <w:style w:type="paragraph" w:customStyle="1" w:styleId="66F772CD6243400EBF596AEE61010B75">
    <w:name w:val="66F772CD6243400EBF596AEE61010B75"/>
    <w:rsid w:val="00A348C7"/>
    <w:pPr>
      <w:spacing w:after="160" w:line="259" w:lineRule="auto"/>
    </w:pPr>
    <w:rPr>
      <w:sz w:val="22"/>
      <w:szCs w:val="22"/>
    </w:rPr>
  </w:style>
  <w:style w:type="paragraph" w:customStyle="1" w:styleId="BF7B7644D471461D91F24CE570576642">
    <w:name w:val="BF7B7644D471461D91F24CE570576642"/>
    <w:rsid w:val="00A348C7"/>
    <w:pPr>
      <w:spacing w:after="160" w:line="259" w:lineRule="auto"/>
    </w:pPr>
    <w:rPr>
      <w:sz w:val="22"/>
      <w:szCs w:val="22"/>
    </w:rPr>
  </w:style>
  <w:style w:type="paragraph" w:customStyle="1" w:styleId="8C3937CCC1BE46798D47D7D716BEF88B">
    <w:name w:val="8C3937CCC1BE46798D47D7D716BEF88B"/>
    <w:rsid w:val="00A348C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AB8E3-6CDF-4B54-94CD-89ABE927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2477</Words>
  <Characters>13255</Characters>
  <Application>Microsoft Office Word</Application>
  <DocSecurity>0</DocSecurity>
  <Lines>259</Lines>
  <Paragraphs>81</Paragraphs>
  <ScaleCrop>false</ScaleCrop>
  <Company/>
  <LinksUpToDate>false</LinksUpToDate>
  <CharactersWithSpaces>15651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151/17</dc:title>
  <dc:creator/>
  <cp:lastModifiedBy/>
  <cp:revision>1</cp:revision>
  <dcterms:created xsi:type="dcterms:W3CDTF">2018-03-16T15:36:00Z</dcterms:created>
  <dcterms:modified xsi:type="dcterms:W3CDTF">2018-03-16T15:37:00Z</dcterms:modified>
</cp:coreProperties>
</file>