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2BC" w:rsidRPr="003E5F88" w:rsidRDefault="009422BC" w:rsidP="009422BC">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3E5F88">
                              <w:rPr>
                                <w:rFonts w:asciiTheme="majorHAnsi" w:hAnsiTheme="majorHAnsi" w:cs="Arial"/>
                                <w:b/>
                                <w:bCs/>
                                <w:color w:val="0D0D0D" w:themeColor="text1" w:themeTint="F2"/>
                                <w:sz w:val="36"/>
                                <w:szCs w:val="22"/>
                              </w:rPr>
                              <w:t xml:space="preserve"> </w:t>
                            </w:r>
                            <w:r w:rsidRPr="003E5F88">
                              <w:rPr>
                                <w:rFonts w:asciiTheme="majorHAnsi" w:hAnsiTheme="majorHAnsi" w:cs="Arial"/>
                                <w:b/>
                                <w:bCs/>
                                <w:color w:val="0D0D0D" w:themeColor="text1" w:themeTint="F2"/>
                                <w:sz w:val="36"/>
                                <w:szCs w:val="40"/>
                              </w:rPr>
                              <w:t>No.</w:t>
                            </w:r>
                            <w:r w:rsidR="00B76623">
                              <w:rPr>
                                <w:rFonts w:asciiTheme="majorHAnsi" w:hAnsiTheme="majorHAnsi" w:cs="Arial"/>
                                <w:b/>
                                <w:bCs/>
                                <w:color w:val="0D0D0D" w:themeColor="text1" w:themeTint="F2"/>
                                <w:sz w:val="36"/>
                                <w:szCs w:val="22"/>
                              </w:rPr>
                              <w:t xml:space="preserve"> 12</w:t>
                            </w:r>
                            <w:r w:rsidRPr="003E5F88">
                              <w:rPr>
                                <w:rFonts w:asciiTheme="majorHAnsi" w:hAnsiTheme="majorHAnsi" w:cs="Arial"/>
                                <w:b/>
                                <w:bCs/>
                                <w:color w:val="0D0D0D" w:themeColor="text1" w:themeTint="F2"/>
                                <w:sz w:val="36"/>
                                <w:szCs w:val="22"/>
                              </w:rPr>
                              <w:t>/17</w:t>
                            </w:r>
                          </w:p>
                          <w:p w:rsidR="009422BC" w:rsidRPr="003E5F88" w:rsidRDefault="009422BC" w:rsidP="009422BC">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3E5F88">
                              <w:rPr>
                                <w:rFonts w:asciiTheme="majorHAnsi" w:hAnsiTheme="majorHAnsi" w:cs="Arial"/>
                                <w:b/>
                                <w:color w:val="0D0D0D" w:themeColor="text1" w:themeTint="F2"/>
                                <w:sz w:val="36"/>
                                <w:szCs w:val="22"/>
                              </w:rPr>
                              <w:t xml:space="preserve"> 972-08 </w:t>
                            </w:r>
                          </w:p>
                          <w:p w:rsidR="009422BC" w:rsidRPr="003E5F88" w:rsidRDefault="009422BC" w:rsidP="009422B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3E5F88">
                              <w:rPr>
                                <w:rFonts w:asciiTheme="majorHAnsi" w:hAnsiTheme="majorHAnsi" w:cs="Arial"/>
                                <w:color w:val="0D0D0D" w:themeColor="text1" w:themeTint="F2"/>
                                <w:szCs w:val="22"/>
                              </w:rPr>
                              <w:t xml:space="preserve"> </w:t>
                            </w:r>
                          </w:p>
                          <w:p w:rsidR="009422BC" w:rsidRPr="003E5F88" w:rsidRDefault="009422BC" w:rsidP="009422BC">
                            <w:pPr>
                              <w:spacing w:line="276" w:lineRule="auto"/>
                              <w:rPr>
                                <w:rFonts w:asciiTheme="majorHAnsi" w:hAnsiTheme="majorHAnsi" w:cs="Arial"/>
                                <w:color w:val="0D0D0D" w:themeColor="text1" w:themeTint="F2"/>
                                <w:szCs w:val="22"/>
                              </w:rPr>
                            </w:pPr>
                            <w:bookmarkStart w:id="1" w:name="_ftnref1"/>
                          </w:p>
                          <w:p w:rsidR="009422BC" w:rsidRPr="0062346D" w:rsidRDefault="009422BC" w:rsidP="009422BC">
                            <w:pPr>
                              <w:spacing w:line="276" w:lineRule="auto"/>
                              <w:rPr>
                                <w:rFonts w:asciiTheme="majorHAnsi" w:hAnsiTheme="majorHAnsi" w:cs="Arial"/>
                                <w:color w:val="0D0D0D" w:themeColor="text1" w:themeTint="F2"/>
                                <w:szCs w:val="22"/>
                                <w:lang w:val="es-ES"/>
                              </w:rPr>
                            </w:pPr>
                            <w:r w:rsidRPr="0062346D">
                              <w:rPr>
                                <w:rFonts w:asciiTheme="majorHAnsi" w:hAnsiTheme="majorHAnsi" w:cs="Arial"/>
                                <w:color w:val="0D0D0D" w:themeColor="text1" w:themeTint="F2"/>
                                <w:szCs w:val="22"/>
                                <w:lang w:val="es-ES"/>
                              </w:rPr>
                              <w:t xml:space="preserve">LUIS FERNANDO CANO MARTÍNEZ AND FAMILY </w:t>
                            </w:r>
                          </w:p>
                          <w:bookmarkEnd w:id="1"/>
                          <w:p w:rsidR="009422BC" w:rsidRPr="0062346D" w:rsidRDefault="009422BC" w:rsidP="009422BC">
                            <w:pPr>
                              <w:spacing w:line="276" w:lineRule="auto"/>
                              <w:rPr>
                                <w:rFonts w:asciiTheme="majorHAnsi" w:hAnsiTheme="majorHAnsi" w:cs="Arial"/>
                                <w:color w:val="0D0D0D" w:themeColor="text1" w:themeTint="F2"/>
                                <w:szCs w:val="22"/>
                                <w:lang w:val="es-ES"/>
                              </w:rPr>
                            </w:pPr>
                            <w:r w:rsidRPr="0062346D">
                              <w:rPr>
                                <w:rFonts w:asciiTheme="majorHAnsi" w:hAnsiTheme="majorHAnsi" w:cs="Arial"/>
                                <w:color w:val="0D0D0D" w:themeColor="text1" w:themeTint="F2"/>
                                <w:szCs w:val="22"/>
                                <w:lang w:val="es-ES"/>
                              </w:rPr>
                              <w:t>COLOMBIA</w:t>
                            </w:r>
                          </w:p>
                          <w:p w:rsidR="005B52B0" w:rsidRPr="009422BC" w:rsidRDefault="005B52B0" w:rsidP="004B7EB6">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422BC" w:rsidRPr="003E5F88" w:rsidRDefault="009422BC" w:rsidP="009422BC">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3E5F88">
                        <w:rPr>
                          <w:rFonts w:asciiTheme="majorHAnsi" w:hAnsiTheme="majorHAnsi" w:cs="Arial"/>
                          <w:b/>
                          <w:bCs/>
                          <w:color w:val="0D0D0D" w:themeColor="text1" w:themeTint="F2"/>
                          <w:sz w:val="36"/>
                          <w:szCs w:val="22"/>
                        </w:rPr>
                        <w:t xml:space="preserve"> </w:t>
                      </w:r>
                      <w:r w:rsidRPr="003E5F88">
                        <w:rPr>
                          <w:rFonts w:asciiTheme="majorHAnsi" w:hAnsiTheme="majorHAnsi" w:cs="Arial"/>
                          <w:b/>
                          <w:bCs/>
                          <w:color w:val="0D0D0D" w:themeColor="text1" w:themeTint="F2"/>
                          <w:sz w:val="36"/>
                          <w:szCs w:val="40"/>
                        </w:rPr>
                        <w:t>No.</w:t>
                      </w:r>
                      <w:r w:rsidR="00B76623">
                        <w:rPr>
                          <w:rFonts w:asciiTheme="majorHAnsi" w:hAnsiTheme="majorHAnsi" w:cs="Arial"/>
                          <w:b/>
                          <w:bCs/>
                          <w:color w:val="0D0D0D" w:themeColor="text1" w:themeTint="F2"/>
                          <w:sz w:val="36"/>
                          <w:szCs w:val="22"/>
                        </w:rPr>
                        <w:t xml:space="preserve"> 12</w:t>
                      </w:r>
                      <w:r w:rsidRPr="003E5F88">
                        <w:rPr>
                          <w:rFonts w:asciiTheme="majorHAnsi" w:hAnsiTheme="majorHAnsi" w:cs="Arial"/>
                          <w:b/>
                          <w:bCs/>
                          <w:color w:val="0D0D0D" w:themeColor="text1" w:themeTint="F2"/>
                          <w:sz w:val="36"/>
                          <w:szCs w:val="22"/>
                        </w:rPr>
                        <w:t>/17</w:t>
                      </w:r>
                    </w:p>
                    <w:p w:rsidR="009422BC" w:rsidRPr="003E5F88" w:rsidRDefault="009422BC" w:rsidP="009422BC">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3E5F88">
                        <w:rPr>
                          <w:rFonts w:asciiTheme="majorHAnsi" w:hAnsiTheme="majorHAnsi" w:cs="Arial"/>
                          <w:b/>
                          <w:color w:val="0D0D0D" w:themeColor="text1" w:themeTint="F2"/>
                          <w:sz w:val="36"/>
                          <w:szCs w:val="22"/>
                        </w:rPr>
                        <w:t xml:space="preserve"> 972-08 </w:t>
                      </w:r>
                    </w:p>
                    <w:p w:rsidR="009422BC" w:rsidRPr="003E5F88" w:rsidRDefault="009422BC" w:rsidP="009422B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3E5F88">
                        <w:rPr>
                          <w:rFonts w:asciiTheme="majorHAnsi" w:hAnsiTheme="majorHAnsi" w:cs="Arial"/>
                          <w:color w:val="0D0D0D" w:themeColor="text1" w:themeTint="F2"/>
                          <w:szCs w:val="22"/>
                        </w:rPr>
                        <w:t xml:space="preserve"> </w:t>
                      </w:r>
                    </w:p>
                    <w:p w:rsidR="009422BC" w:rsidRPr="003E5F88" w:rsidRDefault="009422BC" w:rsidP="009422BC">
                      <w:pPr>
                        <w:spacing w:line="276" w:lineRule="auto"/>
                        <w:rPr>
                          <w:rFonts w:asciiTheme="majorHAnsi" w:hAnsiTheme="majorHAnsi" w:cs="Arial"/>
                          <w:color w:val="0D0D0D" w:themeColor="text1" w:themeTint="F2"/>
                          <w:szCs w:val="22"/>
                        </w:rPr>
                      </w:pPr>
                      <w:bookmarkStart w:id="1" w:name="_ftnref1"/>
                    </w:p>
                    <w:p w:rsidR="009422BC" w:rsidRPr="0062346D" w:rsidRDefault="009422BC" w:rsidP="009422BC">
                      <w:pPr>
                        <w:spacing w:line="276" w:lineRule="auto"/>
                        <w:rPr>
                          <w:rFonts w:asciiTheme="majorHAnsi" w:hAnsiTheme="majorHAnsi" w:cs="Arial"/>
                          <w:color w:val="0D0D0D" w:themeColor="text1" w:themeTint="F2"/>
                          <w:szCs w:val="22"/>
                          <w:lang w:val="es-ES"/>
                        </w:rPr>
                      </w:pPr>
                      <w:r w:rsidRPr="0062346D">
                        <w:rPr>
                          <w:rFonts w:asciiTheme="majorHAnsi" w:hAnsiTheme="majorHAnsi" w:cs="Arial"/>
                          <w:color w:val="0D0D0D" w:themeColor="text1" w:themeTint="F2"/>
                          <w:szCs w:val="22"/>
                          <w:lang w:val="es-ES"/>
                        </w:rPr>
                        <w:t xml:space="preserve">LUIS FERNANDO CANO MARTÍNEZ AND FAMILY </w:t>
                      </w:r>
                    </w:p>
                    <w:bookmarkEnd w:id="1"/>
                    <w:p w:rsidR="009422BC" w:rsidRPr="0062346D" w:rsidRDefault="009422BC" w:rsidP="009422BC">
                      <w:pPr>
                        <w:spacing w:line="276" w:lineRule="auto"/>
                        <w:rPr>
                          <w:rFonts w:asciiTheme="majorHAnsi" w:hAnsiTheme="majorHAnsi" w:cs="Arial"/>
                          <w:color w:val="0D0D0D" w:themeColor="text1" w:themeTint="F2"/>
                          <w:szCs w:val="22"/>
                          <w:lang w:val="es-ES"/>
                        </w:rPr>
                      </w:pPr>
                      <w:r w:rsidRPr="0062346D">
                        <w:rPr>
                          <w:rFonts w:asciiTheme="majorHAnsi" w:hAnsiTheme="majorHAnsi" w:cs="Arial"/>
                          <w:color w:val="0D0D0D" w:themeColor="text1" w:themeTint="F2"/>
                          <w:szCs w:val="22"/>
                          <w:lang w:val="es-ES"/>
                        </w:rPr>
                        <w:t>COLOMBIA</w:t>
                      </w:r>
                    </w:p>
                    <w:p w:rsidR="005B52B0" w:rsidRPr="009422BC" w:rsidRDefault="005B52B0" w:rsidP="004B7EB6">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0E1CA0" w:rsidRDefault="00B76623" w:rsidP="002C1641">
                            <w:pPr>
                              <w:jc w:val="right"/>
                              <w:rPr>
                                <w:rFonts w:asciiTheme="minorHAnsi" w:hAnsiTheme="minorHAnsi"/>
                                <w:color w:val="FFFFFF" w:themeColor="background1"/>
                                <w:sz w:val="22"/>
                                <w:lang w:val="pt-BR"/>
                              </w:rPr>
                            </w:pPr>
                            <w:r w:rsidRPr="000E1CA0">
                              <w:rPr>
                                <w:rFonts w:asciiTheme="minorHAnsi" w:hAnsiTheme="minorHAnsi"/>
                                <w:color w:val="FFFFFF" w:themeColor="background1"/>
                                <w:sz w:val="22"/>
                                <w:lang w:val="pt-BR"/>
                              </w:rPr>
                              <w:t>OEA/Ser.L/V/II.</w:t>
                            </w:r>
                          </w:p>
                          <w:p w:rsidR="00627C9F" w:rsidRPr="000E1CA0" w:rsidRDefault="00B76623" w:rsidP="002C1641">
                            <w:pPr>
                              <w:jc w:val="right"/>
                              <w:rPr>
                                <w:rFonts w:asciiTheme="minorHAnsi" w:hAnsiTheme="minorHAnsi"/>
                                <w:color w:val="FFFFFF" w:themeColor="background1"/>
                                <w:sz w:val="22"/>
                                <w:lang w:val="pt-BR"/>
                              </w:rPr>
                            </w:pPr>
                            <w:r w:rsidRPr="000E1CA0">
                              <w:rPr>
                                <w:rFonts w:asciiTheme="minorHAnsi" w:hAnsiTheme="minorHAnsi"/>
                                <w:color w:val="FFFFFF" w:themeColor="background1"/>
                                <w:sz w:val="22"/>
                                <w:lang w:val="pt-BR"/>
                              </w:rPr>
                              <w:t>Doc. 13</w:t>
                            </w:r>
                          </w:p>
                          <w:p w:rsidR="00627C9F" w:rsidRPr="004B7EB6" w:rsidRDefault="00B76623" w:rsidP="002C1641">
                            <w:pPr>
                              <w:jc w:val="right"/>
                              <w:rPr>
                                <w:rFonts w:asciiTheme="minorHAnsi" w:hAnsiTheme="minorHAnsi"/>
                                <w:color w:val="FFFFFF" w:themeColor="background1"/>
                                <w:sz w:val="22"/>
                              </w:rPr>
                            </w:pPr>
                            <w:r>
                              <w:rPr>
                                <w:rFonts w:asciiTheme="minorHAnsi" w:hAnsiTheme="minorHAnsi"/>
                                <w:color w:val="FFFFFF" w:themeColor="background1"/>
                                <w:sz w:val="22"/>
                              </w:rPr>
                              <w:t>27 January 2017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B76623">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B76623" w:rsidRDefault="00B76623" w:rsidP="002C1641">
                      <w:pPr>
                        <w:jc w:val="right"/>
                        <w:rPr>
                          <w:rFonts w:asciiTheme="minorHAnsi" w:hAnsiTheme="minorHAnsi"/>
                          <w:color w:val="FFFFFF" w:themeColor="background1"/>
                          <w:sz w:val="22"/>
                        </w:rPr>
                      </w:pPr>
                      <w:r w:rsidRPr="00B76623">
                        <w:rPr>
                          <w:rFonts w:asciiTheme="minorHAnsi" w:hAnsiTheme="minorHAnsi"/>
                          <w:color w:val="FFFFFF" w:themeColor="background1"/>
                          <w:sz w:val="22"/>
                        </w:rPr>
                        <w:t>OEA/</w:t>
                      </w:r>
                      <w:proofErr w:type="spellStart"/>
                      <w:r w:rsidRPr="00B76623">
                        <w:rPr>
                          <w:rFonts w:asciiTheme="minorHAnsi" w:hAnsiTheme="minorHAnsi"/>
                          <w:color w:val="FFFFFF" w:themeColor="background1"/>
                          <w:sz w:val="22"/>
                        </w:rPr>
                        <w:t>Ser.L</w:t>
                      </w:r>
                      <w:proofErr w:type="spellEnd"/>
                      <w:r w:rsidRPr="00B76623">
                        <w:rPr>
                          <w:rFonts w:asciiTheme="minorHAnsi" w:hAnsiTheme="minorHAnsi"/>
                          <w:color w:val="FFFFFF" w:themeColor="background1"/>
                          <w:sz w:val="22"/>
                        </w:rPr>
                        <w:t>/V/II.</w:t>
                      </w:r>
                    </w:p>
                    <w:p w:rsidR="00627C9F" w:rsidRPr="00B76623" w:rsidRDefault="00B76623" w:rsidP="002C1641">
                      <w:pPr>
                        <w:jc w:val="right"/>
                        <w:rPr>
                          <w:rFonts w:asciiTheme="minorHAnsi" w:hAnsiTheme="minorHAnsi"/>
                          <w:color w:val="FFFFFF" w:themeColor="background1"/>
                          <w:sz w:val="22"/>
                        </w:rPr>
                      </w:pPr>
                      <w:r w:rsidRPr="00B76623">
                        <w:rPr>
                          <w:rFonts w:asciiTheme="minorHAnsi" w:hAnsiTheme="minorHAnsi"/>
                          <w:color w:val="FFFFFF" w:themeColor="background1"/>
                          <w:sz w:val="22"/>
                        </w:rPr>
                        <w:t>Doc. 1</w:t>
                      </w:r>
                      <w:r>
                        <w:rPr>
                          <w:rFonts w:asciiTheme="minorHAnsi" w:hAnsiTheme="minorHAnsi"/>
                          <w:color w:val="FFFFFF" w:themeColor="background1"/>
                          <w:sz w:val="22"/>
                        </w:rPr>
                        <w:t>3</w:t>
                      </w:r>
                    </w:p>
                    <w:p w:rsidR="00627C9F" w:rsidRPr="004B7EB6" w:rsidRDefault="00B76623" w:rsidP="002C1641">
                      <w:pPr>
                        <w:jc w:val="right"/>
                        <w:rPr>
                          <w:rFonts w:asciiTheme="minorHAnsi" w:hAnsiTheme="minorHAnsi"/>
                          <w:color w:val="FFFFFF" w:themeColor="background1"/>
                          <w:sz w:val="22"/>
                        </w:rPr>
                      </w:pPr>
                      <w:r>
                        <w:rPr>
                          <w:rFonts w:asciiTheme="minorHAnsi" w:hAnsiTheme="minorHAnsi"/>
                          <w:color w:val="FFFFFF" w:themeColor="background1"/>
                          <w:sz w:val="22"/>
                        </w:rPr>
                        <w:t>27 January 2017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B76623">
                        <w:rPr>
                          <w:rFonts w:asciiTheme="minorHAnsi" w:hAnsiTheme="minorHAnsi"/>
                          <w:color w:val="FFFFFF" w:themeColor="background1"/>
                          <w:sz w:val="22"/>
                        </w:rPr>
                        <w:t xml:space="preserve">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473CD92" wp14:editId="29A2243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2BC" w:rsidRPr="003E5F88" w:rsidRDefault="00B76623" w:rsidP="009422BC">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w:t>
                            </w:r>
                            <w:r w:rsidR="009422BC">
                              <w:rPr>
                                <w:rFonts w:asciiTheme="majorHAnsi" w:hAnsiTheme="majorHAnsi"/>
                                <w:color w:val="0D0D0D" w:themeColor="text1" w:themeTint="F2"/>
                                <w:sz w:val="18"/>
                                <w:szCs w:val="22"/>
                              </w:rPr>
                              <w:t>by the Commission on</w:t>
                            </w:r>
                            <w:r>
                              <w:rPr>
                                <w:rFonts w:asciiTheme="majorHAnsi" w:hAnsiTheme="majorHAnsi"/>
                                <w:color w:val="0D0D0D" w:themeColor="text1" w:themeTint="F2"/>
                                <w:sz w:val="18"/>
                                <w:szCs w:val="22"/>
                              </w:rPr>
                              <w:t xml:space="preserve"> January 27, </w:t>
                            </w:r>
                            <w:r w:rsidR="009422BC" w:rsidRPr="003E5F88">
                              <w:rPr>
                                <w:rFonts w:asciiTheme="majorHAnsi" w:hAnsiTheme="majorHAnsi"/>
                                <w:color w:val="0D0D0D" w:themeColor="text1" w:themeTint="F2"/>
                                <w:sz w:val="18"/>
                                <w:szCs w:val="22"/>
                              </w:rPr>
                              <w:t>2017</w:t>
                            </w:r>
                            <w:r w:rsidR="000E1CA0">
                              <w:rPr>
                                <w:rFonts w:asciiTheme="majorHAnsi" w:hAnsiTheme="majorHAnsi"/>
                                <w:color w:val="0D0D0D" w:themeColor="text1" w:themeTint="F2"/>
                                <w:sz w:val="18"/>
                                <w:szCs w:val="22"/>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9422BC" w:rsidRPr="003E5F88" w:rsidRDefault="00B76623" w:rsidP="009422BC">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w:t>
                      </w:r>
                      <w:r w:rsidR="009422BC">
                        <w:rPr>
                          <w:rFonts w:asciiTheme="majorHAnsi" w:hAnsiTheme="majorHAnsi"/>
                          <w:color w:val="0D0D0D" w:themeColor="text1" w:themeTint="F2"/>
                          <w:sz w:val="18"/>
                          <w:szCs w:val="22"/>
                        </w:rPr>
                        <w:t>by the Commission on</w:t>
                      </w:r>
                      <w:r>
                        <w:rPr>
                          <w:rFonts w:asciiTheme="majorHAnsi" w:hAnsiTheme="majorHAnsi"/>
                          <w:color w:val="0D0D0D" w:themeColor="text1" w:themeTint="F2"/>
                          <w:sz w:val="18"/>
                          <w:szCs w:val="22"/>
                        </w:rPr>
                        <w:t xml:space="preserve"> January 27, </w:t>
                      </w:r>
                      <w:r w:rsidR="009422BC" w:rsidRPr="003E5F88">
                        <w:rPr>
                          <w:rFonts w:asciiTheme="majorHAnsi" w:hAnsiTheme="majorHAnsi"/>
                          <w:color w:val="0D0D0D" w:themeColor="text1" w:themeTint="F2"/>
                          <w:sz w:val="18"/>
                          <w:szCs w:val="22"/>
                        </w:rPr>
                        <w:t>2017</w:t>
                      </w:r>
                      <w:r w:rsidR="000E1CA0">
                        <w:rPr>
                          <w:rFonts w:asciiTheme="majorHAnsi" w:hAnsiTheme="majorHAnsi"/>
                          <w:color w:val="0D0D0D" w:themeColor="text1" w:themeTint="F2"/>
                          <w:sz w:val="18"/>
                          <w:szCs w:val="22"/>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2BC" w:rsidRPr="003E5F88" w:rsidRDefault="009422BC" w:rsidP="00B7662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sidRPr="003E5F88">
                              <w:rPr>
                                <w:rFonts w:asciiTheme="majorHAnsi" w:hAnsiTheme="majorHAnsi"/>
                                <w:b/>
                                <w:color w:val="595959" w:themeColor="text1" w:themeTint="A6"/>
                                <w:sz w:val="18"/>
                                <w:szCs w:val="18"/>
                              </w:rPr>
                              <w:t>:</w:t>
                            </w:r>
                            <w:r w:rsidRPr="003E5F88">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3E5F88">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00B76623">
                              <w:rPr>
                                <w:rFonts w:asciiTheme="majorHAnsi" w:hAnsiTheme="majorHAnsi"/>
                                <w:color w:val="595959" w:themeColor="text1" w:themeTint="A6"/>
                                <w:sz w:val="18"/>
                                <w:szCs w:val="18"/>
                              </w:rPr>
                              <w:t xml:space="preserve"> No. 12/17. </w:t>
                            </w:r>
                            <w:r>
                              <w:rPr>
                                <w:rFonts w:asciiTheme="majorHAnsi" w:hAnsiTheme="majorHAnsi"/>
                                <w:color w:val="595959" w:themeColor="text1" w:themeTint="A6"/>
                                <w:sz w:val="18"/>
                                <w:szCs w:val="18"/>
                              </w:rPr>
                              <w:t>Admissibility</w:t>
                            </w:r>
                            <w:r w:rsidR="00B76623">
                              <w:rPr>
                                <w:rFonts w:asciiTheme="majorHAnsi" w:hAnsiTheme="majorHAnsi"/>
                                <w:color w:val="595959" w:themeColor="text1" w:themeTint="A6"/>
                                <w:sz w:val="18"/>
                                <w:szCs w:val="18"/>
                              </w:rPr>
                              <w:t xml:space="preserve">. </w:t>
                            </w:r>
                            <w:r w:rsidR="00B76623" w:rsidRPr="00B76623">
                              <w:rPr>
                                <w:rFonts w:asciiTheme="majorHAnsi" w:hAnsiTheme="majorHAnsi"/>
                                <w:color w:val="595959" w:themeColor="text1" w:themeTint="A6"/>
                                <w:sz w:val="18"/>
                                <w:szCs w:val="18"/>
                                <w:lang w:val="es-ES"/>
                              </w:rPr>
                              <w:t>Luis Fernando Cano Martínez and Family. Colombia</w:t>
                            </w:r>
                            <w:r w:rsidR="00B76623">
                              <w:rPr>
                                <w:rFonts w:asciiTheme="majorHAnsi" w:hAnsiTheme="majorHAnsi"/>
                                <w:color w:val="595959" w:themeColor="text1" w:themeTint="A6"/>
                                <w:sz w:val="18"/>
                                <w:szCs w:val="18"/>
                              </w:rPr>
                              <w:t>. January 27, 2017.</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9422BC" w:rsidRPr="003E5F88" w:rsidRDefault="009422BC" w:rsidP="00B7662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sidRPr="003E5F88">
                        <w:rPr>
                          <w:rFonts w:asciiTheme="majorHAnsi" w:hAnsiTheme="majorHAnsi"/>
                          <w:b/>
                          <w:color w:val="595959" w:themeColor="text1" w:themeTint="A6"/>
                          <w:sz w:val="18"/>
                          <w:szCs w:val="18"/>
                        </w:rPr>
                        <w:t>:</w:t>
                      </w:r>
                      <w:r w:rsidRPr="003E5F88">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3E5F88">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00B76623">
                        <w:rPr>
                          <w:rFonts w:asciiTheme="majorHAnsi" w:hAnsiTheme="majorHAnsi"/>
                          <w:color w:val="595959" w:themeColor="text1" w:themeTint="A6"/>
                          <w:sz w:val="18"/>
                          <w:szCs w:val="18"/>
                        </w:rPr>
                        <w:t xml:space="preserve"> No. 12/17. </w:t>
                      </w:r>
                      <w:proofErr w:type="gramStart"/>
                      <w:r>
                        <w:rPr>
                          <w:rFonts w:asciiTheme="majorHAnsi" w:hAnsiTheme="majorHAnsi"/>
                          <w:color w:val="595959" w:themeColor="text1" w:themeTint="A6"/>
                          <w:sz w:val="18"/>
                          <w:szCs w:val="18"/>
                        </w:rPr>
                        <w:t>Admissibility</w:t>
                      </w:r>
                      <w:r w:rsidR="00B76623">
                        <w:rPr>
                          <w:rFonts w:asciiTheme="majorHAnsi" w:hAnsiTheme="majorHAnsi"/>
                          <w:color w:val="595959" w:themeColor="text1" w:themeTint="A6"/>
                          <w:sz w:val="18"/>
                          <w:szCs w:val="18"/>
                        </w:rPr>
                        <w:t>.</w:t>
                      </w:r>
                      <w:proofErr w:type="gramEnd"/>
                      <w:r w:rsidR="00B76623">
                        <w:rPr>
                          <w:rFonts w:asciiTheme="majorHAnsi" w:hAnsiTheme="majorHAnsi"/>
                          <w:color w:val="595959" w:themeColor="text1" w:themeTint="A6"/>
                          <w:sz w:val="18"/>
                          <w:szCs w:val="18"/>
                        </w:rPr>
                        <w:t xml:space="preserve"> </w:t>
                      </w:r>
                      <w:r w:rsidR="00B76623" w:rsidRPr="00B76623">
                        <w:rPr>
                          <w:rFonts w:asciiTheme="majorHAnsi" w:hAnsiTheme="majorHAnsi"/>
                          <w:color w:val="595959" w:themeColor="text1" w:themeTint="A6"/>
                          <w:sz w:val="18"/>
                          <w:szCs w:val="18"/>
                          <w:lang w:val="es-ES"/>
                        </w:rPr>
                        <w:t xml:space="preserve">Luis Fernando Cano Martínez and </w:t>
                      </w:r>
                      <w:proofErr w:type="spellStart"/>
                      <w:r w:rsidR="00B76623" w:rsidRPr="00B76623">
                        <w:rPr>
                          <w:rFonts w:asciiTheme="majorHAnsi" w:hAnsiTheme="majorHAnsi"/>
                          <w:color w:val="595959" w:themeColor="text1" w:themeTint="A6"/>
                          <w:sz w:val="18"/>
                          <w:szCs w:val="18"/>
                          <w:lang w:val="es-ES"/>
                        </w:rPr>
                        <w:t>Family</w:t>
                      </w:r>
                      <w:proofErr w:type="spellEnd"/>
                      <w:r w:rsidR="00B76623" w:rsidRPr="00B76623">
                        <w:rPr>
                          <w:rFonts w:asciiTheme="majorHAnsi" w:hAnsiTheme="majorHAnsi"/>
                          <w:color w:val="595959" w:themeColor="text1" w:themeTint="A6"/>
                          <w:sz w:val="18"/>
                          <w:szCs w:val="18"/>
                          <w:lang w:val="es-ES"/>
                        </w:rPr>
                        <w:t>. Colombia</w:t>
                      </w:r>
                      <w:r w:rsidR="00B76623">
                        <w:rPr>
                          <w:rFonts w:asciiTheme="majorHAnsi" w:hAnsiTheme="majorHAnsi"/>
                          <w:color w:val="595959" w:themeColor="text1" w:themeTint="A6"/>
                          <w:sz w:val="18"/>
                          <w:szCs w:val="18"/>
                        </w:rPr>
                        <w:t>. January 27, 2017.</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9422BC" w:rsidRPr="009422BC" w:rsidRDefault="00B76623" w:rsidP="009422B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12</w:t>
      </w:r>
      <w:r w:rsidR="009422BC" w:rsidRPr="009422BC">
        <w:rPr>
          <w:rFonts w:asciiTheme="majorHAnsi" w:hAnsiTheme="majorHAnsi"/>
          <w:b/>
          <w:sz w:val="18"/>
          <w:szCs w:val="20"/>
        </w:rPr>
        <w:t>/17</w:t>
      </w:r>
      <w:r w:rsidR="009422BC" w:rsidRPr="009422BC">
        <w:rPr>
          <w:rFonts w:asciiTheme="majorHAnsi" w:hAnsiTheme="majorHAnsi"/>
          <w:b/>
          <w:sz w:val="18"/>
          <w:szCs w:val="20"/>
          <w:vertAlign w:val="superscript"/>
        </w:rPr>
        <w:footnoteReference w:id="2"/>
      </w:r>
    </w:p>
    <w:p w:rsidR="009422BC" w:rsidRPr="009422BC" w:rsidRDefault="009422BC" w:rsidP="009422BC">
      <w:pPr>
        <w:tabs>
          <w:tab w:val="center" w:pos="5400"/>
        </w:tabs>
        <w:suppressAutoHyphens/>
        <w:spacing w:line="276" w:lineRule="auto"/>
        <w:jc w:val="center"/>
        <w:rPr>
          <w:rFonts w:asciiTheme="majorHAnsi" w:hAnsiTheme="majorHAnsi"/>
          <w:b/>
          <w:sz w:val="18"/>
          <w:szCs w:val="20"/>
        </w:rPr>
      </w:pPr>
      <w:r w:rsidRPr="009422BC">
        <w:rPr>
          <w:rFonts w:asciiTheme="majorHAnsi" w:hAnsiTheme="majorHAnsi"/>
          <w:b/>
          <w:sz w:val="18"/>
          <w:szCs w:val="20"/>
        </w:rPr>
        <w:t xml:space="preserve">PETITION 972-08 </w:t>
      </w:r>
    </w:p>
    <w:p w:rsidR="009422BC" w:rsidRPr="009422BC" w:rsidRDefault="009422BC" w:rsidP="009422BC">
      <w:pPr>
        <w:tabs>
          <w:tab w:val="center" w:pos="5400"/>
        </w:tabs>
        <w:suppressAutoHyphens/>
        <w:spacing w:line="276" w:lineRule="auto"/>
        <w:jc w:val="center"/>
        <w:rPr>
          <w:rFonts w:asciiTheme="majorHAnsi" w:hAnsiTheme="majorHAnsi"/>
          <w:sz w:val="18"/>
          <w:szCs w:val="20"/>
        </w:rPr>
      </w:pPr>
      <w:r w:rsidRPr="009422BC">
        <w:rPr>
          <w:rFonts w:asciiTheme="majorHAnsi" w:hAnsiTheme="majorHAnsi"/>
          <w:sz w:val="18"/>
          <w:szCs w:val="20"/>
        </w:rPr>
        <w:t xml:space="preserve">REPORT ON ADMISSIBILITY </w:t>
      </w:r>
    </w:p>
    <w:p w:rsidR="009422BC" w:rsidRPr="009422BC" w:rsidRDefault="009422BC" w:rsidP="009422BC">
      <w:pPr>
        <w:tabs>
          <w:tab w:val="center" w:pos="5400"/>
        </w:tabs>
        <w:suppressAutoHyphens/>
        <w:spacing w:line="276" w:lineRule="auto"/>
        <w:jc w:val="center"/>
        <w:rPr>
          <w:rFonts w:asciiTheme="majorHAnsi" w:hAnsiTheme="majorHAnsi"/>
          <w:sz w:val="18"/>
          <w:szCs w:val="20"/>
        </w:rPr>
      </w:pPr>
      <w:r w:rsidRPr="009422BC">
        <w:rPr>
          <w:rFonts w:asciiTheme="majorHAnsi" w:hAnsiTheme="majorHAnsi"/>
          <w:sz w:val="18"/>
          <w:szCs w:val="20"/>
        </w:rPr>
        <w:t>LUIS FERNANDO CANO MARTINEZ AND FAMILY</w:t>
      </w:r>
    </w:p>
    <w:p w:rsidR="009422BC" w:rsidRPr="009422BC" w:rsidRDefault="009422BC" w:rsidP="009422BC">
      <w:pPr>
        <w:tabs>
          <w:tab w:val="center" w:pos="5400"/>
        </w:tabs>
        <w:suppressAutoHyphens/>
        <w:spacing w:line="276" w:lineRule="auto"/>
        <w:jc w:val="center"/>
        <w:rPr>
          <w:rFonts w:asciiTheme="majorHAnsi" w:hAnsiTheme="majorHAnsi"/>
          <w:sz w:val="18"/>
          <w:szCs w:val="20"/>
        </w:rPr>
      </w:pPr>
      <w:r w:rsidRPr="009422BC">
        <w:rPr>
          <w:rFonts w:asciiTheme="majorHAnsi" w:hAnsiTheme="majorHAnsi"/>
          <w:sz w:val="18"/>
          <w:szCs w:val="20"/>
        </w:rPr>
        <w:t>COLOMBIA</w:t>
      </w:r>
    </w:p>
    <w:p w:rsidR="009422BC" w:rsidRPr="009422BC" w:rsidRDefault="00B76623" w:rsidP="009422B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JANUARY 27, 2017</w:t>
      </w:r>
    </w:p>
    <w:p w:rsidR="009422BC" w:rsidRDefault="009422BC" w:rsidP="000E1CA0">
      <w:pPr>
        <w:tabs>
          <w:tab w:val="center" w:pos="5400"/>
        </w:tabs>
        <w:suppressAutoHyphens/>
        <w:rPr>
          <w:rFonts w:asciiTheme="majorHAnsi" w:hAnsiTheme="majorHAnsi"/>
          <w:sz w:val="20"/>
          <w:szCs w:val="20"/>
        </w:rPr>
      </w:pPr>
    </w:p>
    <w:p w:rsidR="000E1CA0" w:rsidRPr="009422BC" w:rsidRDefault="000E1CA0" w:rsidP="000E1CA0">
      <w:pPr>
        <w:tabs>
          <w:tab w:val="center" w:pos="5400"/>
        </w:tabs>
        <w:suppressAutoHyphens/>
        <w:rPr>
          <w:rFonts w:asciiTheme="majorHAnsi" w:hAnsiTheme="majorHAnsi"/>
          <w:sz w:val="20"/>
          <w:szCs w:val="20"/>
        </w:rPr>
      </w:pPr>
    </w:p>
    <w:p w:rsidR="009422BC" w:rsidRPr="009422BC" w:rsidRDefault="009422BC" w:rsidP="009422BC">
      <w:pPr>
        <w:spacing w:after="240"/>
        <w:ind w:firstLine="720"/>
        <w:jc w:val="both"/>
        <w:rPr>
          <w:rFonts w:asciiTheme="majorHAnsi" w:hAnsiTheme="majorHAnsi"/>
          <w:b/>
          <w:bCs/>
          <w:sz w:val="20"/>
          <w:szCs w:val="20"/>
        </w:rPr>
      </w:pPr>
      <w:r w:rsidRPr="009422BC">
        <w:rPr>
          <w:rFonts w:asciiTheme="majorHAnsi" w:hAnsiTheme="majorHAnsi"/>
          <w:b/>
          <w:bCs/>
          <w:sz w:val="20"/>
          <w:szCs w:val="20"/>
        </w:rPr>
        <w:t>I.</w:t>
      </w:r>
      <w:r w:rsidRPr="009422BC">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422BC" w:rsidRPr="009422BC" w:rsidTr="009422BC">
        <w:tc>
          <w:tcPr>
            <w:tcW w:w="4680" w:type="dxa"/>
            <w:tcBorders>
              <w:top w:val="single" w:sz="4"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Petitioner:</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Gustavo Adolfo Cano Martínez</w:t>
            </w:r>
          </w:p>
        </w:tc>
      </w:tr>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D573BF" w:rsidP="009422B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780067"/>
                <w:placeholder>
                  <w:docPart w:val="DB53C53E860D41499716C8843DA0E9BA"/>
                </w:placeholder>
                <w:dropDownList>
                  <w:listItem w:value="Choose an item."/>
                  <w:listItem w:displayText="Alleged victim" w:value="Alleged victim"/>
                  <w:listItem w:displayText="Alleged victims" w:value="Alleged victims"/>
                </w:dropDownList>
              </w:sdtPr>
              <w:sdtEndPr/>
              <w:sdtContent>
                <w:r w:rsidR="009422BC" w:rsidRPr="009422BC">
                  <w:rPr>
                    <w:rFonts w:ascii="Cambria" w:hAnsi="Cambria"/>
                    <w:b/>
                    <w:bCs/>
                    <w:color w:val="FFFFFF" w:themeColor="background1"/>
                    <w:sz w:val="20"/>
                    <w:szCs w:val="20"/>
                  </w:rPr>
                  <w:t>Alleged victims</w:t>
                </w:r>
              </w:sdtContent>
            </w:sdt>
            <w:r w:rsidR="009422BC" w:rsidRPr="009422BC">
              <w:rPr>
                <w:rFonts w:ascii="Cambria" w:hAnsi="Cambria"/>
                <w:b/>
                <w:bCs/>
                <w:color w:val="FFFFFF" w:themeColor="background1"/>
                <w:sz w:val="20"/>
                <w:szCs w:val="20"/>
              </w:rPr>
              <w:t>:</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Luis Fernando Cano Martínez and family</w:t>
            </w:r>
            <w:r w:rsidRPr="009422BC">
              <w:rPr>
                <w:rFonts w:ascii="Cambria" w:hAnsi="Cambria"/>
                <w:bCs/>
                <w:sz w:val="20"/>
                <w:szCs w:val="20"/>
                <w:vertAlign w:val="superscript"/>
              </w:rPr>
              <w:footnoteReference w:id="3"/>
            </w:r>
          </w:p>
        </w:tc>
      </w:tr>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State denounced:</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Colombia</w:t>
            </w:r>
          </w:p>
        </w:tc>
      </w:tr>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Rights invoked:</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sz w:val="20"/>
                <w:szCs w:val="20"/>
                <w:bdr w:val="none" w:sz="0" w:space="0" w:color="auto" w:frame="1"/>
              </w:rPr>
              <w:t>Articles 4 (right to life), 5 (right to humane treatment), 8 (right to a fair trial), 11 (right to privacy), 17 (rights of the family), 19 (rights of the child), 21 (right to property), 22 (freedom of movement and residence), 24 (right to equal protection), and 25 (judicial protection) of the American Convention on Human Rights</w:t>
            </w:r>
            <w:r w:rsidRPr="009422BC">
              <w:rPr>
                <w:rFonts w:ascii="Cambria" w:hAnsi="Cambria"/>
                <w:sz w:val="20"/>
                <w:szCs w:val="20"/>
                <w:bdr w:val="none" w:sz="0" w:space="0" w:color="auto" w:frame="1"/>
                <w:vertAlign w:val="superscript"/>
              </w:rPr>
              <w:footnoteReference w:id="4"/>
            </w:r>
          </w:p>
        </w:tc>
      </w:tr>
    </w:tbl>
    <w:p w:rsidR="009422BC" w:rsidRPr="009422BC" w:rsidRDefault="009422BC" w:rsidP="009422BC">
      <w:pPr>
        <w:spacing w:before="240" w:after="240"/>
        <w:ind w:firstLine="720"/>
        <w:jc w:val="both"/>
        <w:rPr>
          <w:rFonts w:asciiTheme="majorHAnsi" w:hAnsiTheme="majorHAnsi"/>
          <w:b/>
          <w:bCs/>
          <w:sz w:val="20"/>
          <w:szCs w:val="20"/>
        </w:rPr>
      </w:pPr>
      <w:r w:rsidRPr="009422BC">
        <w:rPr>
          <w:rFonts w:asciiTheme="majorHAnsi" w:hAnsiTheme="majorHAnsi"/>
          <w:b/>
          <w:bCs/>
          <w:sz w:val="20"/>
          <w:szCs w:val="20"/>
        </w:rPr>
        <w:t>II.</w:t>
      </w:r>
      <w:r w:rsidRPr="009422BC">
        <w:rPr>
          <w:rFonts w:asciiTheme="majorHAnsi" w:hAnsiTheme="majorHAnsi"/>
          <w:b/>
          <w:bCs/>
          <w:sz w:val="20"/>
          <w:szCs w:val="20"/>
        </w:rPr>
        <w:tab/>
        <w:t>PROCEDURE BEFORE THE IACHR</w:t>
      </w:r>
      <w:r w:rsidRPr="009422BC">
        <w:rPr>
          <w:rFonts w:ascii="Cambria" w:hAnsi="Cambria"/>
          <w:b/>
          <w:sz w:val="20"/>
          <w:szCs w:val="20"/>
          <w:vertAlign w:val="superscript"/>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Date on which the petition was received:</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 xml:space="preserve">August 20, 2008 </w:t>
            </w:r>
          </w:p>
        </w:tc>
      </w:tr>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color w:val="FFFFFF" w:themeColor="background1"/>
                <w:sz w:val="20"/>
                <w:szCs w:val="20"/>
              </w:rPr>
            </w:pPr>
            <w:r w:rsidRPr="009422BC">
              <w:rPr>
                <w:rFonts w:ascii="Cambria" w:hAnsi="Cambria"/>
                <w:b/>
                <w:color w:val="FFFFFF" w:themeColor="background1"/>
                <w:sz w:val="20"/>
                <w:szCs w:val="20"/>
              </w:rPr>
              <w:t>Additional information received during the initial stage:</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 xml:space="preserve">September 1, 2009 and December 16, 2013 </w:t>
            </w:r>
          </w:p>
        </w:tc>
      </w:tr>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color w:val="FFFFFF" w:themeColor="background1"/>
                <w:sz w:val="20"/>
                <w:szCs w:val="20"/>
              </w:rPr>
              <w:t>Date on which the petition was transmitted to the State:</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January 14, 2014</w:t>
            </w:r>
          </w:p>
        </w:tc>
      </w:tr>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color w:val="FFFFFF" w:themeColor="background1"/>
                <w:sz w:val="20"/>
                <w:szCs w:val="20"/>
              </w:rPr>
              <w:t>Date of the State’s first response:</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May 22, 2014</w:t>
            </w:r>
          </w:p>
        </w:tc>
      </w:tr>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9422BC" w:rsidP="009422BC">
            <w:pPr>
              <w:ind w:left="-288"/>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Additional observations from the petitioner:</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July 7, November 21, and December 16, 2014, February 5 and 6, 2015, and April 19, 2016</w:t>
            </w:r>
          </w:p>
        </w:tc>
      </w:tr>
      <w:tr w:rsidR="009422BC" w:rsidRPr="009422BC" w:rsidTr="009422BC">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Additional observations from the State:</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October 16, 2014</w:t>
            </w:r>
          </w:p>
        </w:tc>
      </w:tr>
    </w:tbl>
    <w:p w:rsidR="009422BC" w:rsidRPr="009422BC" w:rsidRDefault="009422BC" w:rsidP="009422BC">
      <w:pPr>
        <w:spacing w:before="240" w:after="240"/>
        <w:ind w:firstLine="720"/>
        <w:jc w:val="both"/>
        <w:rPr>
          <w:rFonts w:asciiTheme="majorHAnsi" w:hAnsiTheme="majorHAnsi"/>
          <w:b/>
          <w:bCs/>
          <w:sz w:val="20"/>
          <w:szCs w:val="20"/>
        </w:rPr>
      </w:pPr>
      <w:r w:rsidRPr="009422BC">
        <w:rPr>
          <w:rFonts w:asciiTheme="majorHAnsi" w:hAnsiTheme="majorHAnsi"/>
          <w:b/>
          <w:bCs/>
          <w:sz w:val="20"/>
          <w:szCs w:val="20"/>
        </w:rPr>
        <w:t xml:space="preserve">III. </w:t>
      </w:r>
      <w:r w:rsidRPr="009422BC">
        <w:rPr>
          <w:rFonts w:asciiTheme="majorHAnsi" w:hAnsiTheme="majorHAnsi"/>
          <w:b/>
          <w:bCs/>
          <w:sz w:val="20"/>
          <w:szCs w:val="20"/>
        </w:rPr>
        <w:tab/>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422BC" w:rsidRPr="009422BC" w:rsidTr="009422BC">
        <w:trPr>
          <w:cantSplit/>
        </w:trPr>
        <w:tc>
          <w:tcPr>
            <w:tcW w:w="4680" w:type="dxa"/>
            <w:tcBorders>
              <w:top w:val="single" w:sz="4" w:space="0" w:color="auto"/>
              <w:bottom w:val="single" w:sz="6" w:space="0" w:color="auto"/>
            </w:tcBorders>
            <w:shd w:val="clear" w:color="auto" w:fill="67AE3C"/>
            <w:vAlign w:val="center"/>
          </w:tcPr>
          <w:p w:rsidR="009422BC" w:rsidRPr="009422BC" w:rsidRDefault="009422BC" w:rsidP="009422BC">
            <w:pPr>
              <w:jc w:val="center"/>
              <w:rPr>
                <w:rFonts w:ascii="Cambria" w:hAnsi="Cambria"/>
                <w:b/>
                <w:bCs/>
                <w:i/>
                <w:color w:val="FFFFFF" w:themeColor="background1"/>
                <w:sz w:val="20"/>
                <w:szCs w:val="20"/>
              </w:rPr>
            </w:pPr>
            <w:r w:rsidRPr="009422BC">
              <w:rPr>
                <w:rFonts w:ascii="Cambria" w:hAnsi="Cambria"/>
                <w:b/>
                <w:bCs/>
                <w:color w:val="FFFFFF" w:themeColor="background1"/>
                <w:sz w:val="20"/>
                <w:szCs w:val="20"/>
              </w:rPr>
              <w:t>Competence</w:t>
            </w:r>
            <w:r w:rsidRPr="009422BC">
              <w:rPr>
                <w:rFonts w:ascii="Cambria" w:hAnsi="Cambria"/>
                <w:b/>
                <w:bCs/>
                <w:i/>
                <w:color w:val="FFFFFF" w:themeColor="background1"/>
                <w:sz w:val="20"/>
                <w:szCs w:val="20"/>
              </w:rPr>
              <w:t xml:space="preserve"> Ratione personae:</w:t>
            </w:r>
          </w:p>
        </w:tc>
        <w:tc>
          <w:tcPr>
            <w:tcW w:w="4680" w:type="dxa"/>
            <w:vAlign w:val="center"/>
          </w:tcPr>
          <w:p w:rsidR="009422BC" w:rsidRPr="009422BC" w:rsidRDefault="009422BC" w:rsidP="009422BC">
            <w:pPr>
              <w:rPr>
                <w:rFonts w:ascii="Cambria" w:hAnsi="Cambria"/>
                <w:bCs/>
                <w:sz w:val="20"/>
                <w:szCs w:val="20"/>
              </w:rPr>
            </w:pPr>
            <w:r w:rsidRPr="009422BC">
              <w:rPr>
                <w:rFonts w:ascii="Cambria" w:hAnsi="Cambria"/>
                <w:bCs/>
                <w:sz w:val="20"/>
                <w:szCs w:val="20"/>
              </w:rPr>
              <w:t>Yes</w:t>
            </w:r>
          </w:p>
        </w:tc>
      </w:tr>
      <w:tr w:rsidR="009422BC" w:rsidRPr="009422BC" w:rsidTr="009422BC">
        <w:trPr>
          <w:cantSplit/>
        </w:trPr>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Competence</w:t>
            </w:r>
            <w:r w:rsidRPr="009422BC">
              <w:rPr>
                <w:rFonts w:ascii="Cambria" w:hAnsi="Cambria"/>
                <w:b/>
                <w:bCs/>
                <w:i/>
                <w:color w:val="FFFFFF" w:themeColor="background1"/>
                <w:sz w:val="20"/>
                <w:szCs w:val="20"/>
              </w:rPr>
              <w:t xml:space="preserve"> Ratione loci</w:t>
            </w:r>
            <w:r w:rsidRPr="009422BC">
              <w:rPr>
                <w:rFonts w:ascii="Cambria" w:hAnsi="Cambria"/>
                <w:b/>
                <w:bCs/>
                <w:color w:val="FFFFFF" w:themeColor="background1"/>
                <w:sz w:val="20"/>
                <w:szCs w:val="20"/>
              </w:rPr>
              <w:t>:</w:t>
            </w:r>
          </w:p>
        </w:tc>
        <w:tc>
          <w:tcPr>
            <w:tcW w:w="4680" w:type="dxa"/>
            <w:vAlign w:val="center"/>
          </w:tcPr>
          <w:p w:rsidR="009422BC" w:rsidRPr="009422BC" w:rsidRDefault="009422BC" w:rsidP="009422BC">
            <w:pPr>
              <w:rPr>
                <w:rFonts w:ascii="Cambria" w:hAnsi="Cambria"/>
                <w:bCs/>
                <w:sz w:val="20"/>
                <w:szCs w:val="20"/>
              </w:rPr>
            </w:pPr>
            <w:r w:rsidRPr="009422BC">
              <w:rPr>
                <w:rFonts w:ascii="Cambria" w:hAnsi="Cambria"/>
                <w:bCs/>
                <w:sz w:val="20"/>
                <w:szCs w:val="20"/>
              </w:rPr>
              <w:t>Yes</w:t>
            </w:r>
          </w:p>
        </w:tc>
      </w:tr>
      <w:tr w:rsidR="009422BC" w:rsidRPr="009422BC" w:rsidTr="009422BC">
        <w:trPr>
          <w:cantSplit/>
        </w:trPr>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Competence</w:t>
            </w:r>
            <w:r w:rsidRPr="009422BC">
              <w:rPr>
                <w:rFonts w:ascii="Cambria" w:hAnsi="Cambria"/>
                <w:b/>
                <w:bCs/>
                <w:i/>
                <w:color w:val="FFFFFF" w:themeColor="background1"/>
                <w:sz w:val="20"/>
                <w:szCs w:val="20"/>
              </w:rPr>
              <w:t xml:space="preserve"> Ratione temporis</w:t>
            </w:r>
            <w:r w:rsidRPr="009422BC">
              <w:rPr>
                <w:rFonts w:ascii="Cambria" w:hAnsi="Cambria"/>
                <w:b/>
                <w:bCs/>
                <w:color w:val="FFFFFF" w:themeColor="background1"/>
                <w:sz w:val="20"/>
                <w:szCs w:val="20"/>
              </w:rPr>
              <w:t>:</w:t>
            </w:r>
          </w:p>
        </w:tc>
        <w:tc>
          <w:tcPr>
            <w:tcW w:w="4680" w:type="dxa"/>
            <w:vAlign w:val="center"/>
          </w:tcPr>
          <w:p w:rsidR="009422BC" w:rsidRPr="009422BC" w:rsidRDefault="009422BC" w:rsidP="009422BC">
            <w:pPr>
              <w:rPr>
                <w:rFonts w:asciiTheme="majorHAnsi" w:hAnsiTheme="majorHAnsi"/>
                <w:bCs/>
                <w:sz w:val="20"/>
                <w:szCs w:val="20"/>
              </w:rPr>
            </w:pPr>
            <w:r w:rsidRPr="009422BC">
              <w:rPr>
                <w:rFonts w:asciiTheme="majorHAnsi" w:hAnsiTheme="majorHAnsi"/>
                <w:bCs/>
                <w:sz w:val="20"/>
                <w:szCs w:val="20"/>
              </w:rPr>
              <w:t>Yes</w:t>
            </w:r>
          </w:p>
        </w:tc>
      </w:tr>
      <w:tr w:rsidR="009422BC" w:rsidRPr="009422BC" w:rsidTr="009422BC">
        <w:trPr>
          <w:cantSplit/>
        </w:trPr>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Competence</w:t>
            </w:r>
            <w:r w:rsidRPr="009422BC">
              <w:rPr>
                <w:rFonts w:ascii="Cambria" w:hAnsi="Cambria"/>
                <w:b/>
                <w:bCs/>
                <w:i/>
                <w:color w:val="FFFFFF" w:themeColor="background1"/>
                <w:sz w:val="20"/>
                <w:szCs w:val="20"/>
              </w:rPr>
              <w:t xml:space="preserve"> Ratione materiae</w:t>
            </w:r>
            <w:r w:rsidRPr="009422BC">
              <w:rPr>
                <w:rFonts w:ascii="Cambria" w:hAnsi="Cambria"/>
                <w:b/>
                <w:bCs/>
                <w:color w:val="FFFFFF" w:themeColor="background1"/>
                <w:sz w:val="20"/>
                <w:szCs w:val="20"/>
              </w:rPr>
              <w:t>:</w:t>
            </w:r>
          </w:p>
        </w:tc>
        <w:tc>
          <w:tcPr>
            <w:tcW w:w="4680" w:type="dxa"/>
            <w:vAlign w:val="center"/>
          </w:tcPr>
          <w:p w:rsidR="009422BC" w:rsidRPr="009422BC" w:rsidRDefault="009422BC" w:rsidP="009422BC">
            <w:pPr>
              <w:jc w:val="both"/>
              <w:rPr>
                <w:rFonts w:ascii="Cambria" w:hAnsi="Cambria"/>
                <w:bCs/>
                <w:sz w:val="20"/>
                <w:szCs w:val="20"/>
              </w:rPr>
            </w:pPr>
            <w:r w:rsidRPr="009422BC">
              <w:rPr>
                <w:rFonts w:ascii="Cambria" w:hAnsi="Cambria"/>
                <w:bCs/>
                <w:sz w:val="20"/>
                <w:szCs w:val="20"/>
              </w:rPr>
              <w:t>Yes, American Convention</w:t>
            </w:r>
            <w:r w:rsidRPr="009422BC">
              <w:rPr>
                <w:rFonts w:ascii="Cambria" w:hAnsi="Cambria"/>
                <w:bCs/>
                <w:sz w:val="20"/>
                <w:szCs w:val="20"/>
                <w:bdr w:val="none" w:sz="0" w:space="0" w:color="auto" w:frame="1"/>
              </w:rPr>
              <w:t xml:space="preserve"> (instrument of ratification deposited on July </w:t>
            </w:r>
            <w:r w:rsidRPr="009422BC">
              <w:rPr>
                <w:rFonts w:ascii="Cambria" w:hAnsi="Cambria"/>
                <w:sz w:val="20"/>
                <w:szCs w:val="20"/>
              </w:rPr>
              <w:t>31, 1973)</w:t>
            </w:r>
          </w:p>
        </w:tc>
      </w:tr>
    </w:tbl>
    <w:p w:rsidR="009422BC" w:rsidRPr="009422BC" w:rsidRDefault="009422BC" w:rsidP="009422BC">
      <w:pPr>
        <w:spacing w:before="240" w:after="240"/>
        <w:ind w:firstLine="720"/>
        <w:jc w:val="both"/>
        <w:rPr>
          <w:rFonts w:asciiTheme="majorHAnsi" w:hAnsiTheme="majorHAnsi"/>
          <w:b/>
          <w:bCs/>
          <w:sz w:val="20"/>
          <w:szCs w:val="20"/>
        </w:rPr>
      </w:pPr>
      <w:r w:rsidRPr="009422BC">
        <w:rPr>
          <w:rFonts w:asciiTheme="majorHAnsi" w:hAnsiTheme="majorHAnsi"/>
          <w:b/>
          <w:bCs/>
          <w:sz w:val="20"/>
          <w:szCs w:val="20"/>
        </w:rPr>
        <w:t xml:space="preserve">IV. </w:t>
      </w:r>
      <w:r w:rsidRPr="009422BC">
        <w:rPr>
          <w:rFonts w:asciiTheme="majorHAnsi" w:hAnsiTheme="majorHAnsi"/>
          <w:b/>
          <w:bCs/>
          <w:sz w:val="20"/>
          <w:szCs w:val="20"/>
        </w:rPr>
        <w:tab/>
        <w:t xml:space="preserve">ANALYSIS OF DUPLICATION OF PROCEDURES AND INTERNATIONAL </w:t>
      </w:r>
      <w:r w:rsidRPr="009422BC">
        <w:rPr>
          <w:rFonts w:asciiTheme="majorHAnsi" w:hAnsiTheme="majorHAnsi"/>
          <w:b/>
          <w:bCs/>
          <w:i/>
          <w:sz w:val="20"/>
          <w:szCs w:val="20"/>
        </w:rPr>
        <w:t>RES JUDICATA</w:t>
      </w:r>
      <w:r w:rsidRPr="009422B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422BC" w:rsidRPr="009422BC" w:rsidTr="009422BC">
        <w:trPr>
          <w:cantSplit/>
        </w:trPr>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i/>
                <w:color w:val="FFFFFF" w:themeColor="background1"/>
                <w:sz w:val="20"/>
                <w:szCs w:val="20"/>
              </w:rPr>
            </w:pPr>
            <w:r w:rsidRPr="009422BC">
              <w:rPr>
                <w:rFonts w:asciiTheme="majorHAnsi" w:hAnsiTheme="majorHAnsi"/>
                <w:b/>
                <w:bCs/>
                <w:color w:val="FFFFFF" w:themeColor="background1"/>
                <w:sz w:val="20"/>
                <w:szCs w:val="20"/>
              </w:rPr>
              <w:t xml:space="preserve">Duplication of procedures and International </w:t>
            </w:r>
            <w:r w:rsidRPr="009422BC">
              <w:rPr>
                <w:rFonts w:asciiTheme="majorHAnsi" w:hAnsiTheme="majorHAnsi"/>
                <w:b/>
                <w:bCs/>
                <w:i/>
                <w:color w:val="FFFFFF" w:themeColor="background1"/>
                <w:sz w:val="20"/>
                <w:szCs w:val="20"/>
              </w:rPr>
              <w:t>res judicata</w:t>
            </w:r>
            <w:r w:rsidRPr="009422BC">
              <w:rPr>
                <w:rFonts w:asciiTheme="majorHAnsi" w:hAnsiTheme="majorHAnsi"/>
                <w:b/>
                <w:bCs/>
                <w:color w:val="FFFFFF" w:themeColor="background1"/>
                <w:sz w:val="20"/>
                <w:szCs w:val="20"/>
              </w:rPr>
              <w:t>:</w:t>
            </w:r>
          </w:p>
        </w:tc>
        <w:tc>
          <w:tcPr>
            <w:tcW w:w="4680" w:type="dxa"/>
            <w:vAlign w:val="center"/>
          </w:tcPr>
          <w:p w:rsidR="009422BC" w:rsidRPr="009422BC" w:rsidRDefault="009422BC" w:rsidP="009422BC">
            <w:pPr>
              <w:rPr>
                <w:rFonts w:ascii="Cambria" w:hAnsi="Cambria"/>
                <w:bCs/>
                <w:sz w:val="20"/>
                <w:szCs w:val="20"/>
                <w:bdr w:val="none" w:sz="0" w:space="0" w:color="auto" w:frame="1"/>
              </w:rPr>
            </w:pPr>
            <w:r w:rsidRPr="009422BC">
              <w:rPr>
                <w:rFonts w:ascii="Cambria" w:hAnsi="Cambria"/>
                <w:bCs/>
                <w:sz w:val="20"/>
                <w:szCs w:val="20"/>
                <w:bdr w:val="none" w:sz="0" w:space="0" w:color="auto" w:frame="1"/>
              </w:rPr>
              <w:t>No</w:t>
            </w:r>
          </w:p>
        </w:tc>
      </w:tr>
      <w:tr w:rsidR="009422BC" w:rsidRPr="009422BC" w:rsidTr="009422BC">
        <w:trPr>
          <w:cantSplit/>
        </w:trPr>
        <w:tc>
          <w:tcPr>
            <w:tcW w:w="4680" w:type="dxa"/>
            <w:tcBorders>
              <w:top w:val="single" w:sz="4" w:space="0" w:color="auto"/>
              <w:bottom w:val="single" w:sz="6" w:space="0" w:color="auto"/>
            </w:tcBorders>
            <w:shd w:val="clear" w:color="auto" w:fill="67AE3C"/>
            <w:vAlign w:val="center"/>
          </w:tcPr>
          <w:p w:rsidR="009422BC" w:rsidRPr="009422BC" w:rsidRDefault="009422BC" w:rsidP="009422BC">
            <w:pPr>
              <w:jc w:val="center"/>
              <w:rPr>
                <w:rFonts w:ascii="Cambria" w:hAnsi="Cambria"/>
                <w:b/>
                <w:bCs/>
                <w:i/>
                <w:color w:val="FFFFFF" w:themeColor="background1"/>
                <w:sz w:val="20"/>
                <w:szCs w:val="20"/>
              </w:rPr>
            </w:pPr>
            <w:r w:rsidRPr="009422BC">
              <w:rPr>
                <w:rFonts w:ascii="Cambria" w:hAnsi="Cambria"/>
                <w:b/>
                <w:bCs/>
                <w:color w:val="FFFFFF" w:themeColor="background1"/>
                <w:sz w:val="20"/>
                <w:szCs w:val="20"/>
              </w:rPr>
              <w:lastRenderedPageBreak/>
              <w:t>Rights declared admissible:</w:t>
            </w:r>
          </w:p>
        </w:tc>
        <w:tc>
          <w:tcPr>
            <w:tcW w:w="4680" w:type="dxa"/>
            <w:vAlign w:val="center"/>
          </w:tcPr>
          <w:p w:rsidR="009422BC" w:rsidRPr="009422BC" w:rsidRDefault="009422BC" w:rsidP="009422BC">
            <w:pPr>
              <w:jc w:val="both"/>
              <w:rPr>
                <w:rFonts w:ascii="Cambria" w:hAnsi="Cambria"/>
                <w:bCs/>
                <w:sz w:val="20"/>
                <w:szCs w:val="20"/>
                <w:bdr w:val="none" w:sz="0" w:space="0" w:color="auto" w:frame="1"/>
              </w:rPr>
            </w:pPr>
            <w:r w:rsidRPr="009422BC">
              <w:rPr>
                <w:rFonts w:ascii="Cambria" w:hAnsi="Cambria"/>
                <w:bCs/>
                <w:sz w:val="20"/>
                <w:szCs w:val="20"/>
                <w:bdr w:val="none" w:sz="0" w:space="0" w:color="auto" w:frame="1"/>
              </w:rPr>
              <w:t xml:space="preserve">Articles </w:t>
            </w:r>
            <w:r w:rsidRPr="009422BC">
              <w:rPr>
                <w:rFonts w:ascii="Cambria" w:hAnsi="Cambria"/>
                <w:sz w:val="20"/>
                <w:szCs w:val="20"/>
                <w:bdr w:val="none" w:sz="0" w:space="0" w:color="auto" w:frame="1"/>
              </w:rPr>
              <w:t>4 (right to life), 5 (right to humane treatment), 8 (right to a fair trial), 17 (rights of the family), 19 (rights of the child), 21 (right to property), 22 (freedom of movement and residence), and 25 (judicial protection)</w:t>
            </w:r>
            <w:r w:rsidRPr="009422BC">
              <w:rPr>
                <w:rFonts w:ascii="Cambria" w:hAnsi="Cambria"/>
                <w:bCs/>
                <w:sz w:val="20"/>
                <w:szCs w:val="20"/>
                <w:bdr w:val="none" w:sz="0" w:space="0" w:color="auto" w:frame="1"/>
              </w:rPr>
              <w:t xml:space="preserve"> of the American Convention</w:t>
            </w:r>
          </w:p>
        </w:tc>
      </w:tr>
      <w:tr w:rsidR="009422BC" w:rsidRPr="009422BC" w:rsidTr="009422BC">
        <w:trPr>
          <w:cantSplit/>
        </w:trPr>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Exhaustion of domestic remedies or applicability of an exception to the rule:</w:t>
            </w:r>
          </w:p>
        </w:tc>
        <w:tc>
          <w:tcPr>
            <w:tcW w:w="4680" w:type="dxa"/>
            <w:vAlign w:val="center"/>
          </w:tcPr>
          <w:p w:rsidR="009422BC" w:rsidRPr="009422BC" w:rsidRDefault="009422BC" w:rsidP="009422BC">
            <w:pPr>
              <w:rPr>
                <w:rFonts w:ascii="Cambria" w:hAnsi="Cambria"/>
                <w:bCs/>
                <w:sz w:val="20"/>
                <w:szCs w:val="20"/>
              </w:rPr>
            </w:pPr>
            <w:r w:rsidRPr="009422BC">
              <w:rPr>
                <w:rFonts w:ascii="Cambria" w:hAnsi="Cambria"/>
                <w:bCs/>
                <w:sz w:val="20"/>
                <w:szCs w:val="20"/>
              </w:rPr>
              <w:t>Yes, the exception provided for under Article 46(2)(c) of the Convention applies</w:t>
            </w:r>
          </w:p>
        </w:tc>
      </w:tr>
      <w:tr w:rsidR="009422BC" w:rsidRPr="009422BC" w:rsidTr="009422BC">
        <w:trPr>
          <w:cantSplit/>
        </w:trPr>
        <w:tc>
          <w:tcPr>
            <w:tcW w:w="4680" w:type="dxa"/>
            <w:tcBorders>
              <w:top w:val="single" w:sz="6" w:space="0" w:color="auto"/>
              <w:bottom w:val="single" w:sz="6" w:space="0" w:color="auto"/>
            </w:tcBorders>
            <w:shd w:val="clear" w:color="auto" w:fill="67AE3C"/>
            <w:vAlign w:val="center"/>
          </w:tcPr>
          <w:p w:rsidR="009422BC" w:rsidRPr="009422BC" w:rsidRDefault="009422BC" w:rsidP="009422BC">
            <w:pPr>
              <w:jc w:val="center"/>
              <w:rPr>
                <w:rFonts w:ascii="Cambria" w:hAnsi="Cambria"/>
                <w:b/>
                <w:bCs/>
                <w:color w:val="FFFFFF" w:themeColor="background1"/>
                <w:sz w:val="20"/>
                <w:szCs w:val="20"/>
              </w:rPr>
            </w:pPr>
            <w:r w:rsidRPr="009422BC">
              <w:rPr>
                <w:rFonts w:ascii="Cambria" w:hAnsi="Cambria"/>
                <w:b/>
                <w:bCs/>
                <w:color w:val="FFFFFF" w:themeColor="background1"/>
                <w:sz w:val="20"/>
                <w:szCs w:val="20"/>
              </w:rPr>
              <w:t>Timeliness of the petition:</w:t>
            </w:r>
          </w:p>
        </w:tc>
        <w:tc>
          <w:tcPr>
            <w:tcW w:w="4680" w:type="dxa"/>
            <w:vAlign w:val="center"/>
          </w:tcPr>
          <w:p w:rsidR="009422BC" w:rsidRPr="009422BC" w:rsidRDefault="009422BC" w:rsidP="009422BC">
            <w:pPr>
              <w:rPr>
                <w:rFonts w:asciiTheme="majorHAnsi" w:hAnsiTheme="majorHAnsi"/>
                <w:bCs/>
                <w:sz w:val="20"/>
                <w:szCs w:val="20"/>
              </w:rPr>
            </w:pPr>
            <w:r w:rsidRPr="009422BC">
              <w:rPr>
                <w:rFonts w:asciiTheme="majorHAnsi" w:hAnsiTheme="majorHAnsi"/>
                <w:bCs/>
                <w:sz w:val="20"/>
                <w:szCs w:val="20"/>
              </w:rPr>
              <w:t>Yes, under the terms stipulated in Section VI</w:t>
            </w:r>
          </w:p>
        </w:tc>
      </w:tr>
    </w:tbl>
    <w:p w:rsidR="009422BC" w:rsidRPr="009422BC" w:rsidRDefault="009422BC" w:rsidP="009422BC">
      <w:pPr>
        <w:spacing w:before="240" w:after="240"/>
        <w:ind w:firstLine="720"/>
        <w:jc w:val="both"/>
        <w:rPr>
          <w:rFonts w:asciiTheme="majorHAnsi" w:hAnsiTheme="majorHAnsi"/>
          <w:b/>
          <w:sz w:val="20"/>
          <w:szCs w:val="20"/>
        </w:rPr>
      </w:pPr>
      <w:r w:rsidRPr="009422BC">
        <w:rPr>
          <w:rFonts w:asciiTheme="majorHAnsi" w:hAnsiTheme="majorHAnsi"/>
          <w:b/>
          <w:sz w:val="20"/>
          <w:szCs w:val="20"/>
        </w:rPr>
        <w:t xml:space="preserve">V. </w:t>
      </w:r>
      <w:r w:rsidRPr="009422BC">
        <w:rPr>
          <w:rFonts w:asciiTheme="majorHAnsi" w:hAnsiTheme="majorHAnsi"/>
          <w:b/>
          <w:sz w:val="20"/>
          <w:szCs w:val="20"/>
        </w:rPr>
        <w:tab/>
        <w:t xml:space="preserve">ALLEGED FACTS </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9422BC">
        <w:rPr>
          <w:rFonts w:ascii="Cambria" w:eastAsia="Cambria" w:hAnsi="Cambria" w:cs="Cambria"/>
          <w:color w:val="000000"/>
          <w:sz w:val="20"/>
          <w:szCs w:val="20"/>
          <w:u w:color="000000"/>
          <w:lang w:eastAsia="es-ES"/>
        </w:rPr>
        <w:t xml:space="preserve">The petitioner states that the facts of the instant case, which occurred in 2003, are framed in the context of human rights violations committed by paramilitary groups in a number of regions in Colombia. He indicates that in the municipality of San Roque—situated in the northeastern part of the Department of Antioquia—the </w:t>
      </w:r>
      <w:r w:rsidRPr="009422BC">
        <w:rPr>
          <w:rFonts w:ascii="Cambria" w:eastAsia="Cambria" w:hAnsi="Cambria" w:cs="Cambria"/>
          <w:i/>
          <w:color w:val="000000"/>
          <w:sz w:val="20"/>
          <w:szCs w:val="20"/>
          <w:u w:color="000000"/>
          <w:lang w:eastAsia="es-ES"/>
        </w:rPr>
        <w:t>Bloque Cacique Nutibara</w:t>
      </w:r>
      <w:r w:rsidRPr="009422BC">
        <w:rPr>
          <w:rFonts w:ascii="Cambria" w:eastAsia="Cambria" w:hAnsi="Cambria" w:cs="Cambria"/>
          <w:color w:val="000000"/>
          <w:sz w:val="20"/>
          <w:szCs w:val="20"/>
          <w:u w:color="000000"/>
          <w:lang w:eastAsia="es-ES"/>
        </w:rPr>
        <w:t xml:space="preserve">, led by Diego Fernando Murillo Bejarano (a.k.a. Don Berna), engaged in irregular activities with the approval of State authorities. The petitioner notes that Luis Fernando Cano Martínez, in his capacity as community leader, was esteemed by the residents of San Roque, and thus, among other posts, was elected Mayor of the town in both 1998 and 2000. In May 2003, however, he began to receive constant threats from members of the aforementioned paramilitary block and in August of that same year, a group of armed men entered his family property and proceeded to destroy it in an attempt to intimidate him. He states that all of this was reported to the municipal authorities, without any protection measure being granted. </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9422BC">
        <w:rPr>
          <w:rFonts w:ascii="Cambria" w:eastAsia="Cambria" w:hAnsi="Cambria" w:cs="Cambria"/>
          <w:color w:val="000000"/>
          <w:sz w:val="20"/>
          <w:szCs w:val="20"/>
          <w:u w:color="000000"/>
          <w:lang w:eastAsia="es-ES"/>
        </w:rPr>
        <w:t xml:space="preserve">The petitioner indicates that several armed men kidnapped Luis Fernando Cano Martínez on November 5, 2003, subsequently assassinating him with three gunshots and abandoning his dead body in a rural area where it was found the following day. He states that, more than 13 years after these events transpired, the facts surrounding Mr. Cano Martínez’s death have yet to be established since the criminal investigation was shelved by the Office of the Prosecutor via a June 10, 2004 resolution of dismissal, arguing that the preliminary inquiry stage had exceeded the six-month timeframe.  </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9422BC">
        <w:rPr>
          <w:rFonts w:ascii="Cambria" w:eastAsia="Cambria" w:hAnsi="Cambria" w:cs="Cambria"/>
          <w:color w:val="000000"/>
          <w:sz w:val="20"/>
          <w:szCs w:val="20"/>
          <w:u w:color="000000"/>
          <w:lang w:eastAsia="es-ES"/>
        </w:rPr>
        <w:t xml:space="preserve">The petitioner states that on November 8, 2003 the relatives of the alleged victim received death threats from the above-mentioned paramilitary group, forcing them to then abandon their homes in the Department of Antioquia and move to the Bogota. On November 26, 2003, they filed a complaint regarding the threats and forced displacement with the Office of the Public Prosecutor; the investigations launched in Medellin were, however, suspended and archived. Later, as recently as March 13, 2014, a Technical Legal Committee of the Public Prosecutor’s Office ordered the case to be reopened. The alleged victim’s relatives also brought their case to the Office of the President of the Republic, the Interior and the Justice Ministries, and the National Congress, securing in the latter two only letters or notes in case they were ever to decide to seek asylum in another country. The petitioner further notes that they requested to be included in </w:t>
      </w:r>
      <w:r w:rsidRPr="009422BC">
        <w:rPr>
          <w:rFonts w:ascii="Cambria" w:eastAsia="Cambria" w:hAnsi="Cambria" w:cs="Cambria"/>
          <w:i/>
          <w:color w:val="000000"/>
          <w:sz w:val="20"/>
          <w:szCs w:val="20"/>
          <w:u w:color="000000"/>
          <w:lang w:eastAsia="es-ES"/>
        </w:rPr>
        <w:t>Acción Social’s</w:t>
      </w:r>
      <w:r w:rsidRPr="009422BC">
        <w:rPr>
          <w:rFonts w:ascii="Cambria" w:eastAsia="Cambria" w:hAnsi="Cambria" w:cs="Cambria"/>
          <w:color w:val="000000"/>
          <w:sz w:val="20"/>
          <w:szCs w:val="20"/>
          <w:u w:color="000000"/>
          <w:lang w:eastAsia="es-ES"/>
        </w:rPr>
        <w:t xml:space="preserve"> Consolidated Registry of the Displaced Population, but their requests were denied without proper grounds. Lastly, he states that after more than one year had elapsed, following news about a possible demobilization of paramilitary groups, and primarily because of the loss of work and the dire financial situation they were in, some of the alleged victims returned to the city of Medellin, despite the persistent violence there. In this vein, the petitioner notes that in 2006, a group of men, presumably linked to the paramilitary block, threatened Martín Cano Martínez with their guns, coercing him to sign a deed of conveyance of ownership for a piece of family property. The alleged victims reported this to the Office of the Public Prosecutor; their investigations, however, did not move forward nor did they establish the facts. </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bdr w:val="none" w:sz="0" w:space="0" w:color="auto" w:frame="1"/>
          <w:lang w:eastAsia="es-ES"/>
        </w:rPr>
      </w:pPr>
      <w:r w:rsidRPr="009422BC">
        <w:rPr>
          <w:rFonts w:ascii="Cambria" w:eastAsia="Cambria" w:hAnsi="Cambria" w:cs="Cambria"/>
          <w:color w:val="000000"/>
          <w:sz w:val="20"/>
          <w:szCs w:val="20"/>
          <w:u w:color="000000"/>
          <w:bdr w:val="none" w:sz="0" w:space="0" w:color="auto" w:frame="1"/>
          <w:lang w:eastAsia="es-ES"/>
        </w:rPr>
        <w:t xml:space="preserve">The State holds that the petition is manifestly groundless inasmuch as the facts denounced by the petitioner were committed by private individuals outside the State’s jurisdiction. Accordingly, the State asserts that the fact that military campaigns were waged against irregular groups known as </w:t>
      </w:r>
      <w:r w:rsidRPr="009422BC">
        <w:rPr>
          <w:rFonts w:ascii="Cambria" w:eastAsia="Cambria" w:hAnsi="Cambria" w:cs="Cambria"/>
          <w:i/>
          <w:color w:val="000000"/>
          <w:sz w:val="20"/>
          <w:szCs w:val="20"/>
          <w:u w:color="000000"/>
          <w:bdr w:val="none" w:sz="0" w:space="0" w:color="auto" w:frame="1"/>
          <w:lang w:eastAsia="es-ES"/>
        </w:rPr>
        <w:t>autodefensas</w:t>
      </w:r>
      <w:r w:rsidRPr="009422BC">
        <w:rPr>
          <w:rFonts w:ascii="Cambria" w:eastAsia="Cambria" w:hAnsi="Cambria" w:cs="Cambria"/>
          <w:color w:val="000000"/>
          <w:sz w:val="20"/>
          <w:szCs w:val="20"/>
          <w:u w:color="000000"/>
          <w:bdr w:val="none" w:sz="0" w:space="0" w:color="auto" w:frame="1"/>
          <w:lang w:eastAsia="es-ES"/>
        </w:rPr>
        <w:t xml:space="preserve"> [“self-defense” groups] demonstrates that there was no complicity with or tolerance for them. The State further indicates that it was not made aware in a timely fashion of the threats received by Luis Fernando Cano </w:t>
      </w:r>
      <w:r w:rsidRPr="009422BC">
        <w:rPr>
          <w:rFonts w:ascii="Cambria" w:eastAsia="Cambria" w:hAnsi="Cambria" w:cs="Cambria"/>
          <w:color w:val="000000"/>
          <w:sz w:val="20"/>
          <w:szCs w:val="20"/>
          <w:u w:color="000000"/>
          <w:bdr w:val="none" w:sz="0" w:space="0" w:color="auto" w:frame="1"/>
          <w:lang w:eastAsia="es-ES"/>
        </w:rPr>
        <w:lastRenderedPageBreak/>
        <w:t xml:space="preserve">Martínez and his family before the homicide and forced displacement. It also argues that domestic remedies remain pending resolution inasmuch as with the aim of bringing to bear the precepts of Law 975 of 2005, the Office of the Public Prosecutor ordered an investigation of the facts surrounding the death of one of the alleged victims and the forced displacement of his family members under a single case record. In this regard, the State is asserting that because of how complex the case is, it is impossible to consider that there has been unwarranted delay or a violation of a reasonable timeframe in the case of the investigation because the facts alleged refer to three different incidents, namely, the murder of Luis Fernando Cano Martínez, the forced displacement of his family, and the illegal coercion of Martín Cano Martínez. </w:t>
      </w:r>
    </w:p>
    <w:p w:rsidR="009422BC" w:rsidRPr="009422BC" w:rsidRDefault="009422BC" w:rsidP="009422BC">
      <w:pPr>
        <w:spacing w:before="240" w:after="240"/>
        <w:ind w:firstLine="720"/>
        <w:jc w:val="both"/>
        <w:rPr>
          <w:rFonts w:ascii="Cambria" w:hAnsi="Cambria"/>
          <w:sz w:val="20"/>
          <w:szCs w:val="20"/>
        </w:rPr>
      </w:pPr>
      <w:r w:rsidRPr="009422BC">
        <w:rPr>
          <w:rFonts w:asciiTheme="majorHAnsi" w:eastAsia="Cambria" w:hAnsiTheme="majorHAnsi" w:cs="Cambria"/>
          <w:b/>
          <w:bCs/>
          <w:color w:val="000000"/>
          <w:sz w:val="20"/>
          <w:szCs w:val="20"/>
          <w:u w:color="000000"/>
          <w:lang w:eastAsia="es-ES"/>
        </w:rPr>
        <w:t>VI.</w:t>
      </w:r>
      <w:r w:rsidRPr="009422BC">
        <w:rPr>
          <w:rFonts w:asciiTheme="majorHAnsi" w:eastAsia="Cambria" w:hAnsiTheme="majorHAnsi" w:cs="Cambria"/>
          <w:b/>
          <w:bCs/>
          <w:color w:val="000000"/>
          <w:sz w:val="20"/>
          <w:szCs w:val="20"/>
          <w:u w:color="000000"/>
          <w:lang w:eastAsia="es-ES"/>
        </w:rPr>
        <w:tab/>
      </w:r>
      <w:r w:rsidRPr="009422BC">
        <w:rPr>
          <w:rFonts w:asciiTheme="majorHAnsi" w:hAnsiTheme="majorHAnsi"/>
          <w:b/>
          <w:sz w:val="20"/>
          <w:szCs w:val="20"/>
        </w:rPr>
        <w:t>EXHAUSTION OF DOMESTIC REMEDIES AND TIMELINESS OF THE PETITION</w:t>
      </w:r>
      <w:r w:rsidRPr="009422BC">
        <w:rPr>
          <w:rFonts w:asciiTheme="majorHAnsi" w:eastAsia="Cambria" w:hAnsiTheme="majorHAnsi" w:cs="Cambria"/>
          <w:b/>
          <w:bCs/>
          <w:color w:val="000000"/>
          <w:sz w:val="20"/>
          <w:szCs w:val="20"/>
          <w:u w:color="000000"/>
          <w:lang w:eastAsia="es-ES"/>
        </w:rPr>
        <w:t xml:space="preserve"> </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9422BC">
        <w:rPr>
          <w:rFonts w:ascii="Cambria" w:eastAsia="Cambria" w:hAnsi="Cambria" w:cs="Cambria"/>
          <w:color w:val="000000"/>
          <w:sz w:val="20"/>
          <w:szCs w:val="20"/>
          <w:u w:color="000000"/>
          <w:lang w:eastAsia="es-ES"/>
        </w:rPr>
        <w:t xml:space="preserve">The petitioner asserts that after more than a decade, the facts being reported remain unpunished inasmuch as the criminal investigations were suspended and then reopened years later, preventing light from being shed on the case and the perpetrators from being punished, which is why he believes that the exception to the exhaustion of domestic remedies for unwarranted delay applies. The State, for its part, maintains that, given the complex nature of the facts alleged, such exception does not apply. </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9422BC">
        <w:rPr>
          <w:rFonts w:ascii="Cambria" w:eastAsia="Cambria" w:hAnsi="Cambria" w:cs="Cambria"/>
          <w:color w:val="000000"/>
          <w:sz w:val="20"/>
          <w:szCs w:val="20"/>
          <w:u w:color="000000"/>
          <w:lang w:eastAsia="es-ES"/>
        </w:rPr>
        <w:t xml:space="preserve">The Commission observes that the investigations of the reported violations of the human rights of the alleged victims that occurred between 2003 and 2006 were archived without having made headway and were subsequently reopened in 2014. The information furnished in this stage does not does not show substantive progress. In this regard, the IACHR notes that more than 13 years after it occurred, the death of Mr. Cano Martínez has not been solved, nor have the perpetrators thereof been prosecuted. </w:t>
      </w:r>
      <w:r w:rsidRPr="009422BC">
        <w:rPr>
          <w:rFonts w:ascii="Cambria" w:eastAsia="Cambria" w:hAnsi="Cambria" w:cs="Cambria"/>
          <w:color w:val="000000"/>
          <w:sz w:val="20"/>
          <w:szCs w:val="20"/>
          <w:u w:color="000000"/>
          <w:bdr w:val="none" w:sz="0" w:space="0" w:color="auto" w:frame="1"/>
          <w:lang w:eastAsia="es-ES"/>
        </w:rPr>
        <w:t xml:space="preserve">In view of the foregoing, the IACHR finds that in the instant case, the exception to prior exhaustion of domestic remedies provided for in Article 46(2)(c) of the American Convention applies, </w:t>
      </w:r>
      <w:r w:rsidRPr="009422BC">
        <w:rPr>
          <w:rFonts w:ascii="Cambria" w:eastAsia="Cambria" w:hAnsi="Cambria" w:cs="Cambria"/>
          <w:color w:val="000000"/>
          <w:sz w:val="20"/>
          <w:szCs w:val="20"/>
          <w:u w:color="000000"/>
          <w:lang w:eastAsia="es-ES"/>
        </w:rPr>
        <w:t xml:space="preserve">with the caveat that the causes and effects that have prevented exhaustion of domestic remedies in this case shall be examined, where relevant, in the report adopted by the Commission about the merits of the matter in order to determine whether or not they do indeed constitute violations of the Convention. </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bdr w:val="none" w:sz="0" w:space="0" w:color="auto" w:frame="1"/>
          <w:lang w:eastAsia="es-ES"/>
        </w:rPr>
      </w:pPr>
      <w:r w:rsidRPr="009422BC">
        <w:rPr>
          <w:rFonts w:ascii="Cambria" w:eastAsia="Cambria" w:hAnsi="Cambria" w:cs="Cambria"/>
          <w:color w:val="000000"/>
          <w:sz w:val="20"/>
          <w:szCs w:val="20"/>
          <w:u w:color="000000"/>
          <w:bdr w:val="none" w:sz="0" w:space="0" w:color="auto" w:frame="1"/>
          <w:lang w:eastAsia="es-ES"/>
        </w:rPr>
        <w:t xml:space="preserve">The petition was submitted to the Commission on August 20, 2008; the incidents alleged in the claim took place starting on November 5, 2003 and the effects thereof as far as the alleged denial of justice and forced displacement and other purported consequences, reportedly continue into the present day. Hence, in view of the context and characteristics of the instant case, the Commission finds that the petition was submitted within a reasonable timeframe and that the admissibility requirement having to do with the timeliness of the petition has thus been met. </w:t>
      </w:r>
    </w:p>
    <w:p w:rsidR="009422BC" w:rsidRPr="009422BC" w:rsidRDefault="009422BC" w:rsidP="009422BC">
      <w:pPr>
        <w:spacing w:before="240" w:after="240"/>
        <w:ind w:left="720"/>
        <w:jc w:val="both"/>
        <w:rPr>
          <w:rFonts w:asciiTheme="majorHAnsi" w:eastAsia="Cambria" w:hAnsiTheme="majorHAnsi" w:cs="Cambria"/>
          <w:b/>
          <w:color w:val="000000"/>
          <w:sz w:val="20"/>
          <w:szCs w:val="20"/>
          <w:u w:color="000000"/>
          <w:lang w:eastAsia="es-ES"/>
        </w:rPr>
      </w:pPr>
      <w:r w:rsidRPr="009422BC">
        <w:rPr>
          <w:rFonts w:asciiTheme="majorHAnsi" w:eastAsia="Cambria" w:hAnsiTheme="majorHAnsi" w:cs="Cambria"/>
          <w:b/>
          <w:bCs/>
          <w:color w:val="000000"/>
          <w:sz w:val="20"/>
          <w:szCs w:val="20"/>
          <w:u w:color="000000"/>
          <w:lang w:eastAsia="es-ES"/>
        </w:rPr>
        <w:t>VII.</w:t>
      </w:r>
      <w:r w:rsidRPr="009422BC">
        <w:rPr>
          <w:rFonts w:asciiTheme="majorHAnsi" w:eastAsia="Cambria" w:hAnsiTheme="majorHAnsi" w:cs="Cambria"/>
          <w:b/>
          <w:bCs/>
          <w:color w:val="000000"/>
          <w:sz w:val="20"/>
          <w:szCs w:val="20"/>
          <w:u w:color="000000"/>
          <w:lang w:eastAsia="es-ES"/>
        </w:rPr>
        <w:tab/>
        <w:t>ANALYSIS OF COLORABLE CLAIMS</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bdr w:val="none" w:sz="0" w:space="0" w:color="auto" w:frame="1"/>
          <w:lang w:eastAsia="es-ES"/>
        </w:rPr>
      </w:pPr>
      <w:r w:rsidRPr="009422BC">
        <w:rPr>
          <w:rFonts w:ascii="Cambria" w:eastAsia="Cambria" w:hAnsi="Cambria" w:cs="Cambria"/>
          <w:color w:val="000000"/>
          <w:sz w:val="20"/>
          <w:szCs w:val="20"/>
          <w:u w:color="000000"/>
          <w:lang w:eastAsia="es-ES"/>
        </w:rPr>
        <w:t xml:space="preserve">In view of the considerations of fact and law presented by the parties as well as the nature of the matter brought to its attention, the Commission believes the facts alleged with respect to the reported violation of the right to life of Luis Fernando Cano Martínez, as well as the subsequent displacement of his family and dispossession of the family property could characterize violations of Articles 4 (right to life) of the Convention with respect to Luis Fernando Cano Martínez, and of Article 5 (humane treatment), 17 (rights of the family), 21 (property), and 22 (movement and residence) of Convention with respect to the members of the Cano Martínez family, all in connection with Articles 1(1) (obligation to respect rights) and 2 (domestic legal effects), thereof. Furthermore, if it is proven that the alleged victims were children or adolescents at the time they were forcibly displaced, this too would constitute a violation of Article 19 (rights of the child) of the Convention. </w:t>
      </w:r>
      <w:r w:rsidRPr="009422BC">
        <w:rPr>
          <w:rFonts w:ascii="Cambria" w:eastAsia="Cambria" w:hAnsi="Cambria" w:cs="Cambria"/>
          <w:color w:val="000000"/>
          <w:sz w:val="20"/>
          <w:szCs w:val="20"/>
          <w:u w:color="000000"/>
          <w:bdr w:val="none" w:sz="0" w:space="0" w:color="auto" w:frame="1"/>
          <w:lang w:eastAsia="es-ES"/>
        </w:rPr>
        <w:t>In addition, with respect to all the alleged victims, the IACHR believes that the allegations about the violations of the rights to a fair trial and to judicial protection due to a lack of effort to uncover the truth and to the unwarranted delay thereof, if proven, could characterize potential violations of the rights enshrined in Articles 8 (right to a fair trial) and 25 (judicial protection) of the Convention, in connection with Articles 1(1) and 2, thereof.</w:t>
      </w:r>
    </w:p>
    <w:p w:rsidR="009422BC" w:rsidRPr="009422BC" w:rsidRDefault="009422BC" w:rsidP="009422B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bdr w:val="none" w:sz="0" w:space="0" w:color="auto" w:frame="1"/>
          <w:lang w:eastAsia="es-ES"/>
        </w:rPr>
      </w:pPr>
      <w:r w:rsidRPr="009422BC">
        <w:rPr>
          <w:rFonts w:asciiTheme="majorHAnsi" w:eastAsia="Cambria" w:hAnsiTheme="majorHAnsi" w:cs="Cambria"/>
          <w:color w:val="000000"/>
          <w:sz w:val="20"/>
          <w:szCs w:val="20"/>
          <w:u w:color="000000"/>
          <w:lang w:eastAsia="es-ES"/>
        </w:rPr>
        <w:t xml:space="preserve">As to the claim regarding the alleged violation of the rights contained in Articles 11 (right to privacy) and 24 </w:t>
      </w:r>
      <w:r w:rsidRPr="009422BC">
        <w:rPr>
          <w:rFonts w:ascii="Cambria" w:eastAsia="Cambria" w:hAnsi="Cambria" w:cs="Cambria"/>
          <w:color w:val="000000"/>
          <w:sz w:val="20"/>
          <w:szCs w:val="20"/>
          <w:u w:color="000000"/>
          <w:lang w:eastAsia="es-ES"/>
        </w:rPr>
        <w:t xml:space="preserve">(right to equal protection) </w:t>
      </w:r>
      <w:r w:rsidRPr="009422BC">
        <w:rPr>
          <w:rFonts w:asciiTheme="majorHAnsi" w:eastAsia="Cambria" w:hAnsiTheme="majorHAnsi" w:cs="Cambria"/>
          <w:color w:val="000000"/>
          <w:sz w:val="20"/>
          <w:szCs w:val="20"/>
          <w:u w:color="000000"/>
          <w:lang w:eastAsia="es-ES"/>
        </w:rPr>
        <w:t xml:space="preserve">of the Convention, the Commission observes that the petitioner </w:t>
      </w:r>
      <w:r w:rsidRPr="009422BC">
        <w:rPr>
          <w:rFonts w:asciiTheme="majorHAnsi" w:eastAsia="Cambria" w:hAnsiTheme="majorHAnsi" w:cs="Cambria"/>
          <w:color w:val="000000"/>
          <w:sz w:val="20"/>
          <w:szCs w:val="20"/>
          <w:u w:color="000000"/>
          <w:lang w:eastAsia="es-ES"/>
        </w:rPr>
        <w:lastRenderedPageBreak/>
        <w:t>offers no arguments or foundation for this reported violation and therefore such claim must be declared inadmissible.</w:t>
      </w:r>
    </w:p>
    <w:p w:rsidR="009422BC" w:rsidRPr="009422BC" w:rsidRDefault="009422BC" w:rsidP="009422BC">
      <w:pPr>
        <w:spacing w:before="240" w:after="240"/>
        <w:ind w:left="720"/>
        <w:jc w:val="both"/>
        <w:rPr>
          <w:rFonts w:asciiTheme="majorHAnsi" w:eastAsia="Cambria" w:hAnsiTheme="majorHAnsi" w:cs="Cambria"/>
          <w:b/>
          <w:bCs/>
          <w:color w:val="000000"/>
          <w:sz w:val="20"/>
          <w:szCs w:val="20"/>
          <w:u w:color="000000"/>
          <w:lang w:eastAsia="es-ES"/>
        </w:rPr>
      </w:pPr>
      <w:r w:rsidRPr="009422BC">
        <w:rPr>
          <w:rFonts w:asciiTheme="majorHAnsi" w:eastAsia="Cambria" w:hAnsiTheme="majorHAnsi" w:cs="Cambria"/>
          <w:b/>
          <w:bCs/>
          <w:color w:val="000000"/>
          <w:sz w:val="20"/>
          <w:szCs w:val="20"/>
          <w:u w:color="000000"/>
          <w:lang w:eastAsia="es-ES"/>
        </w:rPr>
        <w:t xml:space="preserve">VIII. </w:t>
      </w:r>
      <w:r w:rsidRPr="009422BC">
        <w:rPr>
          <w:rFonts w:asciiTheme="majorHAnsi" w:eastAsia="Cambria" w:hAnsiTheme="majorHAnsi" w:cs="Cambria"/>
          <w:b/>
          <w:bCs/>
          <w:color w:val="000000"/>
          <w:sz w:val="20"/>
          <w:szCs w:val="20"/>
          <w:u w:color="000000"/>
          <w:lang w:eastAsia="es-ES"/>
        </w:rPr>
        <w:tab/>
        <w:t>DECISION</w:t>
      </w:r>
    </w:p>
    <w:p w:rsidR="009422BC" w:rsidRPr="009422BC" w:rsidRDefault="009422BC" w:rsidP="009422B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Cambria" w:eastAsia="Cambria" w:hAnsi="Cambria" w:cs="Cambria"/>
          <w:color w:val="000000"/>
          <w:sz w:val="20"/>
          <w:szCs w:val="20"/>
          <w:u w:color="000000"/>
          <w:lang w:eastAsia="es-ES"/>
        </w:rPr>
      </w:pPr>
      <w:r w:rsidRPr="009422BC">
        <w:rPr>
          <w:rFonts w:asciiTheme="majorHAnsi" w:eastAsia="Cambria" w:hAnsiTheme="majorHAnsi" w:cs="Cambria"/>
          <w:color w:val="000000"/>
          <w:sz w:val="20"/>
          <w:szCs w:val="20"/>
          <w:u w:color="000000"/>
          <w:lang w:eastAsia="es-ES"/>
        </w:rPr>
        <w:t>To find the present petition admissible in relation to Articles 4, 5, 8, 17, 19, 21, 22, and 25 of the American Convention, in accordance with Articles 1(1) and 2, thereof;</w:t>
      </w:r>
    </w:p>
    <w:p w:rsidR="009422BC" w:rsidRPr="009422BC" w:rsidRDefault="009422BC" w:rsidP="009422B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Cambria" w:eastAsia="Cambria" w:hAnsi="Cambria" w:cs="Cambria"/>
          <w:color w:val="000000"/>
          <w:sz w:val="20"/>
          <w:szCs w:val="20"/>
          <w:u w:color="000000"/>
          <w:lang w:eastAsia="es-ES"/>
        </w:rPr>
      </w:pPr>
      <w:r w:rsidRPr="009422BC">
        <w:rPr>
          <w:rFonts w:asciiTheme="majorHAnsi" w:eastAsia="Cambria" w:hAnsiTheme="majorHAnsi" w:cs="Cambria"/>
          <w:color w:val="000000"/>
          <w:sz w:val="20"/>
          <w:szCs w:val="20"/>
          <w:u w:color="000000"/>
          <w:lang w:eastAsia="es-ES"/>
        </w:rPr>
        <w:t>To find the present petition inadmissible in relation to Articles 11 and 24 of the American Convention;</w:t>
      </w:r>
    </w:p>
    <w:p w:rsidR="009422BC" w:rsidRPr="009422BC" w:rsidRDefault="009422BC" w:rsidP="009422B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0"/>
        <w:jc w:val="both"/>
        <w:rPr>
          <w:rFonts w:ascii="Cambria" w:eastAsia="Cambria" w:hAnsi="Cambria" w:cs="Cambria"/>
          <w:color w:val="000000"/>
          <w:sz w:val="20"/>
          <w:szCs w:val="20"/>
          <w:u w:color="000000"/>
          <w:lang w:eastAsia="es-ES"/>
        </w:rPr>
      </w:pPr>
      <w:r w:rsidRPr="009422BC">
        <w:rPr>
          <w:rFonts w:asciiTheme="majorHAnsi" w:eastAsia="Cambria" w:hAnsiTheme="majorHAnsi" w:cs="Cambria"/>
          <w:color w:val="000000"/>
          <w:sz w:val="20"/>
          <w:szCs w:val="20"/>
          <w:u w:color="000000"/>
          <w:lang w:eastAsia="es-ES"/>
        </w:rPr>
        <w:t>To notify the parties of this decision;</w:t>
      </w:r>
    </w:p>
    <w:p w:rsidR="009422BC" w:rsidRPr="009422BC" w:rsidRDefault="009422BC" w:rsidP="009422B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0"/>
        <w:jc w:val="both"/>
        <w:rPr>
          <w:rFonts w:ascii="Cambria" w:eastAsia="Cambria" w:hAnsi="Cambria" w:cs="Cambria"/>
          <w:color w:val="000000"/>
          <w:sz w:val="20"/>
          <w:szCs w:val="20"/>
          <w:u w:color="000000"/>
          <w:lang w:eastAsia="es-ES"/>
        </w:rPr>
      </w:pPr>
      <w:r w:rsidRPr="009422BC">
        <w:rPr>
          <w:rFonts w:asciiTheme="majorHAnsi" w:eastAsia="Cambria" w:hAnsiTheme="majorHAnsi" w:cs="Cambria"/>
          <w:color w:val="000000"/>
          <w:sz w:val="20"/>
          <w:szCs w:val="20"/>
          <w:u w:color="000000"/>
          <w:lang w:eastAsia="es-ES"/>
        </w:rPr>
        <w:t>To continue with the analysis on the merits; and</w:t>
      </w:r>
    </w:p>
    <w:p w:rsidR="009422BC" w:rsidRPr="00F67C11" w:rsidRDefault="009422BC" w:rsidP="009422B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Cambria" w:eastAsia="Cambria" w:hAnsi="Cambria" w:cs="Cambria"/>
          <w:color w:val="000000"/>
          <w:sz w:val="20"/>
          <w:szCs w:val="20"/>
          <w:u w:color="000000"/>
          <w:lang w:eastAsia="es-ES"/>
        </w:rPr>
      </w:pPr>
      <w:r w:rsidRPr="009422BC">
        <w:rPr>
          <w:rFonts w:asciiTheme="majorHAnsi" w:eastAsia="Cambria" w:hAnsiTheme="majorHAnsi" w:cs="Cambria"/>
          <w:color w:val="000000"/>
          <w:sz w:val="20"/>
          <w:szCs w:val="20"/>
          <w:u w:color="000000"/>
          <w:lang w:eastAsia="es-ES"/>
        </w:rPr>
        <w:t>To publish this decision and include it in its Annual Report to the General Assembly of the Organization of American States.</w:t>
      </w:r>
    </w:p>
    <w:p w:rsidR="00F67C11" w:rsidRPr="00316EBF" w:rsidRDefault="00F67C11" w:rsidP="00F67C1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316EBF">
        <w:rPr>
          <w:rFonts w:ascii="Cambria" w:eastAsia="Times New Roman" w:hAnsi="Cambria"/>
          <w:snapToGrid w:val="0"/>
          <w:spacing w:val="-2"/>
          <w:sz w:val="20"/>
          <w:szCs w:val="20"/>
          <w:bdr w:val="none" w:sz="0" w:space="0" w:color="auto"/>
        </w:rPr>
        <w:t xml:space="preserve">Done and signed in the city of </w:t>
      </w:r>
      <w:r>
        <w:rPr>
          <w:rFonts w:ascii="Cambria" w:eastAsia="Times New Roman" w:hAnsi="Cambria"/>
          <w:snapToGrid w:val="0"/>
          <w:spacing w:val="-2"/>
          <w:sz w:val="20"/>
          <w:szCs w:val="20"/>
          <w:bdr w:val="none" w:sz="0" w:space="0" w:color="auto"/>
        </w:rPr>
        <w:t>San Francisco, California</w:t>
      </w:r>
      <w:r w:rsidRPr="00316EBF">
        <w:rPr>
          <w:rFonts w:ascii="Cambria" w:eastAsia="Times New Roman" w:hAnsi="Cambria"/>
          <w:snapToGrid w:val="0"/>
          <w:spacing w:val="-2"/>
          <w:sz w:val="20"/>
          <w:szCs w:val="20"/>
          <w:bdr w:val="none" w:sz="0" w:space="0" w:color="auto"/>
        </w:rPr>
        <w:t xml:space="preserve">, on the </w:t>
      </w:r>
      <w:r>
        <w:rPr>
          <w:rFonts w:ascii="Cambria" w:eastAsia="Times New Roman" w:hAnsi="Cambria"/>
          <w:snapToGrid w:val="0"/>
          <w:spacing w:val="-2"/>
          <w:sz w:val="20"/>
          <w:szCs w:val="20"/>
          <w:bdr w:val="none" w:sz="0" w:space="0" w:color="auto"/>
        </w:rPr>
        <w:t>27</w:t>
      </w:r>
      <w:r w:rsidRPr="00316EBF">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February</w:t>
      </w:r>
      <w:r w:rsidRPr="00316EBF">
        <w:rPr>
          <w:rFonts w:ascii="Cambria" w:eastAsia="Times New Roman" w:hAnsi="Cambria"/>
          <w:snapToGrid w:val="0"/>
          <w:spacing w:val="-2"/>
          <w:sz w:val="20"/>
          <w:szCs w:val="20"/>
          <w:bdr w:val="none" w:sz="0" w:space="0" w:color="auto"/>
        </w:rPr>
        <w:t>, 201</w:t>
      </w:r>
      <w:r>
        <w:rPr>
          <w:rFonts w:ascii="Cambria" w:eastAsia="Times New Roman" w:hAnsi="Cambria"/>
          <w:snapToGrid w:val="0"/>
          <w:spacing w:val="-2"/>
          <w:sz w:val="20"/>
          <w:szCs w:val="20"/>
          <w:bdr w:val="none" w:sz="0" w:space="0" w:color="auto"/>
        </w:rPr>
        <w:t>7</w:t>
      </w:r>
      <w:r w:rsidRPr="00316EBF">
        <w:rPr>
          <w:rFonts w:ascii="Cambria" w:eastAsia="Times New Roman" w:hAnsi="Cambria"/>
          <w:snapToGrid w:val="0"/>
          <w:spacing w:val="-2"/>
          <w:sz w:val="20"/>
          <w:szCs w:val="20"/>
          <w:bdr w:val="none" w:sz="0" w:space="0" w:color="auto"/>
        </w:rPr>
        <w:t xml:space="preserve">. (Signed):  </w:t>
      </w:r>
      <w:r w:rsidRPr="00316EBF">
        <w:rPr>
          <w:rFonts w:ascii="Cambria" w:eastAsia="Times New Roman" w:hAnsi="Cambria" w:cs="Arial"/>
          <w:noProof/>
          <w:snapToGrid w:val="0"/>
          <w:spacing w:val="-2"/>
          <w:sz w:val="20"/>
          <w:szCs w:val="20"/>
          <w:bdr w:val="none" w:sz="0" w:space="0" w:color="auto"/>
        </w:rPr>
        <w:t xml:space="preserve">James L. Cavallaro, </w:t>
      </w:r>
      <w:r w:rsidRPr="00316EBF">
        <w:rPr>
          <w:rFonts w:ascii="Cambria" w:eastAsia="Times New Roman" w:hAnsi="Cambria"/>
          <w:snapToGrid w:val="0"/>
          <w:sz w:val="20"/>
          <w:szCs w:val="20"/>
          <w:bdr w:val="none" w:sz="0" w:space="0" w:color="auto"/>
        </w:rPr>
        <w:t xml:space="preserve">President; </w:t>
      </w:r>
      <w:r w:rsidRPr="00316EBF">
        <w:rPr>
          <w:rFonts w:ascii="Cambria" w:eastAsia="Times New Roman" w:hAnsi="Cambria" w:cs="Arial"/>
          <w:noProof/>
          <w:snapToGrid w:val="0"/>
          <w:spacing w:val="-2"/>
          <w:sz w:val="20"/>
          <w:szCs w:val="20"/>
          <w:bdr w:val="none" w:sz="0" w:space="0" w:color="auto"/>
        </w:rPr>
        <w:t>Francisco José Eguiguren</w:t>
      </w:r>
      <w:r w:rsidRPr="00316EBF">
        <w:rPr>
          <w:rFonts w:ascii="Cambria" w:eastAsia="Times New Roman" w:hAnsi="Cambria"/>
          <w:snapToGrid w:val="0"/>
          <w:spacing w:val="-2"/>
          <w:sz w:val="20"/>
          <w:szCs w:val="20"/>
          <w:bdr w:val="none" w:sz="0" w:space="0" w:color="auto"/>
        </w:rPr>
        <w:t>, First Vice President;</w:t>
      </w:r>
      <w:r w:rsidRPr="00316EBF">
        <w:rPr>
          <w:rFonts w:ascii="Cambria" w:eastAsia="Times New Roman" w:hAnsi="Cambria" w:cs="Arial"/>
          <w:noProof/>
          <w:snapToGrid w:val="0"/>
          <w:spacing w:val="-2"/>
          <w:sz w:val="20"/>
          <w:szCs w:val="20"/>
          <w:bdr w:val="none" w:sz="0" w:space="0" w:color="auto"/>
        </w:rPr>
        <w:t xml:space="preserve"> Margarette May Macaulay, Second Vice President;</w:t>
      </w:r>
      <w:r w:rsidRPr="00316EBF">
        <w:rPr>
          <w:rFonts w:ascii="Cambria" w:eastAsia="Times New Roman" w:hAnsi="Cambria"/>
          <w:snapToGrid w:val="0"/>
          <w:sz w:val="20"/>
          <w:szCs w:val="20"/>
          <w:bdr w:val="none" w:sz="0" w:space="0" w:color="auto"/>
        </w:rPr>
        <w:t xml:space="preserve"> </w:t>
      </w:r>
      <w:r w:rsidRPr="00316EBF">
        <w:rPr>
          <w:rFonts w:ascii="Cambria" w:eastAsia="Times New Roman" w:hAnsi="Cambria" w:cs="Arial"/>
          <w:noProof/>
          <w:snapToGrid w:val="0"/>
          <w:spacing w:val="-2"/>
          <w:sz w:val="20"/>
          <w:szCs w:val="20"/>
          <w:bdr w:val="none" w:sz="0" w:space="0" w:color="auto"/>
        </w:rPr>
        <w:t xml:space="preserve">José de Jesús Orozco Henríquez, </w:t>
      </w:r>
      <w:r>
        <w:rPr>
          <w:rFonts w:ascii="Cambria" w:eastAsia="Times New Roman" w:hAnsi="Cambria" w:cs="Arial"/>
          <w:noProof/>
          <w:snapToGrid w:val="0"/>
          <w:spacing w:val="-2"/>
          <w:sz w:val="20"/>
          <w:szCs w:val="20"/>
          <w:bdr w:val="none" w:sz="0" w:space="0" w:color="auto"/>
        </w:rPr>
        <w:t>and</w:t>
      </w:r>
      <w:r w:rsidRPr="00316EBF">
        <w:rPr>
          <w:rFonts w:ascii="Cambria" w:eastAsia="Times New Roman" w:hAnsi="Cambria" w:cs="Arial"/>
          <w:noProof/>
          <w:snapToGrid w:val="0"/>
          <w:spacing w:val="-2"/>
          <w:sz w:val="20"/>
          <w:szCs w:val="20"/>
          <w:bdr w:val="none" w:sz="0" w:space="0" w:color="auto"/>
        </w:rPr>
        <w:t xml:space="preserve"> Esmeralda E. Arosemena Bernal de Troitiño</w:t>
      </w:r>
      <w:r>
        <w:rPr>
          <w:rFonts w:ascii="Cambria" w:eastAsia="Times New Roman" w:hAnsi="Cambria" w:cs="Arial"/>
          <w:noProof/>
          <w:snapToGrid w:val="0"/>
          <w:spacing w:val="-2"/>
          <w:sz w:val="20"/>
          <w:szCs w:val="20"/>
          <w:bdr w:val="none" w:sz="0" w:space="0" w:color="auto"/>
        </w:rPr>
        <w:t xml:space="preserve">, </w:t>
      </w:r>
      <w:r w:rsidRPr="00316EBF">
        <w:rPr>
          <w:rFonts w:ascii="Cambria" w:eastAsia="Times New Roman" w:hAnsi="Cambria"/>
          <w:snapToGrid w:val="0"/>
          <w:spacing w:val="-2"/>
          <w:sz w:val="20"/>
          <w:szCs w:val="20"/>
          <w:bdr w:val="none" w:sz="0" w:space="0" w:color="auto"/>
        </w:rPr>
        <w:t>Commissioners.</w:t>
      </w:r>
    </w:p>
    <w:p w:rsidR="00F67C11" w:rsidRPr="00316EBF" w:rsidRDefault="00F67C11" w:rsidP="00F67C1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Cambria" w:eastAsia="Times New Roman" w:hAnsi="Cambria"/>
          <w:snapToGrid w:val="0"/>
          <w:spacing w:val="-2"/>
          <w:sz w:val="20"/>
          <w:szCs w:val="20"/>
          <w:bdr w:val="none" w:sz="0" w:space="0" w:color="auto"/>
        </w:rPr>
      </w:pPr>
    </w:p>
    <w:p w:rsidR="009422BC" w:rsidRPr="009422BC" w:rsidRDefault="009422BC" w:rsidP="009422BC">
      <w:pPr>
        <w:rPr>
          <w:rFonts w:ascii="Cambria" w:hAnsi="Cambria" w:cs="Calibri"/>
          <w:sz w:val="20"/>
          <w:szCs w:val="20"/>
        </w:rPr>
      </w:pPr>
    </w:p>
    <w:p w:rsidR="009422BC" w:rsidRPr="009422BC" w:rsidRDefault="009422BC" w:rsidP="009422BC">
      <w:pPr>
        <w:rPr>
          <w:rFonts w:ascii="Cambria" w:hAnsi="Cambria" w:cs="Calibri"/>
          <w:sz w:val="20"/>
          <w:szCs w:val="20"/>
        </w:rPr>
      </w:pPr>
    </w:p>
    <w:p w:rsidR="009422BC" w:rsidRPr="009422BC" w:rsidRDefault="009422BC" w:rsidP="009422BC">
      <w:pPr>
        <w:rPr>
          <w:rFonts w:ascii="Cambria" w:hAnsi="Cambria" w:cs="Calibri"/>
          <w:sz w:val="20"/>
          <w:szCs w:val="20"/>
        </w:rPr>
      </w:pPr>
    </w:p>
    <w:p w:rsidR="009422BC" w:rsidRPr="009422BC" w:rsidRDefault="009422BC" w:rsidP="009422BC">
      <w:pPr>
        <w:rPr>
          <w:rFonts w:ascii="Cambria" w:hAnsi="Cambria" w:cs="Calibri"/>
          <w:sz w:val="20"/>
          <w:szCs w:val="20"/>
        </w:rPr>
      </w:pPr>
    </w:p>
    <w:p w:rsidR="00C55560" w:rsidRPr="00145EDC" w:rsidRDefault="00C55560" w:rsidP="00F67C11">
      <w:pPr>
        <w:rPr>
          <w:rFonts w:asciiTheme="majorHAnsi" w:hAnsiTheme="majorHAnsi"/>
          <w:sz w:val="20"/>
          <w:szCs w:val="20"/>
        </w:rPr>
      </w:pPr>
    </w:p>
    <w:sectPr w:rsidR="00C55560" w:rsidRPr="00145EDC"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BF" w:rsidRDefault="00D573BF" w:rsidP="00036A8A">
      <w:r>
        <w:separator/>
      </w:r>
    </w:p>
  </w:endnote>
  <w:endnote w:type="continuationSeparator" w:id="0">
    <w:p w:rsidR="00D573BF" w:rsidRDefault="00D573B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C1" w:rsidRDefault="00D75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758C1">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BF" w:rsidRPr="00036A8A" w:rsidRDefault="00D573B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573BF" w:rsidRPr="00036A8A" w:rsidRDefault="00D573BF" w:rsidP="00036A8A">
      <w:pPr>
        <w:rPr>
          <w:rFonts w:asciiTheme="majorHAnsi" w:hAnsiTheme="majorHAnsi"/>
          <w:sz w:val="16"/>
          <w:szCs w:val="16"/>
        </w:rPr>
      </w:pPr>
      <w:r w:rsidRPr="00036A8A">
        <w:rPr>
          <w:rFonts w:asciiTheme="majorHAnsi" w:hAnsiTheme="majorHAnsi"/>
          <w:sz w:val="16"/>
          <w:szCs w:val="16"/>
        </w:rPr>
        <w:separator/>
      </w:r>
    </w:p>
    <w:p w:rsidR="00D573BF" w:rsidRPr="00036A8A" w:rsidRDefault="00D573B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D573BF" w:rsidRPr="0093441A" w:rsidRDefault="00D573B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9422BC" w:rsidRPr="00213F66" w:rsidRDefault="009422BC" w:rsidP="009422BC">
      <w:pPr>
        <w:pStyle w:val="FootnoteText"/>
        <w:spacing w:before="120"/>
        <w:ind w:firstLine="720"/>
        <w:jc w:val="both"/>
        <w:rPr>
          <w:rFonts w:asciiTheme="majorHAnsi" w:hAnsiTheme="majorHAnsi"/>
          <w:sz w:val="16"/>
          <w:szCs w:val="16"/>
        </w:rPr>
      </w:pPr>
      <w:r w:rsidRPr="00213F66">
        <w:rPr>
          <w:rStyle w:val="FootnoteReference"/>
          <w:rFonts w:asciiTheme="majorHAnsi" w:hAnsiTheme="majorHAnsi"/>
          <w:sz w:val="16"/>
          <w:szCs w:val="16"/>
        </w:rPr>
        <w:footnoteRef/>
      </w:r>
      <w:r w:rsidRPr="00213F66">
        <w:rPr>
          <w:rFonts w:asciiTheme="majorHAnsi" w:hAnsiTheme="majorHAnsi"/>
          <w:sz w:val="16"/>
          <w:szCs w:val="16"/>
        </w:rPr>
        <w:t xml:space="preserve">  </w:t>
      </w:r>
      <w:r>
        <w:rPr>
          <w:rFonts w:asciiTheme="majorHAnsi" w:hAnsiTheme="majorHAnsi"/>
          <w:sz w:val="16"/>
          <w:szCs w:val="16"/>
        </w:rPr>
        <w:t>Commissioner Enrique Gil Botero, a Colombian national, did not take part in the discussion or voting on this petition pursuant to Article</w:t>
      </w:r>
      <w:r>
        <w:rPr>
          <w:rFonts w:asciiTheme="majorHAnsi" w:hAnsiTheme="majorHAnsi" w:cs="Arial"/>
          <w:sz w:val="16"/>
          <w:szCs w:val="16"/>
        </w:rPr>
        <w:t xml:space="preserve"> 17(2)(a) of the Inter-American Commission’s Rules of Procedure</w:t>
      </w:r>
      <w:r w:rsidRPr="00213F66">
        <w:rPr>
          <w:rFonts w:asciiTheme="majorHAnsi" w:hAnsiTheme="majorHAnsi" w:cs="Arial"/>
          <w:sz w:val="16"/>
          <w:szCs w:val="16"/>
        </w:rPr>
        <w:t>.</w:t>
      </w:r>
    </w:p>
  </w:footnote>
  <w:footnote w:id="3">
    <w:p w:rsidR="009422BC" w:rsidRPr="00213F66" w:rsidRDefault="009422BC" w:rsidP="009422BC">
      <w:pPr>
        <w:pStyle w:val="FootnoteText"/>
        <w:spacing w:before="120"/>
        <w:ind w:firstLine="720"/>
        <w:jc w:val="both"/>
        <w:rPr>
          <w:rFonts w:asciiTheme="majorHAnsi" w:hAnsiTheme="majorHAnsi"/>
          <w:sz w:val="16"/>
          <w:szCs w:val="16"/>
        </w:rPr>
      </w:pPr>
      <w:r w:rsidRPr="00213F66">
        <w:rPr>
          <w:rStyle w:val="FootnoteReference"/>
          <w:rFonts w:asciiTheme="majorHAnsi" w:hAnsiTheme="majorHAnsi"/>
          <w:sz w:val="16"/>
          <w:szCs w:val="16"/>
        </w:rPr>
        <w:footnoteRef/>
      </w:r>
      <w:r w:rsidRPr="00213F66">
        <w:rPr>
          <w:rFonts w:asciiTheme="majorHAnsi" w:hAnsiTheme="majorHAnsi"/>
          <w:sz w:val="16"/>
          <w:szCs w:val="16"/>
        </w:rPr>
        <w:t xml:space="preserve"> </w:t>
      </w:r>
      <w:r>
        <w:rPr>
          <w:rFonts w:asciiTheme="majorHAnsi" w:hAnsiTheme="majorHAnsi"/>
          <w:sz w:val="16"/>
          <w:szCs w:val="16"/>
        </w:rPr>
        <w:t>The petition refers to 27 alleged victims who are listed individually in the attached document</w:t>
      </w:r>
      <w:r w:rsidRPr="00213F66">
        <w:rPr>
          <w:rFonts w:asciiTheme="majorHAnsi" w:hAnsiTheme="majorHAnsi"/>
          <w:sz w:val="16"/>
          <w:szCs w:val="16"/>
        </w:rPr>
        <w:t>.</w:t>
      </w:r>
    </w:p>
  </w:footnote>
  <w:footnote w:id="4">
    <w:p w:rsidR="009422BC" w:rsidRPr="00213F66" w:rsidRDefault="009422BC" w:rsidP="009422BC">
      <w:pPr>
        <w:pStyle w:val="FootnoteText"/>
        <w:spacing w:before="120"/>
        <w:ind w:firstLine="720"/>
        <w:jc w:val="both"/>
        <w:rPr>
          <w:rFonts w:asciiTheme="majorHAnsi" w:hAnsiTheme="majorHAnsi"/>
          <w:sz w:val="16"/>
          <w:szCs w:val="16"/>
        </w:rPr>
      </w:pPr>
      <w:r w:rsidRPr="00213F66">
        <w:rPr>
          <w:rStyle w:val="FootnoteReference"/>
          <w:rFonts w:asciiTheme="majorHAnsi" w:hAnsiTheme="majorHAnsi"/>
          <w:sz w:val="16"/>
          <w:szCs w:val="16"/>
        </w:rPr>
        <w:footnoteRef/>
      </w:r>
      <w:r w:rsidRPr="00213F66">
        <w:rPr>
          <w:rFonts w:asciiTheme="majorHAnsi" w:hAnsiTheme="majorHAnsi"/>
          <w:sz w:val="16"/>
          <w:szCs w:val="16"/>
        </w:rPr>
        <w:t xml:space="preserve"> </w:t>
      </w:r>
      <w:r>
        <w:rPr>
          <w:rFonts w:asciiTheme="majorHAnsi" w:hAnsiTheme="majorHAnsi"/>
          <w:sz w:val="16"/>
          <w:szCs w:val="16"/>
        </w:rPr>
        <w:t xml:space="preserve">Hereinafter, </w:t>
      </w:r>
      <w:r w:rsidRPr="00213F66">
        <w:rPr>
          <w:rFonts w:asciiTheme="majorHAnsi" w:hAnsiTheme="majorHAnsi"/>
          <w:sz w:val="16"/>
          <w:szCs w:val="16"/>
        </w:rPr>
        <w:t>"</w:t>
      </w:r>
      <w:r>
        <w:rPr>
          <w:rFonts w:asciiTheme="majorHAnsi" w:hAnsiTheme="majorHAnsi"/>
          <w:sz w:val="16"/>
          <w:szCs w:val="16"/>
        </w:rPr>
        <w:t>the Convention” or “the American Convention.”</w:t>
      </w:r>
    </w:p>
  </w:footnote>
  <w:footnote w:id="5">
    <w:p w:rsidR="009422BC" w:rsidRPr="00213F66" w:rsidRDefault="009422BC" w:rsidP="009422BC">
      <w:pPr>
        <w:pStyle w:val="FootnoteText"/>
        <w:spacing w:before="120"/>
        <w:ind w:firstLine="720"/>
        <w:jc w:val="both"/>
        <w:rPr>
          <w:rFonts w:asciiTheme="majorHAnsi" w:hAnsiTheme="majorHAnsi"/>
          <w:sz w:val="16"/>
          <w:szCs w:val="16"/>
        </w:rPr>
      </w:pPr>
      <w:r w:rsidRPr="00213F66">
        <w:rPr>
          <w:rStyle w:val="FootnoteReference"/>
          <w:rFonts w:asciiTheme="majorHAnsi" w:hAnsiTheme="majorHAnsi"/>
          <w:sz w:val="16"/>
          <w:szCs w:val="16"/>
        </w:rPr>
        <w:footnoteRef/>
      </w:r>
      <w:r w:rsidRPr="00213F66">
        <w:rPr>
          <w:rFonts w:asciiTheme="majorHAnsi" w:hAnsiTheme="majorHAnsi"/>
          <w:sz w:val="16"/>
          <w:szCs w:val="16"/>
        </w:rPr>
        <w:t xml:space="preserve"> </w:t>
      </w:r>
      <w:r>
        <w:rPr>
          <w:rFonts w:asciiTheme="majorHAnsi" w:hAnsiTheme="majorHAnsi"/>
          <w:sz w:val="16"/>
          <w:szCs w:val="16"/>
        </w:rPr>
        <w:t>All observations were duly forwarded to the opposing party</w:t>
      </w:r>
      <w:r w:rsidRPr="00213F66">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573B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C1" w:rsidRDefault="00D7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3FD899F0"/>
    <w:lvl w:ilvl="0" w:tplc="0F3EFB8C">
      <w:start w:val="1"/>
      <w:numFmt w:val="decimal"/>
      <w:lvlText w:val="%1."/>
      <w:lvlJc w:val="left"/>
      <w:pPr>
        <w:tabs>
          <w:tab w:val="num" w:pos="1440"/>
        </w:tabs>
        <w:ind w:left="720" w:firstLine="720"/>
      </w:pPr>
      <w:rPr>
        <w:rFonts w:asciiTheme="majorHAnsi" w:eastAsia="Arial Unicode MS" w:hAnsiTheme="majorHAnsi" w:cs="Times New Roman"/>
        <w:i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8843F4"/>
    <w:multiLevelType w:val="hybridMultilevel"/>
    <w:tmpl w:val="B0D42464"/>
    <w:lvl w:ilvl="0" w:tplc="EFE835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1"/>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5"/>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0"/>
  </w:num>
  <w:num w:numId="95">
    <w:abstractNumId w:val="41"/>
  </w:num>
  <w:num w:numId="96">
    <w:abstractNumId w:val="53"/>
  </w:num>
  <w:num w:numId="97">
    <w:abstractNumId w:val="51"/>
  </w:num>
  <w:num w:numId="98">
    <w:abstractNumId w:val="46"/>
  </w:num>
  <w:num w:numId="99">
    <w:abstractNumId w:val="36"/>
  </w:num>
  <w:num w:numId="100">
    <w:abstractNumId w:val="3"/>
  </w:num>
  <w:num w:numId="101">
    <w:abstractNumId w:val="25"/>
  </w:num>
  <w:num w:numId="102">
    <w:abstractNumId w:val="48"/>
  </w:num>
  <w:num w:numId="103">
    <w:abstractNumId w:val="5"/>
  </w:num>
  <w:num w:numId="104">
    <w:abstractNumId w:val="43"/>
  </w:num>
  <w:num w:numId="105">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0E1CA0"/>
    <w:rsid w:val="00113713"/>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422BC"/>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76623"/>
    <w:rsid w:val="00BA276C"/>
    <w:rsid w:val="00BB306F"/>
    <w:rsid w:val="00BD232B"/>
    <w:rsid w:val="00BD4B89"/>
    <w:rsid w:val="00C21762"/>
    <w:rsid w:val="00C24543"/>
    <w:rsid w:val="00C256A2"/>
    <w:rsid w:val="00C3492D"/>
    <w:rsid w:val="00C55560"/>
    <w:rsid w:val="00C57D83"/>
    <w:rsid w:val="00C66B72"/>
    <w:rsid w:val="00C9567A"/>
    <w:rsid w:val="00CB2660"/>
    <w:rsid w:val="00CC5E90"/>
    <w:rsid w:val="00CD046C"/>
    <w:rsid w:val="00CE5199"/>
    <w:rsid w:val="00CE66D5"/>
    <w:rsid w:val="00D34786"/>
    <w:rsid w:val="00D40A1E"/>
    <w:rsid w:val="00D573BF"/>
    <w:rsid w:val="00D712D3"/>
    <w:rsid w:val="00D71422"/>
    <w:rsid w:val="00D7145E"/>
    <w:rsid w:val="00D7558D"/>
    <w:rsid w:val="00D758C1"/>
    <w:rsid w:val="00D81D92"/>
    <w:rsid w:val="00D93446"/>
    <w:rsid w:val="00DA7B5F"/>
    <w:rsid w:val="00E43157"/>
    <w:rsid w:val="00E533FF"/>
    <w:rsid w:val="00E709B3"/>
    <w:rsid w:val="00E8789F"/>
    <w:rsid w:val="00E92E2F"/>
    <w:rsid w:val="00E97B71"/>
    <w:rsid w:val="00EB454D"/>
    <w:rsid w:val="00EE3522"/>
    <w:rsid w:val="00EF619B"/>
    <w:rsid w:val="00F00B55"/>
    <w:rsid w:val="00F1380F"/>
    <w:rsid w:val="00F14F0E"/>
    <w:rsid w:val="00F24C29"/>
    <w:rsid w:val="00F253CC"/>
    <w:rsid w:val="00F56BA5"/>
    <w:rsid w:val="00F644E6"/>
    <w:rsid w:val="00F67C11"/>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94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94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53C53E860D41499716C8843DA0E9BA"/>
        <w:category>
          <w:name w:val="General"/>
          <w:gallery w:val="placeholder"/>
        </w:category>
        <w:types>
          <w:type w:val="bbPlcHdr"/>
        </w:types>
        <w:behaviors>
          <w:behavior w:val="content"/>
        </w:behaviors>
        <w:guid w:val="{BB727F96-C2F1-4528-91B9-40FEF741C73D}"/>
      </w:docPartPr>
      <w:docPartBody>
        <w:p w:rsidR="00BB55EA" w:rsidRDefault="00ED131A" w:rsidP="00ED131A">
          <w:pPr>
            <w:pStyle w:val="DB53C53E860D41499716C8843DA0E9B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1A"/>
    <w:rsid w:val="00574D38"/>
    <w:rsid w:val="008F355A"/>
    <w:rsid w:val="00BB55EA"/>
    <w:rsid w:val="00CA0A60"/>
    <w:rsid w:val="00ED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31A"/>
    <w:rPr>
      <w:color w:val="808080"/>
    </w:rPr>
  </w:style>
  <w:style w:type="paragraph" w:customStyle="1" w:styleId="DB53C53E860D41499716C8843DA0E9BA">
    <w:name w:val="DB53C53E860D41499716C8843DA0E9BA"/>
    <w:rsid w:val="00ED13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31A"/>
    <w:rPr>
      <w:color w:val="808080"/>
    </w:rPr>
  </w:style>
  <w:style w:type="paragraph" w:customStyle="1" w:styleId="DB53C53E860D41499716C8843DA0E9BA">
    <w:name w:val="DB53C53E860D41499716C8843DA0E9BA"/>
    <w:rsid w:val="00ED1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3125-BC10-4CF5-B20C-54F0AEFE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9939</Characters>
  <Application>Microsoft Office Word</Application>
  <DocSecurity>0</DocSecurity>
  <Lines>242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12/17</dc:title>
  <dc:creator/>
  <cp:lastModifiedBy/>
  <cp:revision>1</cp:revision>
  <dcterms:created xsi:type="dcterms:W3CDTF">2017-04-10T15:00:00Z</dcterms:created>
  <dcterms:modified xsi:type="dcterms:W3CDTF">2017-04-10T15:00:00Z</dcterms:modified>
</cp:coreProperties>
</file>