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lang w:val="es-UY" w:eastAsia="es-UY"/>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521C05">
                              <w:rPr>
                                <w:rFonts w:ascii="Cambria" w:hAnsi="Cambria" w:cs="Arial"/>
                                <w:b/>
                                <w:bCs/>
                                <w:color w:val="0D0D0D"/>
                                <w:sz w:val="36"/>
                                <w:szCs w:val="22"/>
                              </w:rPr>
                              <w:t>20</w:t>
                            </w:r>
                            <w:r>
                              <w:rPr>
                                <w:rFonts w:ascii="Cambria" w:hAnsi="Cambria" w:cs="Arial"/>
                                <w:b/>
                                <w:bCs/>
                                <w:color w:val="0D0D0D"/>
                                <w:sz w:val="36"/>
                                <w:szCs w:val="22"/>
                              </w:rPr>
                              <w:t>/16</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Pr>
                                <w:rFonts w:ascii="Cambria" w:hAnsi="Cambria" w:cs="Arial"/>
                                <w:b/>
                                <w:bCs/>
                                <w:color w:val="0D0D0D"/>
                                <w:sz w:val="36"/>
                                <w:szCs w:val="22"/>
                              </w:rPr>
                              <w:t>PETITION 12.208</w:t>
                            </w:r>
                            <w:r>
                              <w:rPr>
                                <w:rFonts w:ascii="Cambria" w:hAnsi="Cambria" w:cs="Arial"/>
                                <w:color w:val="0D0D0D"/>
                                <w:sz w:val="36"/>
                                <w:szCs w:val="22"/>
                              </w:rPr>
                              <w:t xml:space="preserve"> </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REPORT ON ADMISSIBILITY </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0" w:name="_ftnref1"/>
                          </w:p>
                          <w:bookmarkEnd w:id="0"/>
                          <w:p w:rsidR="0042416E" w:rsidRPr="001244A6"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1244A6">
                              <w:rPr>
                                <w:rFonts w:ascii="Cambria" w:hAnsi="Cambria" w:cs="Arial"/>
                                <w:color w:val="0D0D0D"/>
                                <w:szCs w:val="22"/>
                                <w:lang w:val="pt-BR"/>
                              </w:rPr>
                              <w:t>ROBERT ANGELO VERA GOMEZ</w:t>
                            </w:r>
                          </w:p>
                          <w:p w:rsidR="0042416E" w:rsidRPr="001244A6"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1244A6">
                              <w:rPr>
                                <w:rFonts w:ascii="Cambria" w:hAnsi="Cambria" w:cs="Arial"/>
                                <w:color w:val="0D0D0D"/>
                                <w:szCs w:val="22"/>
                                <w:lang w:val="pt-BR"/>
                              </w:rPr>
                              <w:t>ECUADOR</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521C05">
                        <w:rPr>
                          <w:rFonts w:ascii="Cambria" w:hAnsi="Cambria" w:cs="Arial"/>
                          <w:b/>
                          <w:bCs/>
                          <w:color w:val="0D0D0D"/>
                          <w:sz w:val="36"/>
                          <w:szCs w:val="22"/>
                        </w:rPr>
                        <w:t>20</w:t>
                      </w:r>
                      <w:r>
                        <w:rPr>
                          <w:rFonts w:ascii="Cambria" w:hAnsi="Cambria" w:cs="Arial"/>
                          <w:b/>
                          <w:bCs/>
                          <w:color w:val="0D0D0D"/>
                          <w:sz w:val="36"/>
                          <w:szCs w:val="22"/>
                        </w:rPr>
                        <w:t>/16</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Pr>
                          <w:rFonts w:ascii="Cambria" w:hAnsi="Cambria" w:cs="Arial"/>
                          <w:b/>
                          <w:bCs/>
                          <w:color w:val="0D0D0D"/>
                          <w:sz w:val="36"/>
                          <w:szCs w:val="22"/>
                        </w:rPr>
                        <w:t>PETITION 12.208</w:t>
                      </w:r>
                      <w:r>
                        <w:rPr>
                          <w:rFonts w:ascii="Cambria" w:hAnsi="Cambria" w:cs="Arial"/>
                          <w:color w:val="0D0D0D"/>
                          <w:sz w:val="36"/>
                          <w:szCs w:val="22"/>
                        </w:rPr>
                        <w:t xml:space="preserve"> </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REPORT ON ADMISSIBILITY </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2" w:name="_ftnref1"/>
                    </w:p>
                    <w:bookmarkEnd w:id="2"/>
                    <w:p w:rsidR="0042416E" w:rsidRPr="001244A6"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1244A6">
                        <w:rPr>
                          <w:rFonts w:ascii="Cambria" w:hAnsi="Cambria" w:cs="Arial"/>
                          <w:color w:val="0D0D0D"/>
                          <w:szCs w:val="22"/>
                          <w:lang w:val="pt-BR"/>
                        </w:rPr>
                        <w:t>ROBERT ANGELO VERA GOMEZ</w:t>
                      </w:r>
                    </w:p>
                    <w:p w:rsidR="0042416E" w:rsidRPr="001244A6"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1244A6">
                        <w:rPr>
                          <w:rFonts w:ascii="Cambria" w:hAnsi="Cambria" w:cs="Arial"/>
                          <w:color w:val="0D0D0D"/>
                          <w:szCs w:val="22"/>
                          <w:lang w:val="pt-BR"/>
                        </w:rPr>
                        <w:t>ECUADOR</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42416E">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21C05">
                              <w:rPr>
                                <w:rFonts w:asciiTheme="minorHAnsi" w:hAnsiTheme="minorHAnsi"/>
                                <w:color w:val="FFFFFF" w:themeColor="background1"/>
                                <w:sz w:val="22"/>
                                <w:lang w:val="pt-BR"/>
                              </w:rPr>
                              <w:t>24</w:t>
                            </w:r>
                          </w:p>
                          <w:p w:rsidR="00627C9F" w:rsidRPr="004B7EB6" w:rsidRDefault="00F13073"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6</w:t>
                            </w:r>
                            <w:bookmarkStart w:id="1" w:name="_GoBack"/>
                            <w:bookmarkEnd w:id="1"/>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2416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42416E">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21C05">
                        <w:rPr>
                          <w:rFonts w:asciiTheme="minorHAnsi" w:hAnsiTheme="minorHAnsi"/>
                          <w:color w:val="FFFFFF" w:themeColor="background1"/>
                          <w:sz w:val="22"/>
                          <w:lang w:val="pt-BR"/>
                        </w:rPr>
                        <w:t>24</w:t>
                      </w:r>
                    </w:p>
                    <w:p w:rsidR="00627C9F" w:rsidRPr="004B7EB6" w:rsidRDefault="00F13073"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6</w:t>
                      </w:r>
                      <w:bookmarkStart w:id="2" w:name="_GoBack"/>
                      <w:bookmarkEnd w:id="2"/>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2416E">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521C05">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521C05">
                              <w:rPr>
                                <w:rFonts w:asciiTheme="majorHAnsi" w:hAnsiTheme="majorHAnsi"/>
                                <w:color w:val="0D0D0D" w:themeColor="text1" w:themeTint="F2"/>
                                <w:sz w:val="18"/>
                                <w:szCs w:val="20"/>
                              </w:rPr>
                              <w:t>15, 2016.</w:t>
                            </w:r>
                            <w:r w:rsidR="004B7EB6" w:rsidRPr="003C32BC">
                              <w:rPr>
                                <w:rFonts w:asciiTheme="majorHAnsi" w:hAnsiTheme="majorHAnsi"/>
                                <w:color w:val="0D0D0D" w:themeColor="text1" w:themeTint="F2"/>
                                <w:sz w:val="18"/>
                                <w:szCs w:val="20"/>
                              </w:rPr>
                              <w:br/>
                            </w:r>
                            <w:proofErr w:type="gramStart"/>
                            <w:r w:rsidR="00092F32" w:rsidRPr="003C32BC">
                              <w:rPr>
                                <w:rFonts w:asciiTheme="majorHAnsi" w:hAnsiTheme="majorHAnsi" w:cs="Univers"/>
                                <w:color w:val="0D0D0D" w:themeColor="text1" w:themeTint="F2"/>
                                <w:sz w:val="18"/>
                                <w:szCs w:val="20"/>
                              </w:rPr>
                              <w:t>15</w:t>
                            </w:r>
                            <w:r w:rsidR="00521C05">
                              <w:rPr>
                                <w:rFonts w:asciiTheme="majorHAnsi" w:hAnsiTheme="majorHAnsi" w:cs="Univers"/>
                                <w:color w:val="0D0D0D" w:themeColor="text1" w:themeTint="F2"/>
                                <w:sz w:val="18"/>
                                <w:szCs w:val="20"/>
                              </w:rPr>
                              <w:t>7</w:t>
                            </w:r>
                            <w:r w:rsidR="00521C05" w:rsidRPr="00521C05">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521C05">
                              <w:rPr>
                                <w:rFonts w:asciiTheme="majorHAnsi" w:hAnsiTheme="majorHAnsi" w:cs="Univers"/>
                                <w:color w:val="0D0D0D" w:themeColor="text1" w:themeTint="F2"/>
                                <w:sz w:val="18"/>
                                <w:szCs w:val="20"/>
                              </w:rPr>
                              <w:t>.</w:t>
                            </w:r>
                            <w:proofErr w:type="gramEnd"/>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521C05">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521C05">
                        <w:rPr>
                          <w:rFonts w:asciiTheme="majorHAnsi" w:hAnsiTheme="majorHAnsi"/>
                          <w:color w:val="0D0D0D" w:themeColor="text1" w:themeTint="F2"/>
                          <w:sz w:val="18"/>
                          <w:szCs w:val="20"/>
                        </w:rPr>
                        <w:t>15, 2016.</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521C05">
                        <w:rPr>
                          <w:rFonts w:asciiTheme="majorHAnsi" w:hAnsiTheme="majorHAnsi" w:cs="Univers"/>
                          <w:color w:val="0D0D0D" w:themeColor="text1" w:themeTint="F2"/>
                          <w:sz w:val="18"/>
                          <w:szCs w:val="20"/>
                        </w:rPr>
                        <w:t>7</w:t>
                      </w:r>
                      <w:r w:rsidR="00521C05" w:rsidRPr="00521C05">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521C05">
                        <w:rPr>
                          <w:rFonts w:asciiTheme="majorHAnsi" w:hAnsiTheme="majorHAnsi" w:cs="Univers"/>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521C05">
                              <w:rPr>
                                <w:rFonts w:asciiTheme="majorHAnsi" w:hAnsiTheme="majorHAnsi"/>
                                <w:color w:val="595959" w:themeColor="text1" w:themeTint="A6"/>
                                <w:sz w:val="18"/>
                              </w:rPr>
                              <w:t>IACHR, Report No. 20/16</w:t>
                            </w:r>
                            <w:r w:rsidRPr="003C32BC">
                              <w:rPr>
                                <w:rFonts w:asciiTheme="majorHAnsi" w:hAnsiTheme="majorHAnsi"/>
                                <w:color w:val="595959" w:themeColor="text1" w:themeTint="A6"/>
                                <w:sz w:val="18"/>
                              </w:rPr>
                              <w:t xml:space="preserve">, </w:t>
                            </w:r>
                            <w:r w:rsidR="00521C05">
                              <w:rPr>
                                <w:rFonts w:asciiTheme="majorHAnsi" w:hAnsiTheme="majorHAnsi"/>
                                <w:color w:val="595959" w:themeColor="text1" w:themeTint="A6"/>
                                <w:sz w:val="18"/>
                              </w:rPr>
                              <w:t>Petition 12.208</w:t>
                            </w:r>
                            <w:r w:rsidRPr="003C32BC">
                              <w:rPr>
                                <w:rFonts w:asciiTheme="majorHAnsi" w:hAnsiTheme="majorHAnsi"/>
                                <w:color w:val="595959" w:themeColor="text1" w:themeTint="A6"/>
                                <w:sz w:val="18"/>
                              </w:rPr>
                              <w:t xml:space="preserve">. </w:t>
                            </w:r>
                            <w:r w:rsidR="00521C05">
                              <w:rPr>
                                <w:rFonts w:asciiTheme="majorHAnsi" w:hAnsiTheme="majorHAnsi"/>
                                <w:color w:val="595959" w:themeColor="text1" w:themeTint="A6"/>
                                <w:sz w:val="18"/>
                              </w:rPr>
                              <w:t xml:space="preserve"> </w:t>
                            </w:r>
                            <w:r w:rsidRPr="00521C05">
                              <w:rPr>
                                <w:rFonts w:asciiTheme="majorHAnsi" w:hAnsiTheme="majorHAnsi"/>
                                <w:color w:val="595959" w:themeColor="text1" w:themeTint="A6"/>
                                <w:sz w:val="18"/>
                                <w:lang w:val="pt-BR"/>
                              </w:rPr>
                              <w:t>Admi</w:t>
                            </w:r>
                            <w:r w:rsidR="009104B4" w:rsidRPr="00521C05">
                              <w:rPr>
                                <w:rFonts w:asciiTheme="majorHAnsi" w:hAnsiTheme="majorHAnsi"/>
                                <w:color w:val="595959" w:themeColor="text1" w:themeTint="A6"/>
                                <w:sz w:val="18"/>
                                <w:lang w:val="pt-BR"/>
                              </w:rPr>
                              <w:t>s</w:t>
                            </w:r>
                            <w:r w:rsidRPr="00521C05">
                              <w:rPr>
                                <w:rFonts w:asciiTheme="majorHAnsi" w:hAnsiTheme="majorHAnsi"/>
                                <w:color w:val="595959" w:themeColor="text1" w:themeTint="A6"/>
                                <w:sz w:val="18"/>
                                <w:lang w:val="pt-BR"/>
                              </w:rPr>
                              <w:t>sibility</w:t>
                            </w:r>
                            <w:r w:rsidR="00521C05" w:rsidRPr="00521C05">
                              <w:rPr>
                                <w:rFonts w:asciiTheme="majorHAnsi" w:hAnsiTheme="majorHAnsi"/>
                                <w:color w:val="595959" w:themeColor="text1" w:themeTint="A6"/>
                                <w:sz w:val="18"/>
                                <w:lang w:val="pt-BR"/>
                              </w:rPr>
                              <w:t>. Robert Angelo Vera Gomez</w:t>
                            </w:r>
                            <w:r w:rsidRPr="00521C05">
                              <w:rPr>
                                <w:rFonts w:asciiTheme="majorHAnsi" w:hAnsiTheme="majorHAnsi"/>
                                <w:color w:val="595959" w:themeColor="text1" w:themeTint="A6"/>
                                <w:sz w:val="18"/>
                                <w:lang w:val="pt-BR"/>
                              </w:rPr>
                              <w:t xml:space="preserve">. </w:t>
                            </w:r>
                            <w:r w:rsidR="00521C05">
                              <w:rPr>
                                <w:rFonts w:asciiTheme="majorHAnsi" w:hAnsiTheme="majorHAnsi"/>
                                <w:color w:val="595959" w:themeColor="text1" w:themeTint="A6"/>
                                <w:sz w:val="18"/>
                              </w:rPr>
                              <w:t>Ecuador. April 15,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521C05">
                        <w:rPr>
                          <w:rFonts w:asciiTheme="majorHAnsi" w:hAnsiTheme="majorHAnsi"/>
                          <w:color w:val="595959" w:themeColor="text1" w:themeTint="A6"/>
                          <w:sz w:val="18"/>
                        </w:rPr>
                        <w:t>IACHR, Report No. 20/16</w:t>
                      </w:r>
                      <w:r w:rsidRPr="003C32BC">
                        <w:rPr>
                          <w:rFonts w:asciiTheme="majorHAnsi" w:hAnsiTheme="majorHAnsi"/>
                          <w:color w:val="595959" w:themeColor="text1" w:themeTint="A6"/>
                          <w:sz w:val="18"/>
                        </w:rPr>
                        <w:t xml:space="preserve">, </w:t>
                      </w:r>
                      <w:r w:rsidR="00521C05">
                        <w:rPr>
                          <w:rFonts w:asciiTheme="majorHAnsi" w:hAnsiTheme="majorHAnsi"/>
                          <w:color w:val="595959" w:themeColor="text1" w:themeTint="A6"/>
                          <w:sz w:val="18"/>
                        </w:rPr>
                        <w:t>Petition 12.208</w:t>
                      </w:r>
                      <w:r w:rsidRPr="003C32BC">
                        <w:rPr>
                          <w:rFonts w:asciiTheme="majorHAnsi" w:hAnsiTheme="majorHAnsi"/>
                          <w:color w:val="595959" w:themeColor="text1" w:themeTint="A6"/>
                          <w:sz w:val="18"/>
                        </w:rPr>
                        <w:t xml:space="preserve">. </w:t>
                      </w:r>
                      <w:r w:rsidR="00521C05">
                        <w:rPr>
                          <w:rFonts w:asciiTheme="majorHAnsi" w:hAnsiTheme="majorHAnsi"/>
                          <w:color w:val="595959" w:themeColor="text1" w:themeTint="A6"/>
                          <w:sz w:val="18"/>
                        </w:rPr>
                        <w:t xml:space="preserve"> </w:t>
                      </w:r>
                      <w:r w:rsidRPr="00521C05">
                        <w:rPr>
                          <w:rFonts w:asciiTheme="majorHAnsi" w:hAnsiTheme="majorHAnsi"/>
                          <w:color w:val="595959" w:themeColor="text1" w:themeTint="A6"/>
                          <w:sz w:val="18"/>
                          <w:lang w:val="pt-BR"/>
                        </w:rPr>
                        <w:t>Admi</w:t>
                      </w:r>
                      <w:r w:rsidR="009104B4" w:rsidRPr="00521C05">
                        <w:rPr>
                          <w:rFonts w:asciiTheme="majorHAnsi" w:hAnsiTheme="majorHAnsi"/>
                          <w:color w:val="595959" w:themeColor="text1" w:themeTint="A6"/>
                          <w:sz w:val="18"/>
                          <w:lang w:val="pt-BR"/>
                        </w:rPr>
                        <w:t>s</w:t>
                      </w:r>
                      <w:r w:rsidRPr="00521C05">
                        <w:rPr>
                          <w:rFonts w:asciiTheme="majorHAnsi" w:hAnsiTheme="majorHAnsi"/>
                          <w:color w:val="595959" w:themeColor="text1" w:themeTint="A6"/>
                          <w:sz w:val="18"/>
                          <w:lang w:val="pt-BR"/>
                        </w:rPr>
                        <w:t>sibility</w:t>
                      </w:r>
                      <w:r w:rsidR="00521C05" w:rsidRPr="00521C05">
                        <w:rPr>
                          <w:rFonts w:asciiTheme="majorHAnsi" w:hAnsiTheme="majorHAnsi"/>
                          <w:color w:val="595959" w:themeColor="text1" w:themeTint="A6"/>
                          <w:sz w:val="18"/>
                          <w:lang w:val="pt-BR"/>
                        </w:rPr>
                        <w:t>. Robert Angelo Vera Gomez</w:t>
                      </w:r>
                      <w:r w:rsidRPr="00521C05">
                        <w:rPr>
                          <w:rFonts w:asciiTheme="majorHAnsi" w:hAnsiTheme="majorHAnsi"/>
                          <w:color w:val="595959" w:themeColor="text1" w:themeTint="A6"/>
                          <w:sz w:val="18"/>
                          <w:lang w:val="pt-BR"/>
                        </w:rPr>
                        <w:t xml:space="preserve">. </w:t>
                      </w:r>
                      <w:r w:rsidR="00521C05">
                        <w:rPr>
                          <w:rFonts w:asciiTheme="majorHAnsi" w:hAnsiTheme="majorHAnsi"/>
                          <w:color w:val="595959" w:themeColor="text1" w:themeTint="A6"/>
                          <w:sz w:val="18"/>
                        </w:rPr>
                        <w:t>Ecuador. April 15,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lang w:val="es-UY" w:eastAsia="es-UY"/>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bCs/>
          <w:sz w:val="18"/>
          <w:szCs w:val="20"/>
        </w:rPr>
        <w:lastRenderedPageBreak/>
        <w:t>REPORT No.</w:t>
      </w:r>
      <w:r>
        <w:rPr>
          <w:rFonts w:ascii="Cambria" w:hAnsi="Cambria"/>
          <w:sz w:val="18"/>
          <w:szCs w:val="20"/>
        </w:rPr>
        <w:t xml:space="preserve"> </w:t>
      </w:r>
      <w:r w:rsidR="00521C05">
        <w:rPr>
          <w:rFonts w:ascii="Cambria" w:hAnsi="Cambria"/>
          <w:b/>
          <w:bCs/>
          <w:sz w:val="18"/>
          <w:szCs w:val="20"/>
        </w:rPr>
        <w:t>20</w:t>
      </w:r>
      <w:r>
        <w:rPr>
          <w:rFonts w:ascii="Cambria" w:hAnsi="Cambria"/>
          <w:b/>
          <w:bCs/>
          <w:sz w:val="18"/>
          <w:szCs w:val="20"/>
        </w:rPr>
        <w:t>/16</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bCs/>
          <w:sz w:val="18"/>
          <w:szCs w:val="20"/>
        </w:rPr>
        <w:t>PETITION 12.208</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REPORT ON ADMISSIBILITY</w:t>
      </w:r>
    </w:p>
    <w:p w:rsidR="0042416E" w:rsidRPr="001244A6" w:rsidRDefault="0042416E"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pt-BR"/>
        </w:rPr>
      </w:pPr>
      <w:r w:rsidRPr="001244A6">
        <w:rPr>
          <w:rFonts w:ascii="Cambria" w:hAnsi="Cambria"/>
          <w:sz w:val="18"/>
          <w:szCs w:val="20"/>
          <w:lang w:val="pt-BR"/>
        </w:rPr>
        <w:t>ROBERT</w:t>
      </w:r>
      <w:r>
        <w:rPr>
          <w:rFonts w:ascii="Cambria" w:hAnsi="Cambria"/>
          <w:sz w:val="18"/>
          <w:szCs w:val="20"/>
          <w:lang w:val="pt-BR"/>
        </w:rPr>
        <w:t xml:space="preserve"> ANGELO VERA GO</w:t>
      </w:r>
      <w:r w:rsidRPr="001244A6">
        <w:rPr>
          <w:rFonts w:ascii="Cambria" w:hAnsi="Cambria"/>
          <w:sz w:val="18"/>
          <w:szCs w:val="20"/>
          <w:lang w:val="pt-BR"/>
        </w:rPr>
        <w:t>MEZ</w:t>
      </w:r>
    </w:p>
    <w:p w:rsidR="0042416E" w:rsidRPr="001244A6" w:rsidRDefault="0042416E"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pt-BR"/>
        </w:rPr>
      </w:pPr>
      <w:r w:rsidRPr="001244A6">
        <w:rPr>
          <w:rFonts w:ascii="Cambria" w:hAnsi="Cambria"/>
          <w:sz w:val="18"/>
          <w:szCs w:val="20"/>
          <w:lang w:val="pt-BR"/>
        </w:rPr>
        <w:t>ECUADOR</w:t>
      </w:r>
    </w:p>
    <w:p w:rsidR="0042416E" w:rsidRPr="001244A6" w:rsidRDefault="00521C05"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pt-BR"/>
        </w:rPr>
      </w:pPr>
      <w:r>
        <w:rPr>
          <w:rFonts w:ascii="Cambria" w:hAnsi="Cambria"/>
          <w:sz w:val="18"/>
          <w:szCs w:val="20"/>
          <w:lang w:val="pt-BR"/>
        </w:rPr>
        <w:t>APRIL 15, 2016</w:t>
      </w:r>
    </w:p>
    <w:p w:rsidR="0042416E" w:rsidRPr="001244A6" w:rsidRDefault="0042416E"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pt-BR"/>
        </w:rPr>
      </w:pPr>
    </w:p>
    <w:p w:rsidR="0042416E" w:rsidRPr="001244A6" w:rsidRDefault="0042416E" w:rsidP="0042416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pt-BR"/>
        </w:rPr>
      </w:pP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I.</w:t>
      </w:r>
      <w:r>
        <w:rPr>
          <w:rFonts w:ascii="Cambria" w:hAnsi="Cambria"/>
          <w:b/>
          <w:bCs/>
          <w:sz w:val="20"/>
          <w:szCs w:val="20"/>
        </w:rPr>
        <w:tab/>
        <w:t>SUMMARY</w:t>
      </w:r>
    </w:p>
    <w:p w:rsidR="0042416E" w:rsidRPr="007D00E3" w:rsidRDefault="0042416E" w:rsidP="009213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August 10, 1998, the Inter-American Commission on Human Rights (hereinafter the “Inter-American Commission," "Commission," or "IACHR") received a petition filed by Robert Angelo Vera Gomez (hereinafter, the “petitioner" or “alleged victim”) against the Ecuadorian State (hereinafter "Ecuador" or “the State"). Mr. Vera Gomez claims to have been the victim of arbitrary detention by the police, torture and excessively long pretrial detention in the context of a criminal proceeding. Consequently, he argues that the State bears international responsibility for violation of rights recognized in Articles 5, 7, 8, and 25 of the American Convention on Human Rights (hereinafter the “American Convention” or “Convention”) to his detriment.</w:t>
      </w:r>
    </w:p>
    <w:p w:rsidR="0042416E" w:rsidRPr="00B95775"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Pr>
          <w:rFonts w:ascii="Cambria" w:eastAsia="SimSun" w:hAnsi="Cambria"/>
          <w:sz w:val="20"/>
          <w:szCs w:val="20"/>
        </w:rPr>
        <w:t>The petitioner says that he was detained by the police without an order issued by a competent authority, held incommunicado and subjected to different forms of mistreatment for over 15 days. He also claims that he was threatened with physical torture so that he might incriminate himself and confess his supposed involvement in a drug trafficking ring. He also charges that during the criminal proceeding followed against him, a variety of legal time limits were exceeded and that he was held in custody pending trial for an excessively long time, in spite of the fact that in the course of the proceeding the prosecutor had decided not to bring a criminal indictment against him. Finally, he said that he had received no redress for any of the harm caused to him and his family.</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Pr>
          <w:rFonts w:ascii="Cambria" w:eastAsia="SimSun" w:hAnsi="Cambria"/>
          <w:sz w:val="20"/>
          <w:szCs w:val="20"/>
        </w:rPr>
        <w:t xml:space="preserve"> The State, for its part, held that the petitioner had not exhausted domestic remedies, given that a decision was pending on an application for habeas corpus; that he could have lodged a motion for recusal in light of the delay; and that he still had available to him the appeals for cassation and/or review in the event of a conviction. The State also says that the proceeding was conducted within a reasonable time, considering the unique and specific circumstances of the case; that the petitioner had access to all necessary legal means to mount a defense; and that he was guaranteed a fair and impartial trial.</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Having examined the positions of the parties and compliance with the requirements set forth in Articles 46 and 47 of the American Convention on Human Rights, without prejudging the merits of the complaint, the Commission has decided to declare the petition admissible for the purposes of examination of alleged violations of rights recognized in Articles 5 (right to humane treatment), 7 (right to personal liberty), 8 (right to a fair trial) and 25 (right to judicial protection) of the American Convention, taken in conjunction with Articles 1(1) and 2 of said treaty. The Commission has further decided to notify the parties of this decision, to publish it, and include it in its Annual Report to the OAS General Assembly. </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II.</w:t>
      </w:r>
      <w:r>
        <w:rPr>
          <w:rFonts w:ascii="Cambria" w:hAnsi="Cambria"/>
          <w:b/>
          <w:bCs/>
          <w:sz w:val="20"/>
          <w:szCs w:val="20"/>
        </w:rPr>
        <w:tab/>
        <w:t>PROCESSING BY THE IACHR</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IACHR received the petition on August 10, 1998, and forwarded a copy of the pertinent parts to the State on November 8, 1999, giving it 90 days in which to submit observations, in accordance with Article 34 of its Rules of Procedure, as then in force. The IACHR received the response of the State on June 17, 2000, </w:t>
      </w:r>
      <w:r>
        <w:rPr>
          <w:rFonts w:ascii="Cambria" w:hAnsi="Cambria"/>
          <w:color w:val="000000"/>
          <w:sz w:val="20"/>
          <w:szCs w:val="20"/>
        </w:rPr>
        <w:t xml:space="preserve">and forwarded it </w:t>
      </w:r>
      <w:r>
        <w:rPr>
          <w:rFonts w:ascii="Cambria" w:hAnsi="Cambria"/>
          <w:sz w:val="20"/>
          <w:szCs w:val="20"/>
        </w:rPr>
        <w:t>to the petitioner on August 14, 2000.</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submitted additional information on: September 14, 2000; May 24, 2001; August 5, 2009; August 19, 2011; April 7, 2014; and June 30, 2014. The State, for its part, submitted additional observations on August 21, 2001, and November 11, 2015. </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lastRenderedPageBreak/>
        <w:t>III.</w:t>
      </w:r>
      <w:r>
        <w:rPr>
          <w:rFonts w:ascii="Cambria" w:hAnsi="Cambria"/>
          <w:b/>
          <w:bCs/>
          <w:sz w:val="20"/>
          <w:szCs w:val="20"/>
        </w:rPr>
        <w:tab/>
        <w:t>POSITIONS OF THE PARTIES</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b/>
          <w:bCs/>
          <w:sz w:val="20"/>
          <w:szCs w:val="20"/>
        </w:rPr>
      </w:pPr>
      <w:r>
        <w:rPr>
          <w:rFonts w:ascii="Cambria" w:hAnsi="Cambria"/>
          <w:b/>
          <w:bCs/>
          <w:sz w:val="20"/>
          <w:szCs w:val="20"/>
        </w:rPr>
        <w:t>A.</w:t>
      </w:r>
      <w:r>
        <w:rPr>
          <w:rFonts w:ascii="Cambria" w:hAnsi="Cambria"/>
          <w:b/>
          <w:bCs/>
          <w:sz w:val="20"/>
          <w:szCs w:val="20"/>
        </w:rPr>
        <w:tab/>
        <w:t>The petitioner</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The petitioner alleges that at approximately 8:30 a.m. on February 21, 1995, he was on his way to work in the city of Guayaquil when he was intercepted by a group of heavily armed police officers, who, using physical aggression and offensive language, unlawfully and arbitrarily detained him without showing him the requisite “constitutionally mandated arrest warrant" (</w:t>
      </w:r>
      <w:proofErr w:type="spellStart"/>
      <w:r>
        <w:rPr>
          <w:rFonts w:ascii="Cambria" w:hAnsi="Cambria" w:cs="Arial"/>
          <w:i/>
          <w:iCs/>
          <w:sz w:val="20"/>
          <w:szCs w:val="20"/>
        </w:rPr>
        <w:t>boleta</w:t>
      </w:r>
      <w:proofErr w:type="spellEnd"/>
      <w:r>
        <w:rPr>
          <w:rFonts w:ascii="Cambria" w:hAnsi="Cambria" w:cs="Arial"/>
          <w:i/>
          <w:iCs/>
          <w:sz w:val="20"/>
          <w:szCs w:val="20"/>
        </w:rPr>
        <w:t xml:space="preserve"> </w:t>
      </w:r>
      <w:proofErr w:type="spellStart"/>
      <w:r>
        <w:rPr>
          <w:rFonts w:ascii="Cambria" w:hAnsi="Cambria" w:cs="Arial"/>
          <w:i/>
          <w:iCs/>
          <w:sz w:val="20"/>
          <w:szCs w:val="20"/>
        </w:rPr>
        <w:t>constitucional</w:t>
      </w:r>
      <w:proofErr w:type="spellEnd"/>
      <w:r>
        <w:rPr>
          <w:rFonts w:ascii="Cambria" w:hAnsi="Cambria" w:cs="Arial"/>
          <w:i/>
          <w:iCs/>
          <w:sz w:val="20"/>
          <w:szCs w:val="20"/>
        </w:rPr>
        <w:t xml:space="preserve"> de </w:t>
      </w:r>
      <w:proofErr w:type="spellStart"/>
      <w:r>
        <w:rPr>
          <w:rFonts w:ascii="Cambria" w:hAnsi="Cambria" w:cs="Arial"/>
          <w:i/>
          <w:iCs/>
          <w:sz w:val="20"/>
          <w:szCs w:val="20"/>
        </w:rPr>
        <w:t>detención</w:t>
      </w:r>
      <w:proofErr w:type="spellEnd"/>
      <w:r>
        <w:rPr>
          <w:rFonts w:ascii="Cambria" w:hAnsi="Cambria" w:cs="Arial"/>
          <w:sz w:val="20"/>
          <w:szCs w:val="20"/>
        </w:rPr>
        <w:t>) signed by a competent authority. (He alleges that the order was issued after he was apprehended.) He was then held incommunicado for over 15 days, despite the maximum time allowed under domestic law being 24 hours. The petitioner's capture purportedly occurred in the context of a police anti-narcotics operation named "White Storm” (</w:t>
      </w:r>
      <w:proofErr w:type="spellStart"/>
      <w:r>
        <w:rPr>
          <w:rFonts w:ascii="Cambria" w:hAnsi="Cambria" w:cs="Arial"/>
          <w:i/>
          <w:iCs/>
          <w:sz w:val="20"/>
          <w:szCs w:val="20"/>
        </w:rPr>
        <w:t>Tormenta</w:t>
      </w:r>
      <w:proofErr w:type="spellEnd"/>
      <w:r>
        <w:rPr>
          <w:rFonts w:ascii="Cambria" w:hAnsi="Cambria" w:cs="Arial"/>
          <w:i/>
          <w:iCs/>
          <w:sz w:val="20"/>
          <w:szCs w:val="20"/>
        </w:rPr>
        <w:t xml:space="preserve"> Blanca</w:t>
      </w:r>
      <w:r>
        <w:rPr>
          <w:rFonts w:ascii="Cambria" w:hAnsi="Cambria" w:cs="Arial"/>
          <w:sz w:val="20"/>
          <w:szCs w:val="20"/>
        </w:rPr>
        <w:t>).</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He accounts that during those days he was held at a Police Precinct in a cell measuring three meters by five meters without a place to sleep, where he was subjected to psychological torture, consisting of music played very loud and bright lights. He was also allegedly threatened with physical torture unless he confessed to belonging to a criminal organization involved in drug trafficking. He says that during that period he was made to provide a statement without a lawyer present.</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He also claims that based on a judicial decision that lacked grounds and sufficient evidence, he was remanded in custody pending trial for a period of 43 months in all. (By the time the petition was lodged before the IACHR 40 months had elapsed.) He stresses that his pretrial detention lasted all that time, in spite of the fact that the Prosecutor of the Fourth Criminal Court of Guayas decided not to indict him because she could find no evidence against him. He argues that a second prosecutorial opinion to that effect issued on August 15, 1997, was validated by the Fourth Criminal Court of Guayas by means of a dismissal without prejudice ordered on November 20, 1997. However, that decision, though favorable to the petitioner, did not entail his release because, under the Law on Narcotic and Psychotropic Substances (Articles 121 and 122), it had necessarily to be referred for consultation to the Sixth Division of the Superior Court of Justice of Guayaquil.</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The petitioner argues that under domestic law, the criminal proceeding should not have lasted more than six months; therefore, it was clear that his right to be tried within a reasonable time had been violated.</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 xml:space="preserve">The alleged victim also says that at the time the complaint was lodged before the IACHR, decisions were still pending on the applications for habeas corpus presented to the Mayor of Guayaquil on June 18, 1998, and to the Constitutional Court on July 31, 1998, by which his allegations of arbitrary detention, police mistreatment, unwarranted prolongation of pretrial detention, inhumane conditions of detention, and various injuries caused to him and his family were brought to the attention of different public authorities. </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sz w:val="20"/>
          <w:szCs w:val="20"/>
        </w:rPr>
        <w:t>He argues that the consultation procedure envisaged in the Law on Narcotic and Psychotropic Substances (Articles 121 and 122) violated Article 2 of the American Convention on Human Rights and that, in spite of the fact that that law set a time limit of 30 days for the Superior Courts of Justice to dispose of the consultation, at the time the petition was lodged before the IACHR six months had elapsed yet the consultation on his release had still not been settled. The petitioner says that his release only came about as a result of the effect of provisions contained in the new Constitution adopted by the National Constituent Assembly on June 5, 1998, which determined that all those whose cases had been dismissed were to be released immediately without need of consultation.</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The petitioner claims that his unjust and prolonged pretrial detention caused serious harm to his family life and irreparable damage to his own life plan and career prospects. In that connection, he says that, in spite of the judicial remedies invoked, he has not received redress for the time that he was deprived of liberty despite his innocence, or for the conditions of detention in which he was held, or for the harm caused to his reputation, family, and professional career.</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lastRenderedPageBreak/>
        <w:t>B.</w:t>
      </w:r>
      <w:r>
        <w:rPr>
          <w:rFonts w:ascii="Cambria" w:hAnsi="Cambria"/>
          <w:b/>
          <w:bCs/>
          <w:sz w:val="20"/>
          <w:szCs w:val="20"/>
        </w:rPr>
        <w:tab/>
        <w:t>The State</w:t>
      </w:r>
      <w:r>
        <w:rPr>
          <w:rFonts w:ascii="Cambria" w:hAnsi="Cambria"/>
          <w:sz w:val="20"/>
          <w:szCs w:val="20"/>
        </w:rPr>
        <w:t xml:space="preserve"> </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FF0000"/>
          <w:sz w:val="20"/>
          <w:szCs w:val="20"/>
        </w:rPr>
      </w:pPr>
      <w:r>
        <w:rPr>
          <w:rFonts w:ascii="Cambria" w:hAnsi="Cambria"/>
          <w:sz w:val="20"/>
          <w:szCs w:val="20"/>
        </w:rPr>
        <w:t xml:space="preserve">According to the State, the petitioner has not exhausted domestic remedies under the terms of Article 46(a) of the American Convention, given that at the time of the State's first response on May 17, 2000, a decision was pending on the application for habeas corpus that the petitioner had filed before the Constitutional Court on July 31, 1998. It </w:t>
      </w:r>
      <w:proofErr w:type="spellStart"/>
      <w:r>
        <w:rPr>
          <w:rFonts w:ascii="Cambria" w:hAnsi="Cambria"/>
          <w:sz w:val="20"/>
          <w:szCs w:val="20"/>
        </w:rPr>
        <w:t>ststes</w:t>
      </w:r>
      <w:proofErr w:type="spellEnd"/>
      <w:r>
        <w:rPr>
          <w:rFonts w:ascii="Cambria" w:hAnsi="Cambria"/>
          <w:sz w:val="20"/>
          <w:szCs w:val="20"/>
        </w:rPr>
        <w:t xml:space="preserve"> that Mr. Vera Gomez was released on September 1, 1998, after the Sixth Division of the Superior Court of Justice of Guayas ordered, </w:t>
      </w:r>
      <w:r w:rsidRPr="00AC403F">
        <w:rPr>
          <w:rFonts w:ascii="Cambria" w:hAnsi="Cambria"/>
          <w:i/>
          <w:sz w:val="20"/>
          <w:szCs w:val="20"/>
        </w:rPr>
        <w:t>ex officio</w:t>
      </w:r>
      <w:r>
        <w:rPr>
          <w:rFonts w:ascii="Cambria" w:hAnsi="Cambria"/>
          <w:sz w:val="20"/>
          <w:szCs w:val="20"/>
        </w:rPr>
        <w:t>, the release of all detainees whose cases were dismissed with or without prejudice by the decision issued on November 20, 1997. The foregoing</w:t>
      </w:r>
      <w:r>
        <w:rPr>
          <w:rFonts w:ascii="Cambria" w:hAnsi="Cambria"/>
          <w:color w:val="FF0000"/>
          <w:sz w:val="20"/>
          <w:szCs w:val="20"/>
        </w:rPr>
        <w:t xml:space="preserve"> </w:t>
      </w:r>
      <w:r>
        <w:rPr>
          <w:rFonts w:ascii="Cambria" w:hAnsi="Cambria"/>
          <w:sz w:val="20"/>
          <w:szCs w:val="20"/>
        </w:rPr>
        <w:t xml:space="preserve">was done pursuant to provisions contained in the new Constitution adopted on June 5, 1998, which went into force on August 10 that year. </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FF0000"/>
          <w:sz w:val="20"/>
          <w:szCs w:val="20"/>
        </w:rPr>
      </w:pPr>
      <w:r>
        <w:rPr>
          <w:rFonts w:ascii="Cambria" w:hAnsi="Cambria"/>
          <w:sz w:val="20"/>
          <w:szCs w:val="20"/>
        </w:rPr>
        <w:t xml:space="preserve">The State says that in light of the Guayas Superior Court's delay in disposing of the consultation on the dismissal, the petitioner could have filed a motion for recusal against the judges of that court’s Sixth Division in order to have them disqualified from hearing the case. It also argues that, had a conviction been issued, the alleged victim could have lodged appeals for review and cassation. </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FF0000"/>
          <w:sz w:val="20"/>
          <w:szCs w:val="20"/>
        </w:rPr>
      </w:pPr>
      <w:r>
        <w:rPr>
          <w:rFonts w:ascii="Cambria" w:hAnsi="Cambria"/>
          <w:sz w:val="20"/>
          <w:szCs w:val="20"/>
        </w:rPr>
        <w:t>As regards to its institutional responsibility for the alleged harm that the petitioner claims to have sustained, the State argues that domestic remedies have not been exhausted, given that the alleged victim had the possibility of filing a suit before the administrative jurisdiction against the State for the alleged harm caused by public officials.</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As regards the right to be tried within a reasonable time, Ecuador asserts that the proceeding was conducted in accordance with the unique and specific circumstances of the case; and that the time it took to dispose of was consistent with the type of judicial proceeding in question, bearing in mind the possibilities that the State had at its avail.</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The State also holds that the petitioner’s right to mount a defense and fair trial guarantees were not violated, since the courts had guaranteed a fair and impartial proceeding and the petitioner had had at his disposal all the remedies envisaged under domestic law for challenging the supposed violations that he alleged. In that regard, Ecuador alleges that the petitioner invoked remedies that the law afforded but that they had had not been decided and, therefore, exhausted. It further contends that the petitioner had free access to the courts and that at no time was he impeded from exercising his right to a hearing on equal terms before the competent bodies.</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IV.</w:t>
      </w:r>
      <w:r>
        <w:rPr>
          <w:rFonts w:ascii="Cambria" w:hAnsi="Cambria"/>
          <w:b/>
          <w:bCs/>
          <w:sz w:val="20"/>
          <w:szCs w:val="20"/>
        </w:rPr>
        <w:tab/>
        <w:t>ANALYSIS OF COMPETENCE AND ADMISSIBILITY</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sz w:val="20"/>
          <w:szCs w:val="20"/>
        </w:rPr>
      </w:pPr>
      <w:r>
        <w:rPr>
          <w:rFonts w:ascii="Cambria" w:hAnsi="Cambria"/>
          <w:b/>
          <w:bCs/>
          <w:sz w:val="20"/>
          <w:szCs w:val="20"/>
        </w:rPr>
        <w:t>A.</w:t>
      </w:r>
      <w:r>
        <w:rPr>
          <w:rFonts w:ascii="Cambria" w:hAnsi="Cambria"/>
          <w:b/>
          <w:bCs/>
          <w:sz w:val="20"/>
          <w:szCs w:val="20"/>
        </w:rPr>
        <w:tab/>
        <w:t>Competence</w:t>
      </w:r>
      <w:r>
        <w:rPr>
          <w:rFonts w:ascii="Cambria" w:hAnsi="Cambria"/>
          <w:sz w:val="20"/>
          <w:szCs w:val="20"/>
        </w:rPr>
        <w:t xml:space="preserve"> </w:t>
      </w:r>
    </w:p>
    <w:p w:rsidR="0042416E" w:rsidRPr="009F2767"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The petitioner has standing under Article 44 of the American Convention to lodge petitions before the Commission. The petition names as the alleged victim an individual on whose behalf the State of Ecuador undertook to observe and ensure the rights enshrined in the American Convention, to which it has been a party since December 28, 1977, when it deposited its instrument of ratification. Therefore, the Commission is competent </w:t>
      </w:r>
      <w:proofErr w:type="spellStart"/>
      <w:r>
        <w:rPr>
          <w:rFonts w:ascii="Cambria" w:hAnsi="Cambria"/>
          <w:i/>
          <w:iCs/>
          <w:sz w:val="20"/>
          <w:szCs w:val="20"/>
        </w:rPr>
        <w:t>ratione</w:t>
      </w:r>
      <w:proofErr w:type="spellEnd"/>
      <w:r>
        <w:rPr>
          <w:rFonts w:ascii="Cambria" w:hAnsi="Cambria"/>
          <w:i/>
          <w:iCs/>
          <w:sz w:val="20"/>
          <w:szCs w:val="20"/>
        </w:rPr>
        <w:t xml:space="preserve"> personae</w:t>
      </w:r>
      <w:r>
        <w:rPr>
          <w:rFonts w:ascii="Cambria" w:hAnsi="Cambria"/>
          <w:sz w:val="20"/>
          <w:szCs w:val="20"/>
        </w:rPr>
        <w:t xml:space="preserve"> to examine the petition. The IACHR is also competent </w:t>
      </w:r>
      <w:proofErr w:type="spellStart"/>
      <w:r>
        <w:rPr>
          <w:rFonts w:ascii="Cambria" w:hAnsi="Cambria"/>
          <w:i/>
          <w:iCs/>
          <w:sz w:val="20"/>
          <w:szCs w:val="20"/>
        </w:rPr>
        <w:t>ratione</w:t>
      </w:r>
      <w:proofErr w:type="spellEnd"/>
      <w:r>
        <w:rPr>
          <w:rFonts w:ascii="Cambria" w:hAnsi="Cambria"/>
          <w:i/>
          <w:iCs/>
          <w:sz w:val="20"/>
          <w:szCs w:val="20"/>
        </w:rPr>
        <w:t xml:space="preserve"> loci</w:t>
      </w:r>
      <w:r>
        <w:rPr>
          <w:rFonts w:ascii="Cambria" w:hAnsi="Cambria"/>
          <w:sz w:val="20"/>
          <w:szCs w:val="20"/>
        </w:rPr>
        <w:t xml:space="preserve"> to examine the petition because it alleges violations of rights protected in the American Convention that are purported to have occurred within the territory of Ecuador, a state party to said treaty. </w:t>
      </w:r>
    </w:p>
    <w:p w:rsidR="0042416E" w:rsidRPr="009F2767"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The IACHR is competent </w:t>
      </w:r>
      <w:proofErr w:type="spellStart"/>
      <w:r>
        <w:rPr>
          <w:rFonts w:ascii="Cambria" w:hAnsi="Cambria"/>
          <w:i/>
          <w:iCs/>
          <w:sz w:val="20"/>
          <w:szCs w:val="20"/>
        </w:rPr>
        <w:t>ratione</w:t>
      </w:r>
      <w:proofErr w:type="spellEnd"/>
      <w:r>
        <w:rPr>
          <w:rFonts w:ascii="Cambria" w:hAnsi="Cambria"/>
          <w:i/>
          <w:iCs/>
          <w:sz w:val="20"/>
          <w:szCs w:val="20"/>
        </w:rPr>
        <w:t xml:space="preserve"> </w:t>
      </w:r>
      <w:proofErr w:type="spellStart"/>
      <w:r>
        <w:rPr>
          <w:rFonts w:ascii="Cambria" w:hAnsi="Cambria"/>
          <w:i/>
          <w:iCs/>
          <w:sz w:val="20"/>
          <w:szCs w:val="20"/>
        </w:rPr>
        <w:t>temporis</w:t>
      </w:r>
      <w:proofErr w:type="spellEnd"/>
      <w:r>
        <w:rPr>
          <w:rFonts w:ascii="Cambria" w:hAnsi="Cambria"/>
          <w:sz w:val="20"/>
          <w:szCs w:val="20"/>
        </w:rPr>
        <w:t xml:space="preserve"> insofar as the obligation to respect and ensure the rights protected in the American Convention had already entered into force for the State as of the date that the facts alleged in the petition are said to have occurred. Finally, the IACHR is competent </w:t>
      </w:r>
      <w:proofErr w:type="spellStart"/>
      <w:r>
        <w:rPr>
          <w:rFonts w:ascii="Cambria" w:hAnsi="Cambria"/>
          <w:i/>
          <w:iCs/>
          <w:sz w:val="20"/>
          <w:szCs w:val="20"/>
        </w:rPr>
        <w:t>ratione</w:t>
      </w:r>
      <w:proofErr w:type="spellEnd"/>
      <w:r>
        <w:rPr>
          <w:rFonts w:ascii="Cambria" w:hAnsi="Cambria"/>
          <w:i/>
          <w:iCs/>
          <w:sz w:val="20"/>
          <w:szCs w:val="20"/>
        </w:rPr>
        <w:t xml:space="preserve"> </w:t>
      </w:r>
      <w:proofErr w:type="spellStart"/>
      <w:r>
        <w:rPr>
          <w:rFonts w:ascii="Cambria" w:hAnsi="Cambria"/>
          <w:i/>
          <w:iCs/>
          <w:sz w:val="20"/>
          <w:szCs w:val="20"/>
        </w:rPr>
        <w:t>materiae</w:t>
      </w:r>
      <w:proofErr w:type="spellEnd"/>
      <w:r>
        <w:rPr>
          <w:rFonts w:ascii="Cambria" w:hAnsi="Cambria"/>
          <w:sz w:val="20"/>
          <w:szCs w:val="20"/>
        </w:rPr>
        <w:t xml:space="preserve"> because the petition alleges possible violations of human rights protected by the American Convention. </w:t>
      </w:r>
    </w:p>
    <w:p w:rsidR="00521C05" w:rsidRDefault="00521C05">
      <w:pPr>
        <w:rPr>
          <w:rFonts w:ascii="Cambria" w:hAnsi="Cambria"/>
          <w:b/>
          <w:bCs/>
          <w:sz w:val="20"/>
          <w:szCs w:val="20"/>
        </w:rPr>
      </w:pPr>
      <w:r>
        <w:rPr>
          <w:rFonts w:ascii="Cambria" w:hAnsi="Cambria"/>
          <w:b/>
          <w:bCs/>
          <w:sz w:val="20"/>
          <w:szCs w:val="20"/>
        </w:rPr>
        <w:br w:type="page"/>
      </w:r>
    </w:p>
    <w:p w:rsidR="0042416E" w:rsidRPr="007D00E3" w:rsidRDefault="0042416E" w:rsidP="0042416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b/>
          <w:sz w:val="20"/>
          <w:szCs w:val="20"/>
        </w:rPr>
      </w:pPr>
      <w:r>
        <w:rPr>
          <w:rFonts w:ascii="Cambria" w:hAnsi="Cambria"/>
          <w:b/>
          <w:bCs/>
          <w:sz w:val="20"/>
          <w:szCs w:val="20"/>
        </w:rPr>
        <w:lastRenderedPageBreak/>
        <w:t>Admissibility requirements</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rPr>
      </w:pPr>
      <w:r>
        <w:rPr>
          <w:rFonts w:ascii="Cambria" w:hAnsi="Cambria"/>
          <w:b/>
          <w:bCs/>
          <w:sz w:val="20"/>
          <w:szCs w:val="20"/>
        </w:rPr>
        <w:t>1.</w:t>
      </w:r>
      <w:r>
        <w:rPr>
          <w:rFonts w:ascii="Cambria" w:hAnsi="Cambria"/>
          <w:b/>
          <w:bCs/>
          <w:sz w:val="20"/>
          <w:szCs w:val="20"/>
        </w:rPr>
        <w:tab/>
        <w:t>Exhaustion of domestic remedies</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Pr>
          <w:rFonts w:ascii="Cambria" w:hAnsi="Cambria"/>
          <w:sz w:val="20"/>
          <w:szCs w:val="20"/>
        </w:rPr>
        <w:t>Article 46(1)(a) of the American Convention  requires prior exhaustion of remedies available under domestic law in accordance with generally recognized principles of international law, as a prerequisite for admitting claims regarding alleged violation of the American Convention on Human Rights. This rule is designed to allow national authorities to examine alleged violations of protected rights and, as appropriate, to resolve the situation before it is taken up in an international proceeding. For its part, Article 46(2) provides that the requirement of prior exhaustion of domestic remedies is not applicable when: (a) domestic law does not afford due process of law for the protection of the right or rights that have allegedly been violated; (b) the party alleging violation of his rights has been denied access to the remedies under domestic law or has been prevented from exhausting them; and (c) there has been unwarranted delay in rendering a final judgment under the aforementioned remedies.</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Pr>
          <w:rFonts w:ascii="Cambria" w:hAnsi="Cambria"/>
          <w:sz w:val="20"/>
          <w:szCs w:val="20"/>
        </w:rPr>
        <w:t>In the instant case, the Commission notes that the petitioner filed an application for habeas corpus before the Mayor of Guayaquil on June 18, 1998, in which he set out the allegations contained in his petition to the IACHR. Furthermore, on July 31 of that year, he filed an action for habeas corpus before the Constitutional Court, for which no information has been provided regarding its final decision. By means of those applications, the alleged victim brought his allegations of arbitrary detention, psychological torture, unwarranted prolongation of pretrial detention, inhumane conditions of detention, and various injuries caused to him and his family to the attention of different public authorities.</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argues that the habeas corpus remedies were presented to the competent authorities and that they failed to render a decision on them within the time limits prescribed under domestic law. In addition, with regard to the aforementioned appeals for cassation and review, he says that since he was found innocent and his case was dismissed, those remedies were not applicable.</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For its part, the State contended in its reply of May 17, 2000, that domestic remedies have not been exhausted since a decision was still pending on the application for habeas corpus that the petitioner had filed before the Constitutional Court on July 31, 1998. Regarding the applications for habeas corpus filed before the Mayor of Guayaquil, the State only mentioned that the decisions on them were unfavorable to the petitioner. With regard to the delay in the consultation pending on the dismissal of his case, Ecuador said that the petitioner could have filed a motion for recusal against the judges of Sixth Division of the Superior Court of Justice of Guayas.</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In that connection, although it has been established by the Inter-American human rights system that in Ecuador at the time of the alleged facts the application for habeas corpus lodged before the mayor was not a suitable remedy as envisaged by the American Convention, the Commission notes that it was the remedy available at the time of the alleged facts and that it was indeed exhausted by the petitioner. As to the application for habeas corpus lodged before the Constitutional Court on July 31, 1998, the Commission notes that, as the State mentioned in its communication of May 17, 2000, it had apparently yet to be decided two years after its filing. During subsequent processing of this petition, neither of the parties has provided any information about a final decision on that application.</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Inter-American Commission observes that, as both parties indicate, the petitioner was released on September 1, 1998, after being held in pretrial detention for three years and six months, due to an order issued ex officio by the Sixth Division of the Superior Court of Justice of Guayas, as a consequence of the constitutional reform carried out by the National Constituent Assembly on June 5, 1998. That reform provided for the immediate release of all detainees whose cases had been ordered dismissed or who had been ordered acquitted, regardless of any pending decision under other remedies or consultation before the Superior Court of Justice of Guayaquil.</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Therefore, irrespective of any assessment that the Inter-American Commission may make in the stage on merits regarding the effectiveness of domestic remedies, the available information indicates that: </w:t>
      </w:r>
      <w:r>
        <w:rPr>
          <w:rFonts w:ascii="Cambria" w:hAnsi="Cambria"/>
          <w:sz w:val="20"/>
          <w:szCs w:val="20"/>
        </w:rPr>
        <w:lastRenderedPageBreak/>
        <w:t>(a) the petitioner invoked and exhausted the domestic remedies pertaining to the criminal proceeding against him; and (b), regarding the alleged excessively long pretrial detention, there was an unwarranted delay in the decision on the application for habeas corpus filed before the Constitutional Court. This Court took more than two years in rendering a decision on the said habeas corpus. By the time the petitioner was released it has still not delivered such decision.</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the other hand, the State has not demonstrated how the appeals for review and cassation could constitute effective remedies for the alleged violations of the petitioner's rights, given that his criminal trial did not result in a conviction. Furthermore, according to the information received by the Commission, those appeals would seem to be inapplicable given that their purpose is not to question the alleged improper and excessively long pretrial detention.</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relation to the submissions by the State that the petitioner should have filed a suit before the administrative jurisdiction against the public officials who participated in the alleged acts; and that he should have presented a motion to recuse the judges of the Sixth Division of the Superior Court of Guayas, the Commission reiterates its opinion that the requirement to exhaust domestic remedies does not mean that the alleged victims should have to exhaust all the remedies that exist. In that sense, the Commission notes that in this case the petitioner exhausted the remedies that were pertinent to the main violations alleged in his petition.</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Therefore, the Inter-American Commission concludes that the petitioner exhausted the remedies under domestic law within the terms of Article 46(1</w:t>
      </w:r>
      <w:proofErr w:type="gramStart"/>
      <w:r>
        <w:rPr>
          <w:rFonts w:ascii="Cambria" w:hAnsi="Cambria"/>
          <w:sz w:val="20"/>
          <w:szCs w:val="20"/>
        </w:rPr>
        <w:t>)(</w:t>
      </w:r>
      <w:proofErr w:type="gramEnd"/>
      <w:r>
        <w:rPr>
          <w:rFonts w:ascii="Cambria" w:hAnsi="Cambria"/>
          <w:sz w:val="20"/>
          <w:szCs w:val="20"/>
        </w:rPr>
        <w:t>a) of the American Convention in respect of the criminal proceeding conducted against him, and that the State engaged in unwarranted delay with regard to the alleged excessively long pretrial detention, under the terms of Article 46(2)(c) of the same treaty.</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rPr>
      </w:pPr>
      <w:r>
        <w:rPr>
          <w:rFonts w:ascii="Cambria" w:hAnsi="Cambria"/>
          <w:b/>
          <w:bCs/>
          <w:sz w:val="20"/>
          <w:szCs w:val="20"/>
        </w:rPr>
        <w:t>2.</w:t>
      </w:r>
      <w:r>
        <w:rPr>
          <w:rFonts w:ascii="Cambria" w:hAnsi="Cambria"/>
          <w:b/>
          <w:bCs/>
          <w:sz w:val="20"/>
          <w:szCs w:val="20"/>
        </w:rPr>
        <w:tab/>
        <w:t>Timeliness of the petition</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Article 46.1.b. of the Convention establishes that a petition may be admitted if it is lodged within a period of six months from the date on which the interested party was notified of the final judgment that exhausted domestic jurisdiction. In the instant case, the petition was lodged on August 10, 1998, and the decision that brought an end to the proceeding and ordered his release was issued on September 1 of that year. The implementation of that decision effectively concluded the criminal proceeding that was being pursued against the alleged victim, in light of which, the Commission concludes that the petition meets the requirement set down in Article 46(1</w:t>
      </w:r>
      <w:proofErr w:type="gramStart"/>
      <w:r>
        <w:rPr>
          <w:rFonts w:ascii="Cambria" w:hAnsi="Cambria"/>
          <w:sz w:val="20"/>
          <w:szCs w:val="20"/>
        </w:rPr>
        <w:t>)(</w:t>
      </w:r>
      <w:proofErr w:type="gramEnd"/>
      <w:r>
        <w:rPr>
          <w:rFonts w:ascii="Cambria" w:hAnsi="Cambria"/>
          <w:sz w:val="20"/>
          <w:szCs w:val="20"/>
        </w:rPr>
        <w:t>b) of the American Convention.</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3</w:t>
      </w:r>
      <w:r>
        <w:rPr>
          <w:rFonts w:ascii="Cambria" w:hAnsi="Cambria"/>
          <w:b/>
          <w:bCs/>
          <w:sz w:val="20"/>
          <w:szCs w:val="20"/>
        </w:rPr>
        <w:tab/>
        <w:t xml:space="preserve"> Duplication of proceedings and international </w:t>
      </w:r>
      <w:r>
        <w:rPr>
          <w:rFonts w:ascii="Cambria" w:hAnsi="Cambria"/>
          <w:b/>
          <w:bCs/>
          <w:i/>
          <w:iCs/>
          <w:sz w:val="20"/>
          <w:szCs w:val="20"/>
        </w:rPr>
        <w:t>res judicata</w:t>
      </w:r>
    </w:p>
    <w:p w:rsidR="0042416E"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Pr>
          <w:rFonts w:ascii="Cambria" w:hAnsi="Cambria"/>
          <w:sz w:val="20"/>
          <w:szCs w:val="20"/>
        </w:rPr>
        <w:t>There is nothing in the record to suggest that the subject matter of the petition is pending in another international proceeding for settlement or that it is substantially the same as one previously studied by this or any other international organization. Therefore, the causes for inadmissibility set down in Articles 46(1</w:t>
      </w:r>
      <w:proofErr w:type="gramStart"/>
      <w:r>
        <w:rPr>
          <w:rFonts w:ascii="Cambria" w:hAnsi="Cambria"/>
          <w:sz w:val="20"/>
          <w:szCs w:val="20"/>
        </w:rPr>
        <w:t>)(</w:t>
      </w:r>
      <w:proofErr w:type="gramEnd"/>
      <w:r>
        <w:rPr>
          <w:rFonts w:ascii="Cambria" w:hAnsi="Cambria"/>
          <w:sz w:val="20"/>
          <w:szCs w:val="20"/>
        </w:rPr>
        <w:t>c) and 47(d) of the Convention do not apply.</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b/>
          <w:bCs/>
          <w:sz w:val="20"/>
          <w:szCs w:val="20"/>
        </w:rPr>
      </w:pPr>
      <w:r>
        <w:rPr>
          <w:rFonts w:ascii="Cambria" w:hAnsi="Cambria"/>
          <w:b/>
          <w:bCs/>
          <w:sz w:val="20"/>
          <w:szCs w:val="20"/>
        </w:rPr>
        <w:t>4.</w:t>
      </w:r>
      <w:r>
        <w:rPr>
          <w:rFonts w:ascii="Cambria" w:hAnsi="Cambria"/>
          <w:b/>
          <w:bCs/>
          <w:sz w:val="20"/>
          <w:szCs w:val="20"/>
        </w:rPr>
        <w:tab/>
        <w:t>Colorable Claim</w:t>
      </w:r>
    </w:p>
    <w:p w:rsidR="0042416E" w:rsidRPr="007D00E3" w:rsidRDefault="0042416E" w:rsidP="0042416E">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Pr>
          <w:rFonts w:ascii="Cambria" w:eastAsia="SimSun" w:hAnsi="Cambria"/>
          <w:sz w:val="20"/>
          <w:szCs w:val="20"/>
        </w:rPr>
        <w:t xml:space="preserve">For the purposes of admissibility, the IACHR must decide, pursuant to Article 47(b) of the American Convention, whether the facts alleged could characterize a violation of rights, or, pursuant to paragraph (c) of said article, whether the petition is “manifestly groundless" or "obviously out of order." The standard by which these requirements are assessed is different from the one needed to decide the merits of a petition. The Commission must perform a </w:t>
      </w:r>
      <w:r>
        <w:rPr>
          <w:rFonts w:ascii="Cambria" w:eastAsia="SimSun" w:hAnsi="Cambria"/>
          <w:i/>
          <w:iCs/>
          <w:sz w:val="20"/>
          <w:szCs w:val="20"/>
        </w:rPr>
        <w:t>prima facie</w:t>
      </w:r>
      <w:r>
        <w:rPr>
          <w:rFonts w:ascii="Cambria" w:eastAsia="SimSun" w:hAnsi="Cambria"/>
          <w:sz w:val="20"/>
          <w:szCs w:val="20"/>
        </w:rPr>
        <w:t xml:space="preserve"> evaluation and determine whether the petition provides grounds for an apparent or potential violation of a right guaranteed by the American Convention, although not whether the violation has in fact occurred. This examination is a summary analysis that does not imply a prejudgment or preliminary opinion on the merits.</w:t>
      </w:r>
    </w:p>
    <w:p w:rsidR="0042416E" w:rsidRPr="007D00E3" w:rsidRDefault="0042416E" w:rsidP="0042416E">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Pr>
          <w:rFonts w:ascii="Cambria" w:eastAsia="SimSun" w:hAnsi="Cambria"/>
          <w:sz w:val="20"/>
          <w:szCs w:val="20"/>
        </w:rPr>
        <w:t xml:space="preserve">Neither the American Convention nor the Rules of Procedure of the IACHR require that the petitioners identify the specific rights allegedly violated by the State in a matter submitted to the IACHR, </w:t>
      </w:r>
      <w:r>
        <w:rPr>
          <w:rFonts w:ascii="Cambria" w:eastAsia="SimSun" w:hAnsi="Cambria"/>
          <w:sz w:val="20"/>
          <w:szCs w:val="20"/>
        </w:rPr>
        <w:lastRenderedPageBreak/>
        <w:t>though the petitioners may do so. Rather, it is up to the IACHR, based on the case-law of the system, to determine in its admissibility reports which provision of the relevant Inter-American instruments is applicable or could be deemed to have been violated, if the facts alleged are proven on the basis of sufficient evidence and legal arguments.</w:t>
      </w:r>
    </w:p>
    <w:p w:rsidR="0042416E" w:rsidRPr="007D00E3" w:rsidRDefault="0042416E" w:rsidP="0042416E">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Pr>
          <w:rFonts w:ascii="Cambria" w:eastAsia="SimSun" w:hAnsi="Cambria"/>
          <w:sz w:val="20"/>
          <w:szCs w:val="20"/>
        </w:rPr>
        <w:t xml:space="preserve">In the instant case, the Inter-American Commission notes that the allegations basically refer to purported acts of arbitrary detention and torture, violation of the right to due process during police investigations, excessively long pretrial detention, lack of effective judicial protection, and violation of the rights to be presumed innocent and to humane treatment. The State, for its part, argues that the right to a fair trial and the means for a proper legal defense not violated. </w:t>
      </w:r>
    </w:p>
    <w:p w:rsidR="0042416E" w:rsidRPr="007D00E3" w:rsidRDefault="0042416E" w:rsidP="0042416E">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Pr>
          <w:rFonts w:ascii="Cambria" w:eastAsia="SimSun" w:hAnsi="Cambria"/>
          <w:sz w:val="20"/>
          <w:szCs w:val="20"/>
        </w:rPr>
        <w:t>It is worth noting that in previous cases, in which similar submissions have been put forward, the IACHR has analyzed the legal framework in force and the actions carried out by the Ecuadorian State during the 1990s as part of its counter narcotics policy.</w:t>
      </w:r>
      <w:r>
        <w:rPr>
          <w:rStyle w:val="FootnoteReference"/>
          <w:rFonts w:ascii="Cambria" w:eastAsia="SimSun" w:hAnsi="Cambria"/>
          <w:sz w:val="20"/>
          <w:szCs w:val="20"/>
        </w:rPr>
        <w:footnoteReference w:id="2"/>
      </w:r>
      <w:r>
        <w:rPr>
          <w:rFonts w:ascii="Cambria" w:eastAsia="SimSun" w:hAnsi="Cambria"/>
          <w:sz w:val="20"/>
          <w:szCs w:val="20"/>
        </w:rPr>
        <w:t xml:space="preserve"> In that regard, the IACHR considers that, if proven, the alleged facts would characterize possible violations of rights guaranteed in Articles 5, 7, 8, and 25 of the American Convention, taken in conjunction with Articles 1(1) and 2 of that international instrument, to the detriment of Mr. Robert Angelo Vera Gomez.</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V.</w:t>
      </w:r>
      <w:r>
        <w:rPr>
          <w:rFonts w:ascii="Cambria" w:hAnsi="Cambria"/>
          <w:b/>
          <w:bCs/>
          <w:sz w:val="20"/>
          <w:szCs w:val="20"/>
        </w:rPr>
        <w:tab/>
        <w:t>CONCLUSIONS</w:t>
      </w:r>
    </w:p>
    <w:p w:rsidR="0042416E" w:rsidRPr="007D00E3" w:rsidRDefault="0042416E" w:rsidP="00424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Based on the arguments of fact and law set forth above, the Commission concludes that the present petition meets the admissibility requirements set down in Articles 46 and 47 of the American Convention and, without prejudging the merits of the matter,</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center"/>
        <w:rPr>
          <w:rFonts w:ascii="Cambria" w:hAnsi="Cambria"/>
          <w:b/>
          <w:bCs/>
          <w:sz w:val="20"/>
          <w:szCs w:val="20"/>
        </w:rPr>
      </w:pPr>
      <w:r>
        <w:rPr>
          <w:rFonts w:ascii="Cambria" w:hAnsi="Cambria"/>
          <w:b/>
          <w:bCs/>
          <w:sz w:val="20"/>
          <w:szCs w:val="20"/>
        </w:rPr>
        <w:t>THE INTER-AMERICAN COMMISSION ON HUMAN RIGHTS</w:t>
      </w:r>
    </w:p>
    <w:p w:rsidR="0042416E" w:rsidRPr="007D00E3" w:rsidRDefault="0042416E" w:rsidP="0042416E">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DECIDES:</w:t>
      </w:r>
    </w:p>
    <w:p w:rsidR="0042416E" w:rsidRPr="007D00E3" w:rsidRDefault="0042416E" w:rsidP="0042416E">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sz w:val="20"/>
          <w:szCs w:val="20"/>
        </w:rPr>
      </w:pPr>
      <w:r>
        <w:rPr>
          <w:sz w:val="20"/>
          <w:szCs w:val="20"/>
        </w:rPr>
        <w:t xml:space="preserve">To declare the instant petition admissible in relation to Articles 5, 7, 8, and 25 of the American Convention, in conjunction with the obligations contained in </w:t>
      </w:r>
      <w:r>
        <w:rPr>
          <w:color w:val="auto"/>
          <w:sz w:val="20"/>
          <w:szCs w:val="20"/>
        </w:rPr>
        <w:t>Articles 1(1) and 2 of</w:t>
      </w:r>
      <w:r>
        <w:rPr>
          <w:sz w:val="20"/>
          <w:szCs w:val="20"/>
        </w:rPr>
        <w:t xml:space="preserve"> that instrument.</w:t>
      </w:r>
    </w:p>
    <w:p w:rsidR="0042416E" w:rsidRPr="007D00E3" w:rsidRDefault="0042416E" w:rsidP="0042416E">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sz w:val="20"/>
          <w:szCs w:val="20"/>
        </w:rPr>
      </w:pPr>
      <w:r>
        <w:rPr>
          <w:sz w:val="20"/>
          <w:szCs w:val="20"/>
        </w:rPr>
        <w:t>To notify the parties of this decision.</w:t>
      </w:r>
    </w:p>
    <w:p w:rsidR="0042416E" w:rsidRPr="007D00E3" w:rsidRDefault="0042416E" w:rsidP="0042416E">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sz w:val="20"/>
          <w:szCs w:val="20"/>
        </w:rPr>
      </w:pPr>
      <w:r>
        <w:rPr>
          <w:sz w:val="20"/>
          <w:szCs w:val="20"/>
        </w:rPr>
        <w:t>To proceed with its analysis of merits in the matter.</w:t>
      </w:r>
    </w:p>
    <w:p w:rsidR="0042416E" w:rsidRPr="00B95775" w:rsidRDefault="0042416E" w:rsidP="0042416E">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sz w:val="20"/>
          <w:szCs w:val="20"/>
        </w:rPr>
      </w:pPr>
      <w:r>
        <w:rPr>
          <w:sz w:val="20"/>
          <w:szCs w:val="20"/>
        </w:rPr>
        <w:t>To publish this decision and include it in its Annual Report to the General Assembly of the Organization of American States.</w:t>
      </w:r>
    </w:p>
    <w:p w:rsidR="00521C05" w:rsidRPr="00521C05" w:rsidRDefault="00521C05" w:rsidP="00521C05">
      <w:pPr>
        <w:suppressAutoHyphens/>
        <w:ind w:firstLine="720"/>
        <w:jc w:val="both"/>
        <w:rPr>
          <w:rFonts w:asciiTheme="majorHAnsi" w:hAnsiTheme="majorHAnsi"/>
          <w:spacing w:val="-2"/>
          <w:sz w:val="20"/>
        </w:rPr>
      </w:pPr>
      <w:r w:rsidRPr="00521C05">
        <w:rPr>
          <w:rFonts w:asciiTheme="majorHAnsi" w:hAnsiTheme="majorHAnsi"/>
          <w:spacing w:val="-2"/>
          <w:sz w:val="20"/>
        </w:rPr>
        <w:t xml:space="preserve">Done and signed in the city of Washington, D.C., on the 15th day of the month of April, 2016. (Signed):  </w:t>
      </w:r>
      <w:r w:rsidRPr="00521C05">
        <w:rPr>
          <w:rFonts w:asciiTheme="majorHAnsi" w:hAnsiTheme="majorHAnsi" w:cs="Arial"/>
          <w:noProof/>
          <w:spacing w:val="-2"/>
          <w:sz w:val="20"/>
        </w:rPr>
        <w:t xml:space="preserve">James L. Cavallaro, </w:t>
      </w:r>
      <w:r w:rsidRPr="00521C05">
        <w:rPr>
          <w:rFonts w:asciiTheme="majorHAnsi" w:hAnsiTheme="majorHAnsi"/>
          <w:sz w:val="20"/>
        </w:rPr>
        <w:t xml:space="preserve">President; </w:t>
      </w:r>
      <w:r w:rsidRPr="00521C05">
        <w:rPr>
          <w:rFonts w:asciiTheme="majorHAnsi" w:hAnsiTheme="majorHAnsi" w:cs="Arial"/>
          <w:noProof/>
          <w:spacing w:val="-2"/>
          <w:sz w:val="20"/>
        </w:rPr>
        <w:t>Francisco José Eguiguren</w:t>
      </w:r>
      <w:r w:rsidRPr="00521C05">
        <w:rPr>
          <w:rFonts w:asciiTheme="majorHAnsi" w:hAnsiTheme="majorHAnsi"/>
          <w:spacing w:val="-2"/>
          <w:sz w:val="20"/>
        </w:rPr>
        <w:t>, First Vice President;</w:t>
      </w:r>
      <w:r w:rsidRPr="00521C05">
        <w:rPr>
          <w:rFonts w:asciiTheme="majorHAnsi" w:hAnsiTheme="majorHAnsi" w:cs="Arial"/>
          <w:noProof/>
          <w:spacing w:val="-2"/>
          <w:sz w:val="20"/>
        </w:rPr>
        <w:t xml:space="preserve"> Margarette May Macaulay, Second Vice President;</w:t>
      </w:r>
      <w:r w:rsidRPr="00521C05">
        <w:rPr>
          <w:rFonts w:asciiTheme="majorHAnsi" w:hAnsiTheme="majorHAnsi"/>
          <w:sz w:val="20"/>
        </w:rPr>
        <w:t xml:space="preserve"> </w:t>
      </w:r>
      <w:r w:rsidRPr="00521C05">
        <w:rPr>
          <w:rFonts w:asciiTheme="majorHAnsi" w:hAnsiTheme="majorHAnsi" w:cs="Arial"/>
          <w:noProof/>
          <w:spacing w:val="-2"/>
          <w:sz w:val="20"/>
        </w:rPr>
        <w:t>José de Jesús Orozco Henríquez,  and Esmeralda E. Arosemena Bernal de Troitiño</w:t>
      </w:r>
      <w:proofErr w:type="gramStart"/>
      <w:r w:rsidRPr="00521C05">
        <w:rPr>
          <w:rFonts w:asciiTheme="majorHAnsi" w:hAnsiTheme="majorHAnsi" w:cs="Arial"/>
          <w:noProof/>
          <w:spacing w:val="-2"/>
          <w:sz w:val="20"/>
        </w:rPr>
        <w:t xml:space="preserve">,  </w:t>
      </w:r>
      <w:r w:rsidRPr="00521C05">
        <w:rPr>
          <w:rFonts w:asciiTheme="majorHAnsi" w:hAnsiTheme="majorHAnsi"/>
          <w:spacing w:val="-2"/>
          <w:sz w:val="20"/>
        </w:rPr>
        <w:t>Commissioners</w:t>
      </w:r>
      <w:proofErr w:type="gramEnd"/>
      <w:r w:rsidRPr="00521C05">
        <w:rPr>
          <w:rFonts w:asciiTheme="majorHAnsi" w:hAnsiTheme="majorHAnsi"/>
          <w:spacing w:val="-2"/>
          <w:sz w:val="20"/>
        </w:rPr>
        <w:t>.</w:t>
      </w:r>
    </w:p>
    <w:p w:rsidR="00C55560" w:rsidRPr="00145EDC" w:rsidRDefault="00C55560" w:rsidP="00521C05">
      <w:pPr>
        <w:tabs>
          <w:tab w:val="center" w:pos="5400"/>
        </w:tabs>
        <w:suppressAutoHyphens/>
        <w:spacing w:line="276" w:lineRule="auto"/>
        <w:jc w:val="both"/>
        <w:rPr>
          <w:rFonts w:asciiTheme="majorHAnsi" w:hAnsiTheme="majorHAnsi"/>
          <w:sz w:val="20"/>
          <w:szCs w:val="20"/>
        </w:rPr>
      </w:pPr>
    </w:p>
    <w:sectPr w:rsidR="00C55560" w:rsidRPr="00145EDC" w:rsidSect="0042416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E8" w:rsidRDefault="00DC69E8" w:rsidP="00036A8A">
      <w:r>
        <w:separator/>
      </w:r>
    </w:p>
  </w:endnote>
  <w:endnote w:type="continuationSeparator" w:id="0">
    <w:p w:rsidR="00DC69E8" w:rsidRDefault="00DC69E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E0" w:rsidRDefault="00CF5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13073">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E8" w:rsidRPr="00036A8A" w:rsidRDefault="00DC69E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C69E8" w:rsidRPr="00036A8A" w:rsidRDefault="00DC69E8" w:rsidP="00036A8A">
      <w:pPr>
        <w:rPr>
          <w:rFonts w:asciiTheme="majorHAnsi" w:hAnsiTheme="majorHAnsi"/>
          <w:sz w:val="16"/>
          <w:szCs w:val="16"/>
        </w:rPr>
      </w:pPr>
      <w:r w:rsidRPr="00036A8A">
        <w:rPr>
          <w:rFonts w:asciiTheme="majorHAnsi" w:hAnsiTheme="majorHAnsi"/>
          <w:sz w:val="16"/>
          <w:szCs w:val="16"/>
        </w:rPr>
        <w:separator/>
      </w:r>
    </w:p>
    <w:p w:rsidR="00DC69E8" w:rsidRPr="00036A8A" w:rsidRDefault="00DC69E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C69E8" w:rsidRPr="0093441A" w:rsidRDefault="00DC69E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42416E" w:rsidRPr="00B95775" w:rsidRDefault="0042416E" w:rsidP="0042416E">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See in that connection, for example, IACHR, Report No. 55/15. </w:t>
      </w:r>
      <w:r w:rsidRPr="00F13073">
        <w:rPr>
          <w:rFonts w:ascii="Cambria" w:hAnsi="Cambria"/>
          <w:sz w:val="16"/>
          <w:szCs w:val="16"/>
          <w:lang w:val="es-UY"/>
        </w:rPr>
        <w:t xml:space="preserve">Petition 12.236, Fausto René Sisa Páez, Ecuador, October 17, 2015; Report No. IACHR, Report No. 155/11, Petitions 12.087, Walter Ernesto Reyes Mantilla, 12.235, Vicente Hipólito Arce Ronquillo, 12.235, José Frank Serrano Barrera, Admissibility, Ecuador, November 2, 2011; IACHR, Report No. 3/10, Petition 12.088, Admissibility, Segundo Norberto Contreras Contreras, Ecuador, March 15, 2010; IACHR, Report No. 66/01, Case 11.992, Merits, Dayra Maria Levoyer Jiménez, Ecuador, June 14, 2001; IACHR, Report No. 64/99, Case 11.778, Merits, Ruth del Rosario Garcés Valladares, Ecuador, April 13, 1999; I/A Court HR </w:t>
      </w:r>
      <w:r w:rsidRPr="00F13073">
        <w:rPr>
          <w:rFonts w:ascii="Cambria" w:hAnsi="Cambria"/>
          <w:i/>
          <w:iCs/>
          <w:sz w:val="16"/>
          <w:szCs w:val="16"/>
          <w:lang w:val="es-UY"/>
        </w:rPr>
        <w:t>Case of Chaparro Álvarez and Lapo Íñiguez.</w:t>
      </w:r>
      <w:r w:rsidRPr="00F13073">
        <w:rPr>
          <w:rFonts w:ascii="Cambria" w:hAnsi="Cambria"/>
          <w:sz w:val="16"/>
          <w:szCs w:val="16"/>
          <w:lang w:val="es-UY"/>
        </w:rPr>
        <w:t xml:space="preserve"> v. Ecuador. </w:t>
      </w:r>
      <w:proofErr w:type="gramStart"/>
      <w:r>
        <w:rPr>
          <w:rFonts w:ascii="Cambria" w:hAnsi="Cambria"/>
          <w:sz w:val="16"/>
          <w:szCs w:val="16"/>
        </w:rPr>
        <w:t>Preliminary Objections, Merits, Reparations, and Costs.</w:t>
      </w:r>
      <w:proofErr w:type="gramEnd"/>
      <w:r>
        <w:rPr>
          <w:rFonts w:ascii="Cambria" w:hAnsi="Cambria"/>
          <w:sz w:val="16"/>
          <w:szCs w:val="16"/>
        </w:rPr>
        <w:t xml:space="preserve"> Judgment of November 21, 2007. </w:t>
      </w:r>
      <w:proofErr w:type="gramStart"/>
      <w:r>
        <w:rPr>
          <w:rFonts w:ascii="Cambria" w:hAnsi="Cambria"/>
          <w:sz w:val="16"/>
          <w:szCs w:val="16"/>
        </w:rPr>
        <w:t xml:space="preserve">Series C No. 170; I/A Court H.R. </w:t>
      </w:r>
      <w:r>
        <w:rPr>
          <w:rFonts w:ascii="Cambria" w:hAnsi="Cambria"/>
          <w:i/>
          <w:iCs/>
          <w:sz w:val="16"/>
          <w:szCs w:val="16"/>
        </w:rPr>
        <w:t xml:space="preserve">Case of </w:t>
      </w:r>
      <w:proofErr w:type="spellStart"/>
      <w:r>
        <w:rPr>
          <w:rFonts w:ascii="Cambria" w:hAnsi="Cambria"/>
          <w:i/>
          <w:iCs/>
          <w:sz w:val="16"/>
          <w:szCs w:val="16"/>
        </w:rPr>
        <w:t>Tibi</w:t>
      </w:r>
      <w:proofErr w:type="spellEnd"/>
      <w:r>
        <w:rPr>
          <w:rFonts w:ascii="Cambria" w:hAnsi="Cambria"/>
          <w:i/>
          <w:iCs/>
          <w:sz w:val="16"/>
          <w:szCs w:val="16"/>
        </w:rPr>
        <w:t xml:space="preserve"> v.</w:t>
      </w:r>
      <w:r>
        <w:rPr>
          <w:rFonts w:ascii="Cambria" w:hAnsi="Cambria"/>
          <w:sz w:val="16"/>
          <w:szCs w:val="16"/>
        </w:rPr>
        <w:t xml:space="preserve"> Ecuador.</w:t>
      </w:r>
      <w:proofErr w:type="gramEnd"/>
      <w:r>
        <w:rPr>
          <w:rFonts w:ascii="Cambria" w:hAnsi="Cambria"/>
          <w:sz w:val="16"/>
          <w:szCs w:val="16"/>
        </w:rPr>
        <w:t xml:space="preserve"> Judgment of September 7, 2004. </w:t>
      </w:r>
      <w:proofErr w:type="gramStart"/>
      <w:r>
        <w:rPr>
          <w:rFonts w:ascii="Cambria" w:hAnsi="Cambria"/>
          <w:sz w:val="16"/>
          <w:szCs w:val="16"/>
        </w:rPr>
        <w:t xml:space="preserve">Series C No. 114; I/A Court H.R. </w:t>
      </w:r>
      <w:r>
        <w:rPr>
          <w:rFonts w:ascii="Cambria" w:hAnsi="Cambria"/>
          <w:i/>
          <w:iCs/>
          <w:sz w:val="16"/>
          <w:szCs w:val="16"/>
        </w:rPr>
        <w:t xml:space="preserve">Case of Suárez </w:t>
      </w:r>
      <w:proofErr w:type="spellStart"/>
      <w:r>
        <w:rPr>
          <w:rFonts w:ascii="Cambria" w:hAnsi="Cambria"/>
          <w:i/>
          <w:iCs/>
          <w:sz w:val="16"/>
          <w:szCs w:val="16"/>
        </w:rPr>
        <w:t>Rosero</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Ecuador</w:t>
      </w:r>
      <w:r>
        <w:rPr>
          <w:rFonts w:ascii="Cambria" w:hAnsi="Cambria"/>
          <w:sz w:val="16"/>
          <w:szCs w:val="16"/>
        </w:rPr>
        <w:t>.</w:t>
      </w:r>
      <w:proofErr w:type="gramEnd"/>
      <w:r>
        <w:rPr>
          <w:rFonts w:ascii="Cambria" w:hAnsi="Cambria"/>
          <w:sz w:val="16"/>
          <w:szCs w:val="16"/>
        </w:rPr>
        <w:t xml:space="preserve"> Judgment of November 12, 1997. </w:t>
      </w:r>
      <w:proofErr w:type="gramStart"/>
      <w:r>
        <w:rPr>
          <w:rFonts w:ascii="Cambria" w:hAnsi="Cambria"/>
          <w:sz w:val="16"/>
          <w:szCs w:val="16"/>
        </w:rPr>
        <w:t>Series C No. 35.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lang w:val="es-UY" w:eastAsia="es-UY"/>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1307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E0" w:rsidRDefault="00CF5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80CEF4F2"/>
    <w:lvl w:ilvl="0" w:tplc="BF2209A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2416E"/>
    <w:rsid w:val="00450A4A"/>
    <w:rsid w:val="004666FB"/>
    <w:rsid w:val="00467B7E"/>
    <w:rsid w:val="0049419D"/>
    <w:rsid w:val="004B2762"/>
    <w:rsid w:val="004B7EB6"/>
    <w:rsid w:val="004C4B62"/>
    <w:rsid w:val="004D6025"/>
    <w:rsid w:val="004D72BC"/>
    <w:rsid w:val="00501399"/>
    <w:rsid w:val="00507BC4"/>
    <w:rsid w:val="005128E4"/>
    <w:rsid w:val="00521C05"/>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1355"/>
    <w:rsid w:val="00925FCD"/>
    <w:rsid w:val="0093441A"/>
    <w:rsid w:val="00954BF7"/>
    <w:rsid w:val="0096706E"/>
    <w:rsid w:val="00981FBA"/>
    <w:rsid w:val="009B381B"/>
    <w:rsid w:val="009D7611"/>
    <w:rsid w:val="009E53DE"/>
    <w:rsid w:val="00A43458"/>
    <w:rsid w:val="00A528D1"/>
    <w:rsid w:val="00A66BE5"/>
    <w:rsid w:val="00AD37C1"/>
    <w:rsid w:val="00AE13C0"/>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0015"/>
    <w:rsid w:val="00C55560"/>
    <w:rsid w:val="00C66B72"/>
    <w:rsid w:val="00C9567A"/>
    <w:rsid w:val="00CB2660"/>
    <w:rsid w:val="00CC5E90"/>
    <w:rsid w:val="00CD046C"/>
    <w:rsid w:val="00CE5199"/>
    <w:rsid w:val="00CE66D5"/>
    <w:rsid w:val="00CF5EE0"/>
    <w:rsid w:val="00D34786"/>
    <w:rsid w:val="00D40A1E"/>
    <w:rsid w:val="00D52EB9"/>
    <w:rsid w:val="00D712D3"/>
    <w:rsid w:val="00D71422"/>
    <w:rsid w:val="00D7145E"/>
    <w:rsid w:val="00D7558D"/>
    <w:rsid w:val="00D81D92"/>
    <w:rsid w:val="00D93446"/>
    <w:rsid w:val="00D93F3E"/>
    <w:rsid w:val="00DA7B5F"/>
    <w:rsid w:val="00DC69E8"/>
    <w:rsid w:val="00E43157"/>
    <w:rsid w:val="00E533FF"/>
    <w:rsid w:val="00E709B3"/>
    <w:rsid w:val="00E8789F"/>
    <w:rsid w:val="00E97B71"/>
    <w:rsid w:val="00EB454D"/>
    <w:rsid w:val="00EE3522"/>
    <w:rsid w:val="00EF619B"/>
    <w:rsid w:val="00F00B55"/>
    <w:rsid w:val="00F13073"/>
    <w:rsid w:val="00F1380F"/>
    <w:rsid w:val="00F14F0E"/>
    <w:rsid w:val="00F24C29"/>
    <w:rsid w:val="00F253CC"/>
    <w:rsid w:val="00F56BA5"/>
    <w:rsid w:val="00F644E6"/>
    <w:rsid w:val="00F9653B"/>
    <w:rsid w:val="00FB62CF"/>
    <w:rsid w:val="00FC13F8"/>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B5C7-703D-47D9-A1B7-E97F2714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3516</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20/16</dc:title>
  <dc:creator/>
  <cp:lastModifiedBy/>
  <cp:revision>1</cp:revision>
  <dcterms:created xsi:type="dcterms:W3CDTF">2016-10-03T13:39:00Z</dcterms:created>
  <dcterms:modified xsi:type="dcterms:W3CDTF">2016-10-06T15:22:00Z</dcterms:modified>
</cp:coreProperties>
</file>