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24A6" w14:textId="77777777" w:rsidR="007053F9" w:rsidRPr="000356AC" w:rsidRDefault="007053F9">
      <w:pPr>
        <w:rPr>
          <w:rFonts w:ascii="Times New Roman" w:eastAsia="Times New Roman" w:hAnsi="Times New Roman" w:cs="Times New Roman"/>
          <w:b/>
          <w:bCs/>
          <w:color w:val="0E101A"/>
        </w:rPr>
      </w:pPr>
    </w:p>
    <w:p w14:paraId="1EFDE201" w14:textId="77777777" w:rsidR="007053F9" w:rsidRPr="000356AC" w:rsidRDefault="00510806">
      <w:pPr>
        <w:ind w:left="720"/>
        <w:rPr>
          <w:rFonts w:ascii="Times New Roman" w:eastAsia="Times New Roman" w:hAnsi="Times New Roman" w:cs="Times New Roman"/>
          <w:b/>
          <w:bCs/>
          <w:i/>
          <w:color w:val="0E101A"/>
        </w:rPr>
      </w:pPr>
      <w:r w:rsidRPr="000356AC">
        <w:rPr>
          <w:rFonts w:ascii="Times New Roman" w:eastAsia="Times New Roman" w:hAnsi="Times New Roman" w:cs="Times New Roman"/>
          <w:b/>
          <w:bCs/>
          <w:i/>
          <w:color w:val="0E101A"/>
        </w:rPr>
        <w:t xml:space="preserve">Join actions to ensure the application of the principles of the Inter-American Convention for the Eradication of all forms of discrimination and intolerance among member states </w:t>
      </w:r>
    </w:p>
    <w:p w14:paraId="37196EB1" w14:textId="77777777" w:rsidR="007053F9" w:rsidRDefault="007053F9">
      <w:pPr>
        <w:rPr>
          <w:rFonts w:ascii="Times New Roman" w:eastAsia="Times New Roman" w:hAnsi="Times New Roman" w:cs="Times New Roman"/>
          <w:color w:val="0E101A"/>
        </w:rPr>
      </w:pPr>
    </w:p>
    <w:p w14:paraId="65B83B77" w14:textId="77777777" w:rsidR="007053F9" w:rsidRDefault="00510806">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Draft Resolution Presented by the Delegations of Antigua and Barbuda, Argentina, Barbados, Belize, Bolivia, Brazil, Canada, Chile, Colombia, Costa Rica, Dominica, and the Dominican Republic. </w:t>
      </w:r>
    </w:p>
    <w:p w14:paraId="67CE22CA" w14:textId="77777777" w:rsidR="007053F9" w:rsidRDefault="007053F9">
      <w:pPr>
        <w:rPr>
          <w:rFonts w:ascii="Times New Roman" w:eastAsia="Times New Roman" w:hAnsi="Times New Roman" w:cs="Times New Roman"/>
          <w:color w:val="0E101A"/>
        </w:rPr>
      </w:pPr>
    </w:p>
    <w:p w14:paraId="6A198210" w14:textId="77777777" w:rsidR="007053F9" w:rsidRDefault="00510806">
      <w:pPr>
        <w:rPr>
          <w:rFonts w:ascii="Times New Roman" w:eastAsia="Times New Roman" w:hAnsi="Times New Roman" w:cs="Times New Roman"/>
          <w:color w:val="0E101A"/>
        </w:rPr>
      </w:pPr>
      <w:r>
        <w:rPr>
          <w:rFonts w:ascii="Times New Roman" w:eastAsia="Times New Roman" w:hAnsi="Times New Roman" w:cs="Times New Roman"/>
          <w:color w:val="0E101A"/>
        </w:rPr>
        <w:t>GENERAL ASSEMBLY,</w:t>
      </w:r>
    </w:p>
    <w:p w14:paraId="6F9F821E" w14:textId="77777777" w:rsidR="007053F9" w:rsidRDefault="007053F9">
      <w:pPr>
        <w:rPr>
          <w:rFonts w:ascii="Times New Roman" w:eastAsia="Times New Roman" w:hAnsi="Times New Roman" w:cs="Times New Roman"/>
          <w:color w:val="0E101A"/>
        </w:rPr>
      </w:pPr>
    </w:p>
    <w:p w14:paraId="554F9EBA" w14:textId="77777777" w:rsidR="007053F9" w:rsidRDefault="00510806">
      <w:pPr>
        <w:rPr>
          <w:rFonts w:ascii="Times New Roman" w:eastAsia="Times New Roman" w:hAnsi="Times New Roman" w:cs="Times New Roman"/>
          <w:color w:val="0E101A"/>
        </w:rPr>
      </w:pPr>
      <w:r>
        <w:rPr>
          <w:rFonts w:ascii="Times New Roman" w:eastAsia="Times New Roman" w:hAnsi="Times New Roman" w:cs="Times New Roman"/>
          <w:b/>
          <w:color w:val="0E101A"/>
        </w:rPr>
        <w:t>UPHOLDING</w:t>
      </w:r>
      <w:r>
        <w:rPr>
          <w:rFonts w:ascii="Times New Roman" w:eastAsia="Times New Roman" w:hAnsi="Times New Roman" w:cs="Times New Roman"/>
          <w:color w:val="0E101A"/>
        </w:rPr>
        <w:t xml:space="preserve"> the principles expressed in “Inter-American Convention against Racism, Racial Discrimination, and Related Forms of </w:t>
      </w:r>
      <w:proofErr w:type="gramStart"/>
      <w:r>
        <w:rPr>
          <w:rFonts w:ascii="Times New Roman" w:eastAsia="Times New Roman" w:hAnsi="Times New Roman" w:cs="Times New Roman"/>
          <w:color w:val="0E101A"/>
        </w:rPr>
        <w:t>Intolerance”(</w:t>
      </w:r>
      <w:proofErr w:type="gramEnd"/>
      <w:r>
        <w:rPr>
          <w:rFonts w:ascii="Times New Roman" w:eastAsia="Times New Roman" w:hAnsi="Times New Roman" w:cs="Times New Roman"/>
          <w:color w:val="0E101A"/>
        </w:rPr>
        <w:t>A-68), the “Inter-American Convention against All Forms of Racism and Intolerance”(A-69), as well as other related jurisprudence.</w:t>
      </w:r>
    </w:p>
    <w:p w14:paraId="6A8919B6" w14:textId="77777777" w:rsidR="007053F9" w:rsidRDefault="007053F9">
      <w:pPr>
        <w:rPr>
          <w:rFonts w:ascii="Times New Roman" w:eastAsia="Times New Roman" w:hAnsi="Times New Roman" w:cs="Times New Roman"/>
          <w:color w:val="0E101A"/>
        </w:rPr>
      </w:pPr>
    </w:p>
    <w:p w14:paraId="28AC5AA6" w14:textId="77777777" w:rsidR="007053F9" w:rsidRDefault="00510806">
      <w:pPr>
        <w:rPr>
          <w:rFonts w:ascii="Times New Roman" w:eastAsia="Times New Roman" w:hAnsi="Times New Roman" w:cs="Times New Roman"/>
          <w:color w:val="0E101A"/>
        </w:rPr>
      </w:pPr>
      <w:r>
        <w:rPr>
          <w:rFonts w:ascii="Times New Roman" w:eastAsia="Times New Roman" w:hAnsi="Times New Roman" w:cs="Times New Roman"/>
          <w:b/>
          <w:color w:val="0E101A"/>
        </w:rPr>
        <w:t>CONSCIOUS</w:t>
      </w:r>
      <w:r>
        <w:rPr>
          <w:rFonts w:ascii="Times New Roman" w:eastAsia="Times New Roman" w:hAnsi="Times New Roman" w:cs="Times New Roman"/>
          <w:color w:val="0E101A"/>
        </w:rPr>
        <w:t xml:space="preserve"> of member states’ history of colonialism and the resulting detrimental effects left on racial relations and current societal frameworks.</w:t>
      </w:r>
    </w:p>
    <w:p w14:paraId="771E4B9F" w14:textId="77777777" w:rsidR="007053F9" w:rsidRDefault="007053F9">
      <w:pPr>
        <w:rPr>
          <w:rFonts w:ascii="Times New Roman" w:eastAsia="Times New Roman" w:hAnsi="Times New Roman" w:cs="Times New Roman"/>
          <w:color w:val="0E101A"/>
        </w:rPr>
      </w:pPr>
    </w:p>
    <w:p w14:paraId="6048113D" w14:textId="77777777" w:rsidR="007053F9" w:rsidRDefault="00510806">
      <w:pPr>
        <w:rPr>
          <w:rFonts w:ascii="Times New Roman" w:eastAsia="Times New Roman" w:hAnsi="Times New Roman" w:cs="Times New Roman"/>
          <w:color w:val="0E101A"/>
        </w:rPr>
      </w:pPr>
      <w:r>
        <w:rPr>
          <w:rFonts w:ascii="Times New Roman" w:eastAsia="Times New Roman" w:hAnsi="Times New Roman" w:cs="Times New Roman"/>
          <w:b/>
          <w:color w:val="0E101A"/>
        </w:rPr>
        <w:t>COOPERATING</w:t>
      </w:r>
      <w:r>
        <w:rPr>
          <w:rFonts w:ascii="Times New Roman" w:eastAsia="Times New Roman" w:hAnsi="Times New Roman" w:cs="Times New Roman"/>
          <w:color w:val="0E101A"/>
        </w:rPr>
        <w:t xml:space="preserve"> with the judgments and responses of underrepresented social groups and NGOs to act against discrimination.</w:t>
      </w:r>
    </w:p>
    <w:p w14:paraId="47CA4260" w14:textId="77777777" w:rsidR="007053F9" w:rsidRDefault="007053F9">
      <w:pPr>
        <w:rPr>
          <w:rFonts w:ascii="Times New Roman" w:eastAsia="Times New Roman" w:hAnsi="Times New Roman" w:cs="Times New Roman"/>
          <w:color w:val="0E101A"/>
        </w:rPr>
      </w:pPr>
    </w:p>
    <w:p w14:paraId="35614853" w14:textId="77777777" w:rsidR="007053F9" w:rsidRDefault="00510806">
      <w:pPr>
        <w:rPr>
          <w:rFonts w:ascii="Times New Roman" w:eastAsia="Times New Roman" w:hAnsi="Times New Roman" w:cs="Times New Roman"/>
          <w:color w:val="0E101A"/>
        </w:rPr>
      </w:pPr>
      <w:r>
        <w:rPr>
          <w:rFonts w:ascii="Times New Roman" w:eastAsia="Times New Roman" w:hAnsi="Times New Roman" w:cs="Times New Roman"/>
          <w:b/>
          <w:color w:val="0E101A"/>
        </w:rPr>
        <w:t xml:space="preserve">EMPHASIZING </w:t>
      </w:r>
      <w:r>
        <w:rPr>
          <w:rFonts w:ascii="Times New Roman" w:eastAsia="Times New Roman" w:hAnsi="Times New Roman" w:cs="Times New Roman"/>
          <w:color w:val="0E101A"/>
        </w:rPr>
        <w:t>member states’ sovereignty and inherent right to govern themselves.</w:t>
      </w:r>
    </w:p>
    <w:p w14:paraId="70205DC2" w14:textId="77777777" w:rsidR="007053F9" w:rsidRDefault="007053F9">
      <w:pPr>
        <w:rPr>
          <w:rFonts w:ascii="Times New Roman" w:eastAsia="Times New Roman" w:hAnsi="Times New Roman" w:cs="Times New Roman"/>
          <w:color w:val="0E101A"/>
        </w:rPr>
      </w:pPr>
    </w:p>
    <w:p w14:paraId="24B9D1DE" w14:textId="77777777" w:rsidR="007053F9" w:rsidRDefault="00510806">
      <w:pPr>
        <w:rPr>
          <w:rFonts w:ascii="Times New Roman" w:eastAsia="Times New Roman" w:hAnsi="Times New Roman" w:cs="Times New Roman"/>
          <w:color w:val="0E101A"/>
        </w:rPr>
      </w:pPr>
      <w:r>
        <w:rPr>
          <w:rFonts w:ascii="Times New Roman" w:eastAsia="Times New Roman" w:hAnsi="Times New Roman" w:cs="Times New Roman"/>
          <w:color w:val="0E101A"/>
        </w:rPr>
        <w:t>RESOLVES:</w:t>
      </w:r>
    </w:p>
    <w:p w14:paraId="07B4E4D4" w14:textId="77777777" w:rsidR="007053F9" w:rsidRDefault="007053F9">
      <w:pPr>
        <w:rPr>
          <w:rFonts w:ascii="Times New Roman" w:eastAsia="Times New Roman" w:hAnsi="Times New Roman" w:cs="Times New Roman"/>
          <w:color w:val="0E101A"/>
        </w:rPr>
      </w:pPr>
    </w:p>
    <w:p w14:paraId="41BB4ED0" w14:textId="77777777" w:rsidR="007053F9" w:rsidRDefault="00510806">
      <w:pPr>
        <w:numPr>
          <w:ilvl w:val="0"/>
          <w:numId w:val="1"/>
        </w:numPr>
        <w:rPr>
          <w:rFonts w:ascii="Times New Roman" w:eastAsia="Times New Roman" w:hAnsi="Times New Roman" w:cs="Times New Roman"/>
        </w:rPr>
      </w:pPr>
      <w:r>
        <w:rPr>
          <w:rFonts w:ascii="Times New Roman" w:eastAsia="Times New Roman" w:hAnsi="Times New Roman" w:cs="Times New Roman"/>
          <w:color w:val="0E101A"/>
        </w:rPr>
        <w:t xml:space="preserve">To formally define discrimination </w:t>
      </w:r>
      <w:proofErr w:type="gramStart"/>
      <w:r>
        <w:rPr>
          <w:rFonts w:ascii="Times New Roman" w:eastAsia="Times New Roman" w:hAnsi="Times New Roman" w:cs="Times New Roman"/>
          <w:color w:val="0E101A"/>
        </w:rPr>
        <w:t>as;</w:t>
      </w:r>
      <w:proofErr w:type="gramEnd"/>
    </w:p>
    <w:p w14:paraId="49CB6B70"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Any distinction, exclusion, restriction, or preference, in any area of public or private life, the purpose or effect of which is to nullify or curtail the equal recognition, or exercise of one or more human rights and fundamental freedoms enshrined in the international instruments applicable to the States parties.</w:t>
      </w:r>
    </w:p>
    <w:p w14:paraId="1BE5746B"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Discrimination may be constructed on race, nationality, sex, sexual orientation, gender identity and expression, language, religion, cultural identity, political opinion, social origin, socioeconomic status, educational level, disability, a genetic trait, mental or physical health, or any other condition.</w:t>
      </w:r>
    </w:p>
    <w:p w14:paraId="4CAFE059"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Member states will continue to update the definitions to highlight current issues.</w:t>
      </w:r>
    </w:p>
    <w:p w14:paraId="123E8802" w14:textId="77777777" w:rsidR="007053F9" w:rsidRDefault="00510806">
      <w:pPr>
        <w:numPr>
          <w:ilvl w:val="0"/>
          <w:numId w:val="1"/>
        </w:numPr>
        <w:rPr>
          <w:rFonts w:ascii="Times New Roman" w:eastAsia="Times New Roman" w:hAnsi="Times New Roman" w:cs="Times New Roman"/>
        </w:rPr>
      </w:pPr>
      <w:r>
        <w:rPr>
          <w:rFonts w:ascii="Times New Roman" w:eastAsia="Times New Roman" w:hAnsi="Times New Roman" w:cs="Times New Roman"/>
          <w:color w:val="0E101A"/>
        </w:rPr>
        <w:t xml:space="preserve">To commend the commitment and efforts of the member states and to call on member states to continue their progress through the creation of a chapter in the Convention, called Highlighting </w:t>
      </w:r>
      <w:proofErr w:type="gramStart"/>
      <w:r>
        <w:rPr>
          <w:rFonts w:ascii="Times New Roman" w:eastAsia="Times New Roman" w:hAnsi="Times New Roman" w:cs="Times New Roman"/>
          <w:color w:val="0E101A"/>
        </w:rPr>
        <w:t>Heritage;</w:t>
      </w:r>
      <w:proofErr w:type="gramEnd"/>
    </w:p>
    <w:p w14:paraId="03F467C2"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The Highlighting Heritage chapter would aim to raise public awareness of African and indigenous history and the ingrained systemic racism which impacts them.</w:t>
      </w:r>
    </w:p>
    <w:p w14:paraId="523D2556"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The chapter will utilize various media platforms to spread awareness of the underrepresented history of African and indigenous people.</w:t>
      </w:r>
    </w:p>
    <w:p w14:paraId="0ECE465C"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 xml:space="preserve">This chapter would allow member states and other participants to highlight issues that surround these groups and provide possible solutions in matters related explicitly to social issues including, but not limited </w:t>
      </w:r>
      <w:proofErr w:type="gramStart"/>
      <w:r>
        <w:rPr>
          <w:rFonts w:ascii="Times New Roman" w:eastAsia="Times New Roman" w:hAnsi="Times New Roman" w:cs="Times New Roman"/>
          <w:color w:val="0E101A"/>
        </w:rPr>
        <w:t>to;</w:t>
      </w:r>
      <w:proofErr w:type="gramEnd"/>
    </w:p>
    <w:p w14:paraId="1A6E0367" w14:textId="77777777" w:rsidR="007053F9" w:rsidRDefault="00510806">
      <w:pPr>
        <w:numPr>
          <w:ilvl w:val="2"/>
          <w:numId w:val="1"/>
        </w:numPr>
        <w:rPr>
          <w:rFonts w:ascii="Times New Roman" w:eastAsia="Times New Roman" w:hAnsi="Times New Roman" w:cs="Times New Roman"/>
        </w:rPr>
      </w:pPr>
      <w:r>
        <w:rPr>
          <w:rFonts w:ascii="Times New Roman" w:eastAsia="Times New Roman" w:hAnsi="Times New Roman" w:cs="Times New Roman"/>
          <w:color w:val="0E101A"/>
        </w:rPr>
        <w:lastRenderedPageBreak/>
        <w:t xml:space="preserve">Systemic racism, sexism, LGBTQ+ rights, history of BIPOC groups, and </w:t>
      </w:r>
      <w:proofErr w:type="gramStart"/>
      <w:r>
        <w:rPr>
          <w:rFonts w:ascii="Times New Roman" w:eastAsia="Times New Roman" w:hAnsi="Times New Roman" w:cs="Times New Roman"/>
          <w:color w:val="0E101A"/>
        </w:rPr>
        <w:t>differently-abled</w:t>
      </w:r>
      <w:proofErr w:type="gramEnd"/>
      <w:r>
        <w:rPr>
          <w:rFonts w:ascii="Times New Roman" w:eastAsia="Times New Roman" w:hAnsi="Times New Roman" w:cs="Times New Roman"/>
          <w:color w:val="0E101A"/>
        </w:rPr>
        <w:t xml:space="preserve"> people.</w:t>
      </w:r>
    </w:p>
    <w:p w14:paraId="098540F1" w14:textId="77777777" w:rsidR="007053F9" w:rsidRDefault="00510806">
      <w:pPr>
        <w:numPr>
          <w:ilvl w:val="0"/>
          <w:numId w:val="1"/>
        </w:numPr>
        <w:rPr>
          <w:rFonts w:ascii="Times New Roman" w:eastAsia="Times New Roman" w:hAnsi="Times New Roman" w:cs="Times New Roman"/>
        </w:rPr>
      </w:pPr>
      <w:r>
        <w:rPr>
          <w:rFonts w:ascii="Times New Roman" w:eastAsia="Times New Roman" w:hAnsi="Times New Roman" w:cs="Times New Roman"/>
          <w:color w:val="0E101A"/>
        </w:rPr>
        <w:t xml:space="preserve">To implement </w:t>
      </w:r>
      <w:proofErr w:type="gramStart"/>
      <w:r>
        <w:rPr>
          <w:rFonts w:ascii="Times New Roman" w:eastAsia="Times New Roman" w:hAnsi="Times New Roman" w:cs="Times New Roman"/>
          <w:color w:val="0E101A"/>
        </w:rPr>
        <w:t>Countries</w:t>
      </w:r>
      <w:proofErr w:type="gramEnd"/>
      <w:r>
        <w:rPr>
          <w:rFonts w:ascii="Times New Roman" w:eastAsia="Times New Roman" w:hAnsi="Times New Roman" w:cs="Times New Roman"/>
          <w:color w:val="0E101A"/>
        </w:rPr>
        <w:t xml:space="preserve"> Check Countries Code (CCCC), which allows member states to ensure applications of social equity and inclusion amongst other member states inside the Organization;</w:t>
      </w:r>
    </w:p>
    <w:p w14:paraId="58190BB5"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 xml:space="preserve">This code would allow the countries who do follow the principles of the Inter-American Convention for the Eradication of All Forms of Discrimination and Intolerance among the Member States to check, or make sure, the rest of the member states are correctly following them as </w:t>
      </w:r>
      <w:proofErr w:type="gramStart"/>
      <w:r>
        <w:rPr>
          <w:rFonts w:ascii="Times New Roman" w:eastAsia="Times New Roman" w:hAnsi="Times New Roman" w:cs="Times New Roman"/>
          <w:color w:val="0E101A"/>
        </w:rPr>
        <w:t>well;</w:t>
      </w:r>
      <w:proofErr w:type="gramEnd"/>
    </w:p>
    <w:p w14:paraId="53E2F465" w14:textId="77777777" w:rsidR="007053F9" w:rsidRDefault="00510806">
      <w:pPr>
        <w:numPr>
          <w:ilvl w:val="2"/>
          <w:numId w:val="1"/>
        </w:numPr>
        <w:rPr>
          <w:rFonts w:ascii="Times New Roman" w:eastAsia="Times New Roman" w:hAnsi="Times New Roman" w:cs="Times New Roman"/>
        </w:rPr>
      </w:pPr>
      <w:r>
        <w:rPr>
          <w:rFonts w:ascii="Times New Roman" w:eastAsia="Times New Roman" w:hAnsi="Times New Roman" w:cs="Times New Roman"/>
          <w:color w:val="0E101A"/>
        </w:rPr>
        <w:t xml:space="preserve">It would apply to member state representatives and the states themselves. </w:t>
      </w:r>
    </w:p>
    <w:p w14:paraId="44C6B822"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 xml:space="preserve">Member states would send representatives directly to a CCCC committee, which would be responsible for observing and responding to developments or issues in eradicating discrimination and intolerance. </w:t>
      </w:r>
    </w:p>
    <w:p w14:paraId="1692CA58"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 xml:space="preserve">The committee would observe signs that they are not following these guidelines include microaggressions, discriminatory language, blatant displays of discrimination towards others because of their backgrounds or gender or sexual orientation, and discrimination against delegates from a lower socioeconomic area, standing, or education. </w:t>
      </w:r>
    </w:p>
    <w:p w14:paraId="18694B37"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 xml:space="preserve">Member states’ representatives would be required to receive instructions by the Highlighting Heritage Chapter on current issues of discrimination and intolerance to incorporate the idea into political decision-making. </w:t>
      </w:r>
    </w:p>
    <w:p w14:paraId="1A774E21" w14:textId="77777777" w:rsidR="007053F9" w:rsidRDefault="00510806">
      <w:pPr>
        <w:numPr>
          <w:ilvl w:val="1"/>
          <w:numId w:val="1"/>
        </w:numPr>
        <w:rPr>
          <w:rFonts w:ascii="Times New Roman" w:eastAsia="Times New Roman" w:hAnsi="Times New Roman" w:cs="Times New Roman"/>
        </w:rPr>
      </w:pPr>
      <w:r>
        <w:rPr>
          <w:rFonts w:ascii="Times New Roman" w:eastAsia="Times New Roman" w:hAnsi="Times New Roman" w:cs="Times New Roman"/>
          <w:color w:val="0E101A"/>
        </w:rPr>
        <w:t xml:space="preserve">An </w:t>
      </w:r>
      <w:proofErr w:type="gramStart"/>
      <w:r>
        <w:rPr>
          <w:rFonts w:ascii="Times New Roman" w:eastAsia="Times New Roman" w:hAnsi="Times New Roman" w:cs="Times New Roman"/>
          <w:color w:val="0E101A"/>
        </w:rPr>
        <w:t>Organization</w:t>
      </w:r>
      <w:proofErr w:type="gramEnd"/>
      <w:r>
        <w:rPr>
          <w:rFonts w:ascii="Times New Roman" w:eastAsia="Times New Roman" w:hAnsi="Times New Roman" w:cs="Times New Roman"/>
          <w:color w:val="0E101A"/>
        </w:rPr>
        <w:t>-wide census would be carried out between conventions on the signs mentioned above in clause 3(c);</w:t>
      </w:r>
    </w:p>
    <w:p w14:paraId="6DFD16F6" w14:textId="77777777" w:rsidR="007053F9" w:rsidRDefault="00510806">
      <w:pPr>
        <w:numPr>
          <w:ilvl w:val="2"/>
          <w:numId w:val="1"/>
        </w:numPr>
        <w:rPr>
          <w:rFonts w:ascii="Times New Roman" w:eastAsia="Times New Roman" w:hAnsi="Times New Roman" w:cs="Times New Roman"/>
        </w:rPr>
      </w:pPr>
      <w:r>
        <w:rPr>
          <w:rFonts w:ascii="Times New Roman" w:eastAsia="Times New Roman" w:hAnsi="Times New Roman" w:cs="Times New Roman"/>
          <w:color w:val="0E101A"/>
        </w:rPr>
        <w:t>It would be carried out through the forms of phone surveys, paper surveys, or face-to-face inquiry.</w:t>
      </w:r>
    </w:p>
    <w:p w14:paraId="2166C671" w14:textId="77777777" w:rsidR="007053F9" w:rsidRDefault="00510806">
      <w:pPr>
        <w:numPr>
          <w:ilvl w:val="2"/>
          <w:numId w:val="1"/>
        </w:numPr>
        <w:rPr>
          <w:rFonts w:ascii="Times New Roman" w:eastAsia="Times New Roman" w:hAnsi="Times New Roman" w:cs="Times New Roman"/>
        </w:rPr>
      </w:pPr>
      <w:r>
        <w:rPr>
          <w:rFonts w:ascii="Times New Roman" w:eastAsia="Times New Roman" w:hAnsi="Times New Roman" w:cs="Times New Roman"/>
          <w:color w:val="0E101A"/>
        </w:rPr>
        <w:t>Data collected would be analyzed and referred to in the future implementation of policies.</w:t>
      </w:r>
    </w:p>
    <w:p w14:paraId="7ED7A641" w14:textId="77777777" w:rsidR="007053F9" w:rsidRDefault="00510806">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4.    To establish a voluntary regional fluid fund to provide financial support for actions to eradicate discrimination and </w:t>
      </w:r>
      <w:proofErr w:type="gramStart"/>
      <w:r>
        <w:rPr>
          <w:rFonts w:ascii="Times New Roman" w:eastAsia="Times New Roman" w:hAnsi="Times New Roman" w:cs="Times New Roman"/>
          <w:color w:val="0E101A"/>
        </w:rPr>
        <w:t>intolerance;</w:t>
      </w:r>
      <w:proofErr w:type="gramEnd"/>
    </w:p>
    <w:p w14:paraId="3211F736" w14:textId="77777777" w:rsidR="007053F9" w:rsidRDefault="00510806">
      <w:pPr>
        <w:numPr>
          <w:ilvl w:val="1"/>
          <w:numId w:val="2"/>
        </w:numPr>
        <w:rPr>
          <w:rFonts w:ascii="Times New Roman" w:eastAsia="Times New Roman" w:hAnsi="Times New Roman" w:cs="Times New Roman"/>
        </w:rPr>
      </w:pPr>
      <w:r>
        <w:rPr>
          <w:rFonts w:ascii="Times New Roman" w:eastAsia="Times New Roman" w:hAnsi="Times New Roman" w:cs="Times New Roman"/>
          <w:color w:val="0E101A"/>
        </w:rPr>
        <w:t>Participation in the regional fluid fund is discretionary, to not to infringe upon member states’ sovereignty.</w:t>
      </w:r>
    </w:p>
    <w:p w14:paraId="7645A629" w14:textId="77777777" w:rsidR="007053F9" w:rsidRDefault="00510806">
      <w:pPr>
        <w:numPr>
          <w:ilvl w:val="1"/>
          <w:numId w:val="2"/>
        </w:numPr>
        <w:rPr>
          <w:rFonts w:ascii="Times New Roman" w:eastAsia="Times New Roman" w:hAnsi="Times New Roman" w:cs="Times New Roman"/>
        </w:rPr>
      </w:pPr>
      <w:r>
        <w:rPr>
          <w:rFonts w:ascii="Times New Roman" w:eastAsia="Times New Roman" w:hAnsi="Times New Roman" w:cs="Times New Roman"/>
          <w:color w:val="0E101A"/>
        </w:rPr>
        <w:t>However, participation is incentivized with regional trade deals.</w:t>
      </w:r>
    </w:p>
    <w:p w14:paraId="69046109" w14:textId="77777777" w:rsidR="007053F9" w:rsidRDefault="00510806">
      <w:pPr>
        <w:ind w:left="720"/>
        <w:rPr>
          <w:rFonts w:ascii="Times New Roman" w:eastAsia="Times New Roman" w:hAnsi="Times New Roman" w:cs="Times New Roman"/>
          <w:color w:val="0E101A"/>
        </w:rPr>
      </w:pPr>
      <w:r>
        <w:rPr>
          <w:rFonts w:ascii="Times New Roman" w:eastAsia="Times New Roman" w:hAnsi="Times New Roman" w:cs="Times New Roman"/>
          <w:color w:val="0E101A"/>
        </w:rPr>
        <w:t xml:space="preserve"> C. Participants of the fluid fund would contribute at least 0.005% of their GDP to the combined fund each </w:t>
      </w:r>
      <w:proofErr w:type="gramStart"/>
      <w:r>
        <w:rPr>
          <w:rFonts w:ascii="Times New Roman" w:eastAsia="Times New Roman" w:hAnsi="Times New Roman" w:cs="Times New Roman"/>
          <w:color w:val="0E101A"/>
        </w:rPr>
        <w:t>year;</w:t>
      </w:r>
      <w:proofErr w:type="gramEnd"/>
    </w:p>
    <w:p w14:paraId="680B9712" w14:textId="77777777" w:rsidR="007053F9" w:rsidRDefault="00510806">
      <w:pPr>
        <w:ind w:left="720"/>
        <w:rPr>
          <w:rFonts w:ascii="Times New Roman" w:eastAsia="Times New Roman" w:hAnsi="Times New Roman" w:cs="Times New Roman"/>
          <w:color w:val="0E101A"/>
        </w:rPr>
      </w:pPr>
      <w:r>
        <w:rPr>
          <w:rFonts w:ascii="Times New Roman" w:eastAsia="Times New Roman" w:hAnsi="Times New Roman" w:cs="Times New Roman"/>
          <w:color w:val="0E101A"/>
        </w:rPr>
        <w:t xml:space="preserve">D. Member states who agree to join the fluid fund will send representatives to an OAS committee responsible for observing developments or issues regarding discrimination and intolerance and allocating the funds based on their observations </w:t>
      </w:r>
      <w:proofErr w:type="gramStart"/>
      <w:r>
        <w:rPr>
          <w:rFonts w:ascii="Times New Roman" w:eastAsia="Times New Roman" w:hAnsi="Times New Roman" w:cs="Times New Roman"/>
          <w:color w:val="0E101A"/>
        </w:rPr>
        <w:t>to;</w:t>
      </w:r>
      <w:proofErr w:type="gramEnd"/>
    </w:p>
    <w:p w14:paraId="1FAF7099" w14:textId="77777777" w:rsidR="007053F9" w:rsidRDefault="00510806">
      <w:pPr>
        <w:numPr>
          <w:ilvl w:val="1"/>
          <w:numId w:val="2"/>
        </w:numPr>
        <w:rPr>
          <w:rFonts w:ascii="Times New Roman" w:eastAsia="Times New Roman" w:hAnsi="Times New Roman" w:cs="Times New Roman"/>
        </w:rPr>
      </w:pPr>
      <w:r>
        <w:rPr>
          <w:rFonts w:ascii="Times New Roman" w:eastAsia="Times New Roman" w:hAnsi="Times New Roman" w:cs="Times New Roman"/>
          <w:color w:val="0E101A"/>
        </w:rPr>
        <w:t xml:space="preserve">Public campaigns for equality and </w:t>
      </w:r>
      <w:proofErr w:type="gramStart"/>
      <w:r>
        <w:rPr>
          <w:rFonts w:ascii="Times New Roman" w:eastAsia="Times New Roman" w:hAnsi="Times New Roman" w:cs="Times New Roman"/>
          <w:color w:val="0E101A"/>
        </w:rPr>
        <w:t>equity;</w:t>
      </w:r>
      <w:proofErr w:type="gramEnd"/>
    </w:p>
    <w:p w14:paraId="287F5601" w14:textId="77777777" w:rsidR="007053F9" w:rsidRDefault="00510806">
      <w:pPr>
        <w:numPr>
          <w:ilvl w:val="2"/>
          <w:numId w:val="2"/>
        </w:numPr>
        <w:rPr>
          <w:rFonts w:ascii="Times New Roman" w:eastAsia="Times New Roman" w:hAnsi="Times New Roman" w:cs="Times New Roman"/>
        </w:rPr>
      </w:pPr>
      <w:r>
        <w:rPr>
          <w:rFonts w:ascii="Times New Roman" w:eastAsia="Times New Roman" w:hAnsi="Times New Roman" w:cs="Times New Roman"/>
          <w:color w:val="0E101A"/>
        </w:rPr>
        <w:t>Classes available to the public aimed to expand people’s knowledge of systemic discrimination and intolerance, which would, in turn, improve existing education systems.</w:t>
      </w:r>
    </w:p>
    <w:p w14:paraId="38133596" w14:textId="77777777" w:rsidR="007053F9" w:rsidRDefault="00510806">
      <w:pPr>
        <w:numPr>
          <w:ilvl w:val="2"/>
          <w:numId w:val="2"/>
        </w:numPr>
        <w:rPr>
          <w:rFonts w:ascii="Times New Roman" w:eastAsia="Times New Roman" w:hAnsi="Times New Roman" w:cs="Times New Roman"/>
        </w:rPr>
      </w:pPr>
      <w:r>
        <w:rPr>
          <w:rFonts w:ascii="Times New Roman" w:eastAsia="Times New Roman" w:hAnsi="Times New Roman" w:cs="Times New Roman"/>
          <w:color w:val="0E101A"/>
        </w:rPr>
        <w:t>OAS tool kits, or multilingual curricula which cover the construction of all-inclusive educational structures and non-discriminatory teaching methods for teachers.</w:t>
      </w:r>
    </w:p>
    <w:p w14:paraId="2D367374" w14:textId="192DE59C" w:rsidR="007053F9" w:rsidRPr="00510806" w:rsidRDefault="00510806" w:rsidP="00510806">
      <w:pPr>
        <w:numPr>
          <w:ilvl w:val="2"/>
          <w:numId w:val="2"/>
        </w:numPr>
        <w:rPr>
          <w:rFonts w:ascii="Times New Roman" w:eastAsia="Times New Roman" w:hAnsi="Times New Roman" w:cs="Times New Roman"/>
        </w:rPr>
      </w:pPr>
      <w:r w:rsidRPr="00510806">
        <w:rPr>
          <w:rFonts w:ascii="Times New Roman" w:eastAsia="Times New Roman" w:hAnsi="Times New Roman" w:cs="Times New Roman"/>
          <w:color w:val="0E101A"/>
        </w:rPr>
        <w:t>Eventually, collaborate with and support monetarily regional NGOs for evaluation and extended campaigns in specific regions.</w:t>
      </w:r>
    </w:p>
    <w:sectPr w:rsidR="007053F9" w:rsidRPr="005108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33A4"/>
    <w:multiLevelType w:val="multilevel"/>
    <w:tmpl w:val="9E827CE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8379D3"/>
    <w:multiLevelType w:val="multilevel"/>
    <w:tmpl w:val="BA7EE5C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color w:val="0E101A"/>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9"/>
    <w:rsid w:val="000356AC"/>
    <w:rsid w:val="00510806"/>
    <w:rsid w:val="007053F9"/>
    <w:rsid w:val="00C0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C8F1"/>
  <w15:docId w15:val="{70A0A568-4558-40C8-8ABD-85A6D7AB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A9704-28E4-446A-8F86-E74F9C3D371A}">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89f4cd83-a2d3-4405-9b45-6aff5241ff81"/>
    <ds:schemaRef ds:uri="http://www.w3.org/XML/1998/namespace"/>
    <ds:schemaRef ds:uri="http://purl.org/dc/dcmitype/"/>
  </ds:schemaRefs>
</ds:datastoreItem>
</file>

<file path=customXml/itemProps2.xml><?xml version="1.0" encoding="utf-8"?>
<ds:datastoreItem xmlns:ds="http://schemas.openxmlformats.org/officeDocument/2006/customXml" ds:itemID="{F5627E2A-511B-431E-A9E0-04D97E3DF16C}">
  <ds:schemaRefs>
    <ds:schemaRef ds:uri="http://schemas.microsoft.com/sharepoint/v3/contenttype/forms"/>
  </ds:schemaRefs>
</ds:datastoreItem>
</file>

<file path=customXml/itemProps3.xml><?xml version="1.0" encoding="utf-8"?>
<ds:datastoreItem xmlns:ds="http://schemas.openxmlformats.org/officeDocument/2006/customXml" ds:itemID="{8F3576D9-1E42-4FB7-9545-5D54CE061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4546</Characters>
  <Application>Microsoft Office Word</Application>
  <DocSecurity>4</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2</cp:revision>
  <dcterms:created xsi:type="dcterms:W3CDTF">2021-11-11T02:45:00Z</dcterms:created>
  <dcterms:modified xsi:type="dcterms:W3CDTF">2021-11-11T02:45:00Z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