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1873" w14:textId="51105D1F" w:rsidR="0086682A" w:rsidRPr="00E845EA" w:rsidRDefault="0086682A" w:rsidP="0086682A">
      <w:pPr>
        <w:pStyle w:val="Cuerpo"/>
        <w:spacing w:before="100" w:after="100"/>
        <w:jc w:val="center"/>
        <w:rPr>
          <w:rStyle w:val="Ninguno"/>
          <w:rFonts w:eastAsia="Times New Roman" w:cs="Calibri"/>
          <w:b/>
          <w:bCs/>
          <w:lang w:val="es-ES"/>
        </w:rPr>
      </w:pPr>
      <w:r w:rsidRPr="00E845EA">
        <w:rPr>
          <w:rStyle w:val="Ninguno"/>
          <w:rFonts w:cs="Calibri"/>
          <w:b/>
          <w:bCs/>
          <w:lang w:val="es-ES"/>
        </w:rPr>
        <w:t>CUESTIONARIO</w:t>
      </w:r>
    </w:p>
    <w:p w14:paraId="0C7EBC3D" w14:textId="7BE50C79" w:rsidR="0086682A" w:rsidRPr="00E845EA" w:rsidRDefault="0086682A" w:rsidP="0086682A">
      <w:pPr>
        <w:pStyle w:val="Cuerpo"/>
        <w:spacing w:before="100" w:after="100"/>
        <w:jc w:val="center"/>
        <w:rPr>
          <w:rStyle w:val="Ninguno"/>
          <w:rFonts w:cs="Calibri"/>
          <w:b/>
          <w:bCs/>
          <w:lang w:val="es-ES"/>
        </w:rPr>
      </w:pPr>
      <w:r w:rsidRPr="00E845EA">
        <w:rPr>
          <w:rStyle w:val="Ninguno"/>
          <w:rFonts w:cs="Calibri"/>
          <w:b/>
          <w:bCs/>
          <w:lang w:val="es-ES"/>
        </w:rPr>
        <w:t>ENFERMEDADES CRÓNICAS NO TRANSMISIBLES EN EL</w:t>
      </w:r>
      <w:r w:rsidRPr="00E845EA">
        <w:rPr>
          <w:rStyle w:val="Ninguno"/>
          <w:rFonts w:cs="Calibri"/>
          <w:b/>
          <w:bCs/>
          <w:lang w:val="es-ES"/>
        </w:rPr>
        <w:br/>
        <w:t>MARCO JURÍDICO INTERAMERICANO DE DERECHOS HUMANOS</w:t>
      </w:r>
    </w:p>
    <w:p w14:paraId="75081612" w14:textId="77777777" w:rsidR="0086682A" w:rsidRPr="00E845EA" w:rsidRDefault="0086682A" w:rsidP="0086682A">
      <w:pPr>
        <w:pStyle w:val="Cuerpo"/>
        <w:spacing w:before="100" w:after="100"/>
        <w:jc w:val="center"/>
        <w:rPr>
          <w:rStyle w:val="Ninguno"/>
          <w:rFonts w:eastAsia="Times New Roman" w:cs="Calibri"/>
          <w:b/>
          <w:bCs/>
          <w:sz w:val="22"/>
          <w:szCs w:val="22"/>
          <w:lang w:val="es-ES"/>
        </w:rPr>
      </w:pPr>
    </w:p>
    <w:p w14:paraId="5243AD4B" w14:textId="77777777" w:rsidR="0086682A" w:rsidRPr="00E845EA" w:rsidRDefault="0086682A" w:rsidP="0086682A">
      <w:pPr>
        <w:pStyle w:val="ListParagraph"/>
        <w:numPr>
          <w:ilvl w:val="0"/>
          <w:numId w:val="16"/>
        </w:numPr>
        <w:spacing w:before="100" w:after="100"/>
        <w:rPr>
          <w:rFonts w:ascii="Calibri" w:hAnsi="Calibri" w:cs="Calibri"/>
          <w:b/>
          <w:bCs/>
          <w:sz w:val="22"/>
          <w:szCs w:val="22"/>
          <w:lang w:val="es-ES"/>
        </w:rPr>
      </w:pPr>
      <w:r w:rsidRPr="00E845EA">
        <w:rPr>
          <w:rStyle w:val="Ninguno"/>
          <w:rFonts w:ascii="Calibri" w:hAnsi="Calibri" w:cs="Calibri"/>
          <w:b/>
          <w:bCs/>
          <w:sz w:val="22"/>
          <w:szCs w:val="22"/>
          <w:lang w:val="es-ES"/>
        </w:rPr>
        <w:t>Presentación y objetivo</w:t>
      </w:r>
    </w:p>
    <w:p w14:paraId="095C00B9" w14:textId="77777777" w:rsidR="0086682A" w:rsidRPr="00E845EA" w:rsidRDefault="0086682A" w:rsidP="0086682A">
      <w:pPr>
        <w:pStyle w:val="Cuerpo"/>
        <w:spacing w:before="100" w:after="100"/>
        <w:ind w:firstLine="720"/>
        <w:jc w:val="both"/>
        <w:rPr>
          <w:rStyle w:val="Ninguno"/>
          <w:rFonts w:cs="Calibri"/>
          <w:sz w:val="22"/>
          <w:szCs w:val="22"/>
          <w:lang w:val="es-ES"/>
        </w:rPr>
      </w:pPr>
      <w:r w:rsidRPr="00E845EA">
        <w:rPr>
          <w:rStyle w:val="Ninguno"/>
          <w:rFonts w:cs="Calibri"/>
          <w:sz w:val="22"/>
          <w:szCs w:val="22"/>
          <w:lang w:val="es-ES"/>
        </w:rPr>
        <w:t>La Relatoría Especial sobre los Derechos Económicos, Sociales, Culturales y Ambientales (REDESCA) de la Comisión Interamericana de Derechos Humanos (CIDH) realizará un informe temático sobre Enfermedades No Transmisibles (ENT) y Derechos Humanos en el Sistema Interamericano. Dada la alta prevalencia de las ENT en la región de las Américas y el Caribe</w:t>
      </w:r>
      <w:r w:rsidRPr="00E845EA">
        <w:rPr>
          <w:rStyle w:val="FootnoteReference"/>
          <w:rFonts w:cs="Calibri"/>
          <w:sz w:val="22"/>
          <w:szCs w:val="22"/>
          <w:lang w:val="es-ES"/>
        </w:rPr>
        <w:footnoteReference w:id="1"/>
      </w:r>
      <w:r w:rsidRPr="00E845EA">
        <w:rPr>
          <w:rStyle w:val="Ninguno"/>
          <w:rFonts w:cs="Calibri"/>
          <w:sz w:val="22"/>
          <w:szCs w:val="22"/>
          <w:lang w:val="es-ES"/>
        </w:rPr>
        <w:t xml:space="preserve">, el objetivo del informe es establecer el impacto que tienen las ENT en los derechos humanos en la región, y las implicaciones que tiene su prevención y tratamiento en relación con las obligaciones de los Estados a la luz del marco jurídico interamericano.   </w:t>
      </w:r>
    </w:p>
    <w:p w14:paraId="299470F5" w14:textId="77777777" w:rsidR="0086682A" w:rsidRPr="00E845EA" w:rsidRDefault="0086682A" w:rsidP="0086682A">
      <w:pPr>
        <w:pStyle w:val="Cuerpo"/>
        <w:spacing w:before="100" w:after="100"/>
        <w:ind w:firstLine="720"/>
        <w:jc w:val="both"/>
        <w:rPr>
          <w:rStyle w:val="Ninguno"/>
          <w:rFonts w:eastAsia="Times New Roman" w:cs="Calibri"/>
          <w:sz w:val="22"/>
          <w:szCs w:val="22"/>
          <w:lang w:val="es-ES"/>
        </w:rPr>
      </w:pPr>
      <w:r w:rsidRPr="00E845EA">
        <w:rPr>
          <w:rStyle w:val="Ninguno"/>
          <w:rFonts w:eastAsia="Times New Roman" w:cs="Calibri"/>
          <w:sz w:val="22"/>
          <w:szCs w:val="22"/>
          <w:lang w:val="es-ES"/>
        </w:rPr>
        <w:t>La epidemia de ENT en el continente americano es un problema grave. De acuerdo con la Organización Mundial de Salud (OMS) y la Organización Panamericana de la Salud (OPS), las ENT son la principal causa de muerte a nivel global</w:t>
      </w:r>
      <w:r w:rsidRPr="00E845EA">
        <w:rPr>
          <w:rStyle w:val="FootnoteReference"/>
          <w:rFonts w:cs="Calibri"/>
          <w:sz w:val="22"/>
          <w:szCs w:val="22"/>
          <w:lang w:val="es-ES"/>
        </w:rPr>
        <w:footnoteReference w:id="2"/>
      </w:r>
      <w:r w:rsidRPr="00E845EA">
        <w:rPr>
          <w:rStyle w:val="Ninguno"/>
          <w:rFonts w:eastAsia="Times New Roman" w:cs="Calibri"/>
          <w:sz w:val="22"/>
          <w:szCs w:val="22"/>
          <w:lang w:val="es-ES"/>
        </w:rPr>
        <w:t>, al ser responsables de más del 70% de fallecimientos en el mundo</w:t>
      </w:r>
      <w:r w:rsidRPr="00E845EA">
        <w:rPr>
          <w:rStyle w:val="FootnoteReference"/>
          <w:rFonts w:cs="Calibri"/>
          <w:sz w:val="22"/>
          <w:szCs w:val="22"/>
          <w:lang w:val="es-ES"/>
        </w:rPr>
        <w:footnoteReference w:id="3"/>
      </w:r>
      <w:r w:rsidRPr="00E845EA">
        <w:rPr>
          <w:rStyle w:val="Ninguno"/>
          <w:rFonts w:eastAsia="Times New Roman" w:cs="Calibri"/>
          <w:sz w:val="22"/>
          <w:szCs w:val="22"/>
          <w:lang w:val="es-ES"/>
        </w:rPr>
        <w:t xml:space="preserve"> (lo que equivale a aproximadamente 41 millones de muertes</w:t>
      </w:r>
      <w:r w:rsidRPr="00E845EA">
        <w:rPr>
          <w:rStyle w:val="FootnoteReference"/>
          <w:rFonts w:cs="Calibri"/>
          <w:sz w:val="22"/>
          <w:szCs w:val="22"/>
          <w:lang w:val="es-ES"/>
        </w:rPr>
        <w:footnoteReference w:id="4"/>
      </w:r>
      <w:r w:rsidRPr="00E845EA">
        <w:rPr>
          <w:rStyle w:val="Ninguno"/>
          <w:rFonts w:eastAsia="Times New Roman" w:cs="Calibri"/>
          <w:sz w:val="22"/>
          <w:szCs w:val="22"/>
          <w:lang w:val="es-ES"/>
        </w:rPr>
        <w:t>). En el continente americano, las ENT tienen efectos aún más perjudiciales y extendidos, pues causan alrededor del 80% de las defunciones</w:t>
      </w:r>
      <w:r w:rsidRPr="00E845EA">
        <w:rPr>
          <w:rStyle w:val="FootnoteReference"/>
          <w:rFonts w:cs="Calibri"/>
          <w:sz w:val="22"/>
          <w:szCs w:val="22"/>
          <w:lang w:val="es-ES"/>
        </w:rPr>
        <w:footnoteReference w:id="5"/>
      </w:r>
      <w:r w:rsidRPr="00E845EA">
        <w:rPr>
          <w:rStyle w:val="Ninguno"/>
          <w:rFonts w:eastAsia="Times New Roman" w:cs="Calibri"/>
          <w:sz w:val="22"/>
          <w:szCs w:val="22"/>
          <w:lang w:val="es-ES"/>
        </w:rPr>
        <w:t>, es decir, 5,5 millones de muertes al año</w:t>
      </w:r>
      <w:r w:rsidRPr="00E845EA">
        <w:rPr>
          <w:rStyle w:val="FootnoteReference"/>
          <w:rFonts w:cs="Calibri"/>
          <w:sz w:val="22"/>
          <w:szCs w:val="22"/>
          <w:lang w:val="es-ES"/>
        </w:rPr>
        <w:footnoteReference w:id="6"/>
      </w:r>
      <w:r w:rsidRPr="00E845EA">
        <w:rPr>
          <w:rStyle w:val="Ninguno"/>
          <w:rFonts w:eastAsia="Times New Roman" w:cs="Calibri"/>
          <w:sz w:val="22"/>
          <w:szCs w:val="22"/>
          <w:lang w:val="es-ES"/>
        </w:rPr>
        <w:t>.</w:t>
      </w:r>
    </w:p>
    <w:p w14:paraId="3EBE1FE0" w14:textId="77777777" w:rsidR="0086682A" w:rsidRPr="00E845EA" w:rsidRDefault="0086682A" w:rsidP="0086682A">
      <w:pPr>
        <w:pStyle w:val="Cuerpo"/>
        <w:spacing w:before="100" w:after="100"/>
        <w:ind w:firstLine="720"/>
        <w:jc w:val="both"/>
        <w:rPr>
          <w:rFonts w:cs="Calibri"/>
          <w:sz w:val="22"/>
          <w:szCs w:val="22"/>
          <w:lang w:val="es-ES"/>
        </w:rPr>
      </w:pPr>
      <w:r w:rsidRPr="00E845EA">
        <w:rPr>
          <w:rFonts w:cs="Calibri"/>
          <w:sz w:val="22"/>
          <w:szCs w:val="22"/>
          <w:lang w:val="es-ES"/>
        </w:rPr>
        <w:t xml:space="preserve">Esta prevalencia tiene un impacto grave en el goce de los derechos humanos, particularmente, en el derecho a la salud. Por ejemplo, las ENT imponen una carga en los sistemas, lo que suele generar problemas de accesibilidad y disponibilidad de los bienes y servicios de salud. Estos son componentes esenciales del derecho a la salud conforme lo han reconocido la CIDH, la Corte Interamericana de Derechos Humanos (Corte IDH) y el Comité de Derechos Económicos, Sociales y Culturales (Comité DESC), además de tener implicaciones en los derechos a la vida y a la integridad personal, entre otros. Adicionalmente, la problemática de las ENT, particularmente las que son producto de factores de riesgo modificables, pone de manifiesto la relevancia fundamental de que los Estados adopten un enfoque preventivo mediante intervenciones regulatorias adecuadas que logren efectivamente reducir su incidencia y su impacto en el derecho a la salud de las personas bajo su jurisdicción.  </w:t>
      </w:r>
    </w:p>
    <w:p w14:paraId="1ED9A90C" w14:textId="77777777" w:rsidR="0086682A" w:rsidRPr="00E845EA" w:rsidRDefault="0086682A" w:rsidP="0086682A">
      <w:pPr>
        <w:pStyle w:val="Cuerpo"/>
        <w:spacing w:before="100" w:after="100"/>
        <w:ind w:firstLine="720"/>
        <w:jc w:val="both"/>
        <w:rPr>
          <w:rFonts w:cs="Calibri"/>
          <w:sz w:val="22"/>
          <w:szCs w:val="22"/>
          <w:lang w:val="es-ES"/>
        </w:rPr>
      </w:pPr>
      <w:r w:rsidRPr="00E845EA">
        <w:rPr>
          <w:rFonts w:cs="Calibri"/>
          <w:sz w:val="22"/>
          <w:szCs w:val="22"/>
          <w:lang w:val="es-ES"/>
        </w:rPr>
        <w:lastRenderedPageBreak/>
        <w:t xml:space="preserve">Un problema que la pandemia de COVID-19 ha visibilizado y que está estrechamente vinculado con las enfermedades no transmisibles, es el del rol de los determinantes sociales de la salud. Las disparidades en la prevalencia de dichas enfermedades en los grupos más vulnerables – en los que la noción de interseccionalidad resulta fundamental – y sus implicaciones en las disparidades por grupos y socioeconómicas de las muertes por COVID-19 en todo el continente, son una muestra fehaciente de esta situación. Por ello, la magnitud de la incidencia de las ENT en la región, además de estar directamente relacionada con los derechos a la salud, a la vida y a la integridad personal, también guarda relación directa con el principio de igualdad y no discriminación. </w:t>
      </w:r>
    </w:p>
    <w:p w14:paraId="1F36EE94" w14:textId="77777777" w:rsidR="0086682A" w:rsidRPr="00E845EA" w:rsidRDefault="0086682A" w:rsidP="0086682A">
      <w:pPr>
        <w:pStyle w:val="Cuerpo"/>
        <w:spacing w:before="100" w:after="100"/>
        <w:ind w:firstLine="720"/>
        <w:jc w:val="both"/>
        <w:rPr>
          <w:rStyle w:val="Ninguno"/>
          <w:rFonts w:cs="Calibri"/>
          <w:sz w:val="22"/>
          <w:szCs w:val="22"/>
          <w:lang w:val="es-ES"/>
        </w:rPr>
      </w:pPr>
      <w:r w:rsidRPr="00E845EA">
        <w:rPr>
          <w:rFonts w:cs="Calibri"/>
          <w:sz w:val="22"/>
          <w:szCs w:val="22"/>
          <w:lang w:val="es-ES"/>
        </w:rPr>
        <w:t xml:space="preserve">Por todo lo anterior, la REDESCA iniciará el proceso de elaboración del informe temático mencionado para consideración de la CIDH. Este informe busca que la REDESCA, en ejercicio de su mandato, analice la situación en la región, establezca estándares interamericanos en la materia, destaque buenas prácticas de los Estados y ofrezca recomendaciones para orientar en su lucha contra las ENT a la luz de sus obligaciones interamericanas de derechos humanos. </w:t>
      </w:r>
    </w:p>
    <w:p w14:paraId="196B669B" w14:textId="77777777" w:rsidR="0086682A" w:rsidRPr="00E845EA" w:rsidRDefault="0086682A" w:rsidP="0086682A">
      <w:pPr>
        <w:pStyle w:val="Cuerpo"/>
        <w:spacing w:before="100" w:after="100"/>
        <w:ind w:firstLine="720"/>
        <w:jc w:val="both"/>
        <w:rPr>
          <w:rStyle w:val="Ninguno"/>
          <w:rFonts w:eastAsia="Times New Roman" w:cs="Calibri"/>
          <w:sz w:val="22"/>
          <w:szCs w:val="22"/>
          <w:lang w:val="es-ES"/>
        </w:rPr>
      </w:pPr>
      <w:r w:rsidRPr="00E845EA">
        <w:rPr>
          <w:rStyle w:val="Ninguno"/>
          <w:rFonts w:cs="Calibri"/>
          <w:sz w:val="22"/>
          <w:szCs w:val="22"/>
          <w:lang w:val="es-ES"/>
        </w:rPr>
        <w:t>Para efectos del informe a realizarse, se definirá a las ENT como el grupo de enfermedades no causadas principalmente por una infección aguda, y que dan como resultado consecuencias para la salud a largo plazo y con frecuencia crean una necesidad de tratamiento y cuidados a largo plazo</w:t>
      </w:r>
      <w:r w:rsidRPr="00E845EA">
        <w:rPr>
          <w:rStyle w:val="Ninguno"/>
          <w:rFonts w:eastAsia="Times New Roman" w:cs="Calibri"/>
          <w:sz w:val="22"/>
          <w:szCs w:val="22"/>
          <w:vertAlign w:val="superscript"/>
          <w:lang w:val="es-ES"/>
        </w:rPr>
        <w:footnoteReference w:id="7"/>
      </w:r>
      <w:r w:rsidRPr="00E845EA">
        <w:rPr>
          <w:rStyle w:val="Ninguno"/>
          <w:rFonts w:cs="Calibri"/>
          <w:sz w:val="22"/>
          <w:szCs w:val="22"/>
          <w:lang w:val="es-ES"/>
        </w:rPr>
        <w:t>. Las ENT incluyen, principalmente, cánceres, enfermedades cardiovasculares, diabetes y enfermedades pulmonares crónicas</w:t>
      </w:r>
      <w:r w:rsidRPr="00E845EA">
        <w:rPr>
          <w:rStyle w:val="Ninguno"/>
          <w:rFonts w:eastAsia="Times New Roman" w:cs="Calibri"/>
          <w:sz w:val="22"/>
          <w:szCs w:val="22"/>
          <w:vertAlign w:val="superscript"/>
          <w:lang w:val="es-ES"/>
        </w:rPr>
        <w:footnoteReference w:id="8"/>
      </w:r>
      <w:r w:rsidRPr="00E845EA">
        <w:rPr>
          <w:rStyle w:val="Ninguno"/>
          <w:rFonts w:cs="Calibri"/>
          <w:sz w:val="22"/>
          <w:szCs w:val="22"/>
          <w:lang w:val="es-ES"/>
        </w:rPr>
        <w:t xml:space="preserve"> y afectaciones a la salud mental</w:t>
      </w:r>
      <w:r w:rsidRPr="00E845EA">
        <w:rPr>
          <w:rStyle w:val="Ninguno"/>
          <w:rFonts w:eastAsia="Times New Roman" w:cs="Calibri"/>
          <w:sz w:val="22"/>
          <w:szCs w:val="22"/>
          <w:vertAlign w:val="superscript"/>
          <w:lang w:val="es-ES"/>
        </w:rPr>
        <w:footnoteReference w:id="9"/>
      </w:r>
      <w:r w:rsidRPr="00E845EA">
        <w:rPr>
          <w:rStyle w:val="Ninguno"/>
          <w:rFonts w:cs="Calibri"/>
          <w:sz w:val="22"/>
          <w:szCs w:val="22"/>
          <w:lang w:val="es-ES"/>
        </w:rPr>
        <w:t xml:space="preserve">. </w:t>
      </w:r>
    </w:p>
    <w:p w14:paraId="484BFCAF" w14:textId="77777777" w:rsidR="0086682A" w:rsidRPr="00E845EA" w:rsidRDefault="0086682A" w:rsidP="0086682A">
      <w:pPr>
        <w:pStyle w:val="ListParagraph"/>
        <w:spacing w:before="100" w:after="100"/>
        <w:jc w:val="both"/>
        <w:rPr>
          <w:rStyle w:val="Ninguno"/>
          <w:rFonts w:ascii="Calibri" w:eastAsia="Times New Roman" w:hAnsi="Calibri" w:cs="Calibri"/>
          <w:sz w:val="22"/>
          <w:szCs w:val="22"/>
          <w:lang w:val="es-ES"/>
        </w:rPr>
      </w:pPr>
    </w:p>
    <w:p w14:paraId="26299E24" w14:textId="77777777" w:rsidR="0086682A" w:rsidRPr="00E845EA" w:rsidRDefault="0086682A" w:rsidP="0086682A">
      <w:pPr>
        <w:pStyle w:val="ListParagraph"/>
        <w:numPr>
          <w:ilvl w:val="0"/>
          <w:numId w:val="16"/>
        </w:numPr>
        <w:spacing w:before="100" w:after="100"/>
        <w:rPr>
          <w:rStyle w:val="Ninguno"/>
          <w:rFonts w:ascii="Calibri" w:hAnsi="Calibri" w:cs="Calibri"/>
          <w:b/>
          <w:bCs/>
          <w:sz w:val="22"/>
          <w:szCs w:val="22"/>
          <w:lang w:val="es-ES"/>
        </w:rPr>
      </w:pPr>
      <w:r w:rsidRPr="00E845EA">
        <w:rPr>
          <w:rStyle w:val="Ninguno"/>
          <w:rFonts w:ascii="Calibri" w:hAnsi="Calibri" w:cs="Calibri"/>
          <w:b/>
          <w:bCs/>
          <w:sz w:val="22"/>
          <w:szCs w:val="22"/>
          <w:lang w:val="es-ES"/>
        </w:rPr>
        <w:t>Instrucciones</w:t>
      </w:r>
    </w:p>
    <w:p w14:paraId="25A49961" w14:textId="7BC250A6" w:rsidR="0086682A" w:rsidRPr="00E845EA" w:rsidRDefault="0086682A" w:rsidP="0086682A">
      <w:pPr>
        <w:pStyle w:val="Cuerpo"/>
        <w:spacing w:before="100" w:after="100"/>
        <w:ind w:firstLine="720"/>
        <w:jc w:val="both"/>
        <w:rPr>
          <w:rStyle w:val="Ninguno"/>
          <w:rFonts w:eastAsia="Times New Roman" w:cs="Calibri"/>
          <w:sz w:val="22"/>
          <w:szCs w:val="22"/>
          <w:lang w:val="es-ES"/>
        </w:rPr>
      </w:pPr>
      <w:r w:rsidRPr="00E845EA">
        <w:rPr>
          <w:rStyle w:val="Ninguno"/>
          <w:rFonts w:cs="Calibri"/>
          <w:sz w:val="22"/>
          <w:szCs w:val="22"/>
          <w:lang w:val="es-ES"/>
        </w:rPr>
        <w:t xml:space="preserve">La REDESCA invita a las personas e instituciones interesadas a presentar sus respuestas a este cuestionario con información sobre datos estadísticos, marco normativo, políticas públicas, mecanismos de protección, desafíos y mejores prácticas, a más tardar el </w:t>
      </w:r>
      <w:r w:rsidRPr="00E845EA">
        <w:rPr>
          <w:rStyle w:val="Ninguno"/>
          <w:rFonts w:cs="Calibri"/>
          <w:b/>
          <w:bCs/>
          <w:sz w:val="22"/>
          <w:szCs w:val="22"/>
          <w:lang w:val="es-ES"/>
        </w:rPr>
        <w:t>2</w:t>
      </w:r>
      <w:r w:rsidR="00E845EA">
        <w:rPr>
          <w:rStyle w:val="Ninguno"/>
          <w:rFonts w:cs="Calibri"/>
          <w:b/>
          <w:bCs/>
          <w:sz w:val="22"/>
          <w:szCs w:val="22"/>
          <w:lang w:val="es-ES"/>
        </w:rPr>
        <w:t xml:space="preserve">8 </w:t>
      </w:r>
      <w:r w:rsidRPr="00E845EA">
        <w:rPr>
          <w:rStyle w:val="Ninguno"/>
          <w:rFonts w:cs="Calibri"/>
          <w:b/>
          <w:bCs/>
          <w:sz w:val="22"/>
          <w:szCs w:val="22"/>
          <w:lang w:val="es-ES"/>
        </w:rPr>
        <w:t xml:space="preserve">de </w:t>
      </w:r>
      <w:r w:rsidR="00E845EA">
        <w:rPr>
          <w:rStyle w:val="Ninguno"/>
          <w:rFonts w:cs="Calibri"/>
          <w:b/>
          <w:bCs/>
          <w:sz w:val="22"/>
          <w:szCs w:val="22"/>
          <w:lang w:val="es-ES"/>
        </w:rPr>
        <w:t xml:space="preserve">febrero </w:t>
      </w:r>
      <w:r w:rsidRPr="00E845EA">
        <w:rPr>
          <w:rStyle w:val="Ninguno"/>
          <w:rFonts w:cs="Calibri"/>
          <w:b/>
          <w:bCs/>
          <w:sz w:val="22"/>
          <w:szCs w:val="22"/>
          <w:lang w:val="es-ES"/>
        </w:rPr>
        <w:t>de 2023</w:t>
      </w:r>
      <w:r w:rsidRPr="00E845EA">
        <w:rPr>
          <w:rStyle w:val="Ninguno"/>
          <w:rFonts w:cs="Calibri"/>
          <w:sz w:val="22"/>
          <w:szCs w:val="22"/>
          <w:lang w:val="es-ES"/>
        </w:rPr>
        <w:t>, a la siguiente dirección:</w:t>
      </w:r>
    </w:p>
    <w:p w14:paraId="369CF0F6" w14:textId="77777777" w:rsidR="0086682A" w:rsidRPr="00E845EA" w:rsidRDefault="0086682A" w:rsidP="0086682A">
      <w:pPr>
        <w:pStyle w:val="Cuerpo"/>
        <w:jc w:val="center"/>
        <w:rPr>
          <w:rStyle w:val="Ninguno"/>
          <w:rFonts w:cs="Calibri"/>
          <w:sz w:val="22"/>
          <w:szCs w:val="22"/>
          <w:lang w:val="es-ES"/>
        </w:rPr>
      </w:pPr>
      <w:r w:rsidRPr="00E845EA">
        <w:rPr>
          <w:rStyle w:val="Ninguno"/>
          <w:rFonts w:cs="Calibri"/>
          <w:sz w:val="22"/>
          <w:szCs w:val="22"/>
          <w:lang w:val="es-ES"/>
        </w:rPr>
        <w:t>Relatoría Especial sobre Derechos Económicos, Sociales, Culturales y Ambientales (REDESCA)</w:t>
      </w:r>
    </w:p>
    <w:p w14:paraId="3DD4D539" w14:textId="77777777" w:rsidR="0086682A" w:rsidRPr="00E845EA" w:rsidRDefault="0086682A" w:rsidP="0086682A">
      <w:pPr>
        <w:pStyle w:val="Cuerpo"/>
        <w:jc w:val="center"/>
        <w:rPr>
          <w:rStyle w:val="Ninguno"/>
          <w:rFonts w:eastAsia="Times New Roman" w:cs="Calibri"/>
          <w:sz w:val="22"/>
          <w:szCs w:val="22"/>
          <w:lang w:val="es-ES"/>
        </w:rPr>
      </w:pPr>
      <w:r w:rsidRPr="00E845EA">
        <w:rPr>
          <w:rStyle w:val="Ninguno"/>
          <w:rFonts w:cs="Calibri"/>
          <w:sz w:val="22"/>
          <w:szCs w:val="22"/>
          <w:lang w:val="es-ES"/>
        </w:rPr>
        <w:t>Comisión Interamericana de Derechos Humanos</w:t>
      </w:r>
    </w:p>
    <w:p w14:paraId="2904CCF7" w14:textId="77777777" w:rsidR="0086682A" w:rsidRPr="00E845EA" w:rsidRDefault="0086682A" w:rsidP="0086682A">
      <w:pPr>
        <w:pStyle w:val="Cuerpo"/>
        <w:jc w:val="center"/>
        <w:rPr>
          <w:rStyle w:val="Ninguno"/>
          <w:rFonts w:eastAsia="Times New Roman" w:cs="Calibri"/>
          <w:sz w:val="22"/>
          <w:szCs w:val="22"/>
          <w:lang w:val="es-ES"/>
        </w:rPr>
      </w:pPr>
      <w:r w:rsidRPr="00E845EA">
        <w:rPr>
          <w:rStyle w:val="Ninguno"/>
          <w:rFonts w:cs="Calibri"/>
          <w:sz w:val="22"/>
          <w:szCs w:val="22"/>
          <w:lang w:val="es-ES"/>
        </w:rPr>
        <w:t>Organización de los Estados Americanos</w:t>
      </w:r>
    </w:p>
    <w:p w14:paraId="3837F0BB" w14:textId="77777777" w:rsidR="0086682A" w:rsidRPr="00E845EA" w:rsidRDefault="0086682A" w:rsidP="0086682A">
      <w:pPr>
        <w:pStyle w:val="Cuerpo"/>
        <w:jc w:val="center"/>
        <w:rPr>
          <w:rStyle w:val="Ninguno"/>
          <w:rFonts w:eastAsia="Times New Roman" w:cs="Calibri"/>
          <w:sz w:val="22"/>
          <w:szCs w:val="22"/>
          <w:lang w:val="es-ES"/>
        </w:rPr>
      </w:pPr>
      <w:r w:rsidRPr="00E845EA">
        <w:rPr>
          <w:rStyle w:val="Ninguno"/>
          <w:rFonts w:cs="Calibri"/>
          <w:sz w:val="22"/>
          <w:szCs w:val="22"/>
          <w:lang w:val="es-ES"/>
        </w:rPr>
        <w:t xml:space="preserve">Relatoría Especial sobre Derechos Económicos, Sociales, Culturales y Ambientales </w:t>
      </w:r>
    </w:p>
    <w:p w14:paraId="551AF6F8" w14:textId="77777777" w:rsidR="0086682A" w:rsidRPr="00E845EA" w:rsidRDefault="0086682A" w:rsidP="0086682A">
      <w:pPr>
        <w:pStyle w:val="Cuerpo"/>
        <w:jc w:val="center"/>
        <w:rPr>
          <w:rStyle w:val="Ninguno"/>
          <w:rFonts w:eastAsia="Times New Roman" w:cs="Calibri"/>
          <w:sz w:val="22"/>
          <w:szCs w:val="22"/>
          <w:lang w:val="es-ES"/>
        </w:rPr>
      </w:pPr>
      <w:r w:rsidRPr="00E845EA">
        <w:rPr>
          <w:rStyle w:val="Ninguno"/>
          <w:rFonts w:cs="Calibri"/>
          <w:sz w:val="22"/>
          <w:szCs w:val="22"/>
          <w:lang w:val="es-ES"/>
        </w:rPr>
        <w:t>1889 F St NW</w:t>
      </w:r>
    </w:p>
    <w:p w14:paraId="06817B6A" w14:textId="77777777" w:rsidR="0086682A" w:rsidRPr="00E845EA" w:rsidRDefault="0086682A" w:rsidP="0086682A">
      <w:pPr>
        <w:pStyle w:val="Cuerpo"/>
        <w:jc w:val="center"/>
        <w:rPr>
          <w:rStyle w:val="Ninguno"/>
          <w:rFonts w:eastAsia="Times New Roman" w:cs="Calibri"/>
          <w:sz w:val="22"/>
          <w:szCs w:val="22"/>
          <w:lang w:val="es-ES"/>
        </w:rPr>
      </w:pPr>
      <w:r w:rsidRPr="00E845EA">
        <w:rPr>
          <w:rStyle w:val="Ninguno"/>
          <w:rFonts w:cs="Calibri"/>
          <w:sz w:val="22"/>
          <w:szCs w:val="22"/>
          <w:lang w:val="es-ES"/>
        </w:rPr>
        <w:t>Washington, D.C. 20006</w:t>
      </w:r>
    </w:p>
    <w:p w14:paraId="30683387" w14:textId="77777777" w:rsidR="0086682A" w:rsidRPr="00E845EA" w:rsidRDefault="00E845EA" w:rsidP="0086682A">
      <w:pPr>
        <w:pStyle w:val="Cuerpo"/>
        <w:jc w:val="center"/>
        <w:rPr>
          <w:rStyle w:val="Ninguno"/>
          <w:rFonts w:eastAsia="Times New Roman" w:cs="Calibri"/>
          <w:sz w:val="22"/>
          <w:szCs w:val="22"/>
          <w:lang w:val="es-ES"/>
        </w:rPr>
      </w:pPr>
      <w:hyperlink r:id="rId8" w:history="1">
        <w:r w:rsidR="0086682A" w:rsidRPr="00E845EA">
          <w:rPr>
            <w:rStyle w:val="Hyperlink0"/>
            <w:rFonts w:ascii="Calibri" w:eastAsia="Arial Unicode MS" w:hAnsi="Calibri" w:cs="Calibri"/>
            <w:sz w:val="22"/>
            <w:szCs w:val="22"/>
            <w:lang w:val="es-ES"/>
          </w:rPr>
          <w:t>CIDH_DESCA@oas.org</w:t>
        </w:r>
      </w:hyperlink>
    </w:p>
    <w:p w14:paraId="288D875A" w14:textId="77777777" w:rsidR="0086682A" w:rsidRPr="00E845EA" w:rsidRDefault="0086682A" w:rsidP="0086682A">
      <w:pPr>
        <w:pStyle w:val="Cuerpo"/>
        <w:spacing w:before="100" w:after="100"/>
        <w:ind w:firstLine="720"/>
        <w:jc w:val="both"/>
        <w:rPr>
          <w:rStyle w:val="Ninguno"/>
          <w:rFonts w:eastAsia="Times New Roman" w:cs="Calibri"/>
          <w:sz w:val="22"/>
          <w:szCs w:val="22"/>
          <w:lang w:val="es-ES"/>
        </w:rPr>
      </w:pPr>
      <w:r w:rsidRPr="00E845EA">
        <w:rPr>
          <w:rStyle w:val="Ninguno"/>
          <w:rFonts w:cs="Calibri"/>
          <w:sz w:val="22"/>
          <w:szCs w:val="22"/>
          <w:lang w:val="es-ES"/>
        </w:rPr>
        <w:t xml:space="preserve">En caso de dar respuesta de forma electrónica, favor de incluir en el asunto del correo electrónico: “Cuestionario – Enfermedades crónicas no transmisibles y DDHH”. </w:t>
      </w:r>
    </w:p>
    <w:p w14:paraId="588E6235" w14:textId="77777777" w:rsidR="0086682A" w:rsidRPr="00E845EA" w:rsidRDefault="0086682A" w:rsidP="0086682A">
      <w:pPr>
        <w:pStyle w:val="Cuerpo"/>
        <w:spacing w:before="100" w:after="100"/>
        <w:ind w:firstLine="720"/>
        <w:jc w:val="both"/>
        <w:rPr>
          <w:rStyle w:val="Ninguno"/>
          <w:rFonts w:eastAsia="Times New Roman" w:cs="Calibri"/>
          <w:sz w:val="22"/>
          <w:szCs w:val="22"/>
          <w:lang w:val="es-ES"/>
        </w:rPr>
      </w:pPr>
      <w:r w:rsidRPr="00E845EA">
        <w:rPr>
          <w:rStyle w:val="Ninguno"/>
          <w:rFonts w:cs="Calibri"/>
          <w:sz w:val="22"/>
          <w:szCs w:val="22"/>
          <w:lang w:val="es-ES"/>
        </w:rPr>
        <w:t xml:space="preserve">La información que sea enviada en respuesta a este cuestionario puede referirse a todos o a algunos de los puntos solicitados. La información puede ser allegada en español, inglés, portugués o francés. </w:t>
      </w:r>
      <w:r w:rsidRPr="00E845EA">
        <w:rPr>
          <w:rStyle w:val="Ninguno"/>
          <w:rFonts w:eastAsia="Times New Roman" w:cs="Calibri"/>
          <w:sz w:val="22"/>
          <w:szCs w:val="22"/>
          <w:lang w:val="es-ES"/>
        </w:rPr>
        <w:t xml:space="preserve"> Se solicita identificar los números de preguntas a los que se dará respuesta en el documento que se envíe. De igual modo, se invita a responder directamente a cada una de las preguntas formuladas proporcionando información concreta y específica de lo que se considere más pertinente, más significativo y/o relevante.</w:t>
      </w:r>
    </w:p>
    <w:p w14:paraId="695A7546" w14:textId="77777777" w:rsidR="0086682A" w:rsidRPr="00E845EA" w:rsidRDefault="0086682A" w:rsidP="0086682A">
      <w:pPr>
        <w:pStyle w:val="Cuerpo"/>
        <w:spacing w:before="100" w:after="100"/>
        <w:ind w:firstLine="720"/>
        <w:jc w:val="both"/>
        <w:rPr>
          <w:rStyle w:val="Ninguno"/>
          <w:rFonts w:eastAsia="Times New Roman" w:cs="Calibri"/>
          <w:sz w:val="22"/>
          <w:szCs w:val="22"/>
          <w:lang w:val="es-ES"/>
        </w:rPr>
      </w:pPr>
      <w:r w:rsidRPr="00E845EA">
        <w:rPr>
          <w:rStyle w:val="Ninguno"/>
          <w:rFonts w:eastAsia="Times New Roman" w:cs="Calibri"/>
          <w:sz w:val="22"/>
          <w:szCs w:val="22"/>
          <w:lang w:val="es-ES"/>
        </w:rPr>
        <w:t>Cuando se presenten anexos se solicita identificar y diferenciar claramente los mismos del documento principal. Es posible presentar como anexos informes previamente publicados.</w:t>
      </w:r>
    </w:p>
    <w:p w14:paraId="4E51FF75" w14:textId="77777777" w:rsidR="0086682A" w:rsidRPr="00E845EA" w:rsidRDefault="0086682A" w:rsidP="0086682A">
      <w:pPr>
        <w:spacing w:before="100" w:after="100"/>
        <w:rPr>
          <w:rStyle w:val="Ninguno"/>
          <w:rFonts w:cs="Calibri"/>
          <w:b/>
          <w:bCs/>
          <w:lang w:val="es-ES"/>
        </w:rPr>
      </w:pPr>
    </w:p>
    <w:p w14:paraId="3AC1FD1A" w14:textId="77777777" w:rsidR="0086682A" w:rsidRPr="00E845EA" w:rsidRDefault="0086682A" w:rsidP="0086682A">
      <w:pPr>
        <w:pStyle w:val="ListParagraph"/>
        <w:numPr>
          <w:ilvl w:val="0"/>
          <w:numId w:val="16"/>
        </w:numPr>
        <w:spacing w:before="100" w:after="100"/>
        <w:rPr>
          <w:rFonts w:ascii="Calibri" w:hAnsi="Calibri" w:cs="Calibri"/>
          <w:b/>
          <w:bCs/>
          <w:sz w:val="22"/>
          <w:szCs w:val="22"/>
          <w:lang w:val="es-ES"/>
        </w:rPr>
      </w:pPr>
      <w:r w:rsidRPr="00E845EA">
        <w:rPr>
          <w:rStyle w:val="Ninguno"/>
          <w:rFonts w:ascii="Calibri" w:hAnsi="Calibri" w:cs="Calibri"/>
          <w:b/>
          <w:bCs/>
          <w:sz w:val="22"/>
          <w:szCs w:val="22"/>
          <w:lang w:val="es-ES"/>
        </w:rPr>
        <w:t xml:space="preserve">Información solicitada </w:t>
      </w:r>
    </w:p>
    <w:p w14:paraId="3F17A0DE" w14:textId="77777777" w:rsidR="0086682A" w:rsidRPr="00E845EA" w:rsidRDefault="0086682A" w:rsidP="0086682A">
      <w:pPr>
        <w:pStyle w:val="ListParagraph"/>
        <w:spacing w:before="100" w:after="100"/>
        <w:rPr>
          <w:rStyle w:val="Ninguno"/>
          <w:rFonts w:ascii="Calibri" w:eastAsia="Times New Roman" w:hAnsi="Calibri" w:cs="Calibri"/>
          <w:sz w:val="22"/>
          <w:szCs w:val="22"/>
          <w:u w:val="single"/>
          <w:lang w:val="es-ES"/>
        </w:rPr>
      </w:pPr>
    </w:p>
    <w:p w14:paraId="08833700" w14:textId="77777777" w:rsidR="0086682A" w:rsidRPr="00E845EA" w:rsidRDefault="0086682A" w:rsidP="0086682A">
      <w:pPr>
        <w:pStyle w:val="ListParagraph"/>
        <w:numPr>
          <w:ilvl w:val="0"/>
          <w:numId w:val="18"/>
        </w:numPr>
        <w:spacing w:before="100" w:after="100"/>
        <w:ind w:left="1440"/>
        <w:rPr>
          <w:rFonts w:ascii="Calibri" w:hAnsi="Calibri" w:cs="Calibri"/>
          <w:b/>
          <w:sz w:val="22"/>
          <w:szCs w:val="22"/>
          <w:lang w:val="es-ES"/>
        </w:rPr>
      </w:pPr>
      <w:r w:rsidRPr="00E845EA">
        <w:rPr>
          <w:rStyle w:val="Ninguno"/>
          <w:rFonts w:ascii="Calibri" w:hAnsi="Calibri" w:cs="Calibri"/>
          <w:b/>
          <w:sz w:val="22"/>
          <w:szCs w:val="22"/>
          <w:u w:val="single"/>
          <w:lang w:val="es-ES"/>
        </w:rPr>
        <w:t xml:space="preserve">Información estadística </w:t>
      </w:r>
    </w:p>
    <w:p w14:paraId="2CE1A004" w14:textId="77777777" w:rsidR="0086682A" w:rsidRPr="00E845EA" w:rsidRDefault="0086682A" w:rsidP="0086682A">
      <w:pPr>
        <w:pStyle w:val="ListParagraph"/>
        <w:numPr>
          <w:ilvl w:val="0"/>
          <w:numId w:val="20"/>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Indique si el Estado cuenta con datos estadísticos oficiales, correspondientes a los últimos cinco años, relativos a:</w:t>
      </w:r>
    </w:p>
    <w:p w14:paraId="66C488F3" w14:textId="77777777" w:rsidR="0086682A" w:rsidRPr="00E845EA" w:rsidRDefault="0086682A" w:rsidP="0086682A">
      <w:pPr>
        <w:pStyle w:val="ListParagraph"/>
        <w:numPr>
          <w:ilvl w:val="0"/>
          <w:numId w:val="22"/>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Las tasas de morbilidad y mortalidad causadas por las ENT.</w:t>
      </w:r>
    </w:p>
    <w:p w14:paraId="1CC6C7C4" w14:textId="77777777" w:rsidR="0086682A" w:rsidRPr="00E845EA" w:rsidRDefault="0086682A" w:rsidP="0086682A">
      <w:pPr>
        <w:pStyle w:val="ListParagraph"/>
        <w:numPr>
          <w:ilvl w:val="0"/>
          <w:numId w:val="22"/>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La información desagregada de las tasas o cifras de morbilidad y mortalidad de las ENT en determinados grupos sociales (p. ej.: por sexo, género, origen étnico, nacionalidad, estrato socioeconómico, edad, condición de salud preexistente, migrantes, etc.).</w:t>
      </w:r>
    </w:p>
    <w:p w14:paraId="10EA7CDA" w14:textId="77777777" w:rsidR="0086682A" w:rsidRPr="00E845EA" w:rsidRDefault="0086682A" w:rsidP="0086682A">
      <w:pPr>
        <w:pStyle w:val="ListParagraph"/>
        <w:numPr>
          <w:ilvl w:val="0"/>
          <w:numId w:val="22"/>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Las tasas de incidencia de ENT en las personas que se contagiaron o fallecieron por COVID-19.</w:t>
      </w:r>
    </w:p>
    <w:p w14:paraId="0EC47816" w14:textId="77777777" w:rsidR="0086682A" w:rsidRPr="00E845EA" w:rsidRDefault="0086682A" w:rsidP="0086682A">
      <w:pPr>
        <w:pStyle w:val="ListParagraph"/>
        <w:numPr>
          <w:ilvl w:val="0"/>
          <w:numId w:val="22"/>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Incidencia o presencia de factores de riesgo en la población en general, y desagregado por grupos sociales (p. ej.: p</w:t>
      </w:r>
      <w:r w:rsidRPr="00E845EA">
        <w:rPr>
          <w:rFonts w:ascii="Calibri" w:hAnsi="Calibri" w:cs="Calibri"/>
          <w:sz w:val="22"/>
          <w:szCs w:val="22"/>
          <w:lang w:val="es-ES"/>
        </w:rPr>
        <w:t>or sexo, género, origen étnico, nacionalidad, estrato socioeconómico, edad, condición de salud preexistente, migrantes, etc.</w:t>
      </w:r>
      <w:r w:rsidRPr="00E845EA">
        <w:rPr>
          <w:rStyle w:val="Ninguno"/>
          <w:rFonts w:ascii="Calibri" w:hAnsi="Calibri" w:cs="Calibri"/>
          <w:sz w:val="22"/>
          <w:szCs w:val="22"/>
          <w:lang w:val="es-ES"/>
        </w:rPr>
        <w:t>).</w:t>
      </w:r>
    </w:p>
    <w:p w14:paraId="223FA302" w14:textId="77777777" w:rsidR="0086682A" w:rsidRPr="00E845EA" w:rsidRDefault="0086682A" w:rsidP="0086682A">
      <w:pPr>
        <w:pStyle w:val="ListParagraph"/>
        <w:numPr>
          <w:ilvl w:val="0"/>
          <w:numId w:val="23"/>
        </w:numPr>
        <w:spacing w:before="100" w:after="100"/>
        <w:jc w:val="both"/>
        <w:rPr>
          <w:rStyle w:val="Ninguno"/>
          <w:rFonts w:ascii="Calibri" w:hAnsi="Calibri" w:cs="Calibri"/>
          <w:sz w:val="22"/>
          <w:szCs w:val="22"/>
          <w:lang w:val="es-ES"/>
        </w:rPr>
      </w:pPr>
      <w:r w:rsidRPr="00E845EA">
        <w:rPr>
          <w:rStyle w:val="Ninguno"/>
          <w:rFonts w:ascii="Calibri" w:hAnsi="Calibri" w:cs="Calibri"/>
          <w:sz w:val="22"/>
          <w:szCs w:val="22"/>
          <w:lang w:val="es-ES"/>
        </w:rPr>
        <w:t>De ser posible, proporcione esta información estadística, o indique el lugar en donde está disponible y es accesible. Si no hay información generada por el Estado, pero si por otras entidades u organismos, por favor responda las anteriores preguntas indicando la fuente de dicha información.</w:t>
      </w:r>
    </w:p>
    <w:p w14:paraId="7E5D5459" w14:textId="77777777" w:rsidR="0086682A" w:rsidRPr="00E845EA" w:rsidRDefault="0086682A" w:rsidP="0086682A">
      <w:pPr>
        <w:pStyle w:val="ListParagraph"/>
        <w:spacing w:before="100" w:after="100"/>
        <w:ind w:left="1080"/>
        <w:jc w:val="both"/>
        <w:rPr>
          <w:rFonts w:ascii="Calibri" w:hAnsi="Calibri" w:cs="Calibri"/>
          <w:sz w:val="22"/>
          <w:szCs w:val="22"/>
          <w:lang w:val="es-ES"/>
        </w:rPr>
      </w:pPr>
    </w:p>
    <w:p w14:paraId="5D79C541" w14:textId="77777777" w:rsidR="0086682A" w:rsidRPr="00E845EA" w:rsidRDefault="0086682A" w:rsidP="0086682A">
      <w:pPr>
        <w:pStyle w:val="ListParagraph"/>
        <w:numPr>
          <w:ilvl w:val="0"/>
          <w:numId w:val="24"/>
        </w:numPr>
        <w:spacing w:before="100" w:after="100"/>
        <w:ind w:left="1440"/>
        <w:rPr>
          <w:rFonts w:ascii="Calibri" w:hAnsi="Calibri" w:cs="Calibri"/>
          <w:b/>
          <w:sz w:val="22"/>
          <w:szCs w:val="22"/>
          <w:lang w:val="es-ES"/>
        </w:rPr>
      </w:pPr>
      <w:r w:rsidRPr="00E845EA">
        <w:rPr>
          <w:rStyle w:val="Ninguno"/>
          <w:rFonts w:ascii="Calibri" w:hAnsi="Calibri" w:cs="Calibri"/>
          <w:b/>
          <w:sz w:val="22"/>
          <w:szCs w:val="22"/>
          <w:u w:val="single"/>
          <w:lang w:val="es-ES"/>
        </w:rPr>
        <w:t xml:space="preserve">Marco normativo </w:t>
      </w:r>
    </w:p>
    <w:p w14:paraId="2391303F" w14:textId="77777777" w:rsidR="0086682A" w:rsidRPr="00E845EA" w:rsidRDefault="0086682A" w:rsidP="0086682A">
      <w:pPr>
        <w:pStyle w:val="ListParagraph"/>
        <w:numPr>
          <w:ilvl w:val="0"/>
          <w:numId w:val="26"/>
        </w:numPr>
        <w:spacing w:before="100" w:after="100"/>
        <w:rPr>
          <w:rFonts w:ascii="Calibri" w:hAnsi="Calibri" w:cs="Calibri"/>
          <w:sz w:val="22"/>
          <w:szCs w:val="22"/>
          <w:lang w:val="es-ES"/>
        </w:rPr>
      </w:pPr>
      <w:r w:rsidRPr="00E845EA">
        <w:rPr>
          <w:rStyle w:val="Ninguno"/>
          <w:rFonts w:ascii="Calibri" w:hAnsi="Calibri" w:cs="Calibri"/>
          <w:sz w:val="22"/>
          <w:szCs w:val="22"/>
          <w:lang w:val="es-ES"/>
        </w:rPr>
        <w:t>Especifique, si existen, cuáles son las normas vigentes del marco jurídico nacional y/o local que tengan por objeto reconocer y garantizar:</w:t>
      </w:r>
    </w:p>
    <w:p w14:paraId="13F4AE5E" w14:textId="77777777" w:rsidR="0086682A" w:rsidRPr="00E845EA" w:rsidRDefault="0086682A" w:rsidP="0086682A">
      <w:pPr>
        <w:pStyle w:val="ListParagraph"/>
        <w:numPr>
          <w:ilvl w:val="0"/>
          <w:numId w:val="28"/>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el derecho a la salud en sus componentes preventivo, y de prestación de servicios;</w:t>
      </w:r>
    </w:p>
    <w:p w14:paraId="2CD1F895" w14:textId="77777777" w:rsidR="0086682A" w:rsidRPr="00E845EA" w:rsidRDefault="0086682A" w:rsidP="0086682A">
      <w:pPr>
        <w:pStyle w:val="ListParagraph"/>
        <w:numPr>
          <w:ilvl w:val="0"/>
          <w:numId w:val="28"/>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 xml:space="preserve">el derecho a una alimentación adecuada; </w:t>
      </w:r>
    </w:p>
    <w:p w14:paraId="0E3A3AF5" w14:textId="77777777" w:rsidR="0086682A" w:rsidRPr="00E845EA" w:rsidRDefault="0086682A" w:rsidP="0086682A">
      <w:pPr>
        <w:pStyle w:val="ListParagraph"/>
        <w:numPr>
          <w:ilvl w:val="0"/>
          <w:numId w:val="28"/>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 xml:space="preserve">el derecho al agua y al saneamiento; </w:t>
      </w:r>
    </w:p>
    <w:p w14:paraId="6AF47FC6" w14:textId="77777777" w:rsidR="0086682A" w:rsidRPr="00E845EA" w:rsidRDefault="0086682A" w:rsidP="0086682A">
      <w:pPr>
        <w:pStyle w:val="ListParagraph"/>
        <w:numPr>
          <w:ilvl w:val="0"/>
          <w:numId w:val="28"/>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el derecho a un medio ambiente sano;</w:t>
      </w:r>
    </w:p>
    <w:p w14:paraId="40D6C6AA" w14:textId="77777777" w:rsidR="0086682A" w:rsidRPr="00E845EA" w:rsidRDefault="0086682A" w:rsidP="0086682A">
      <w:pPr>
        <w:pStyle w:val="ListParagraph"/>
        <w:numPr>
          <w:ilvl w:val="0"/>
          <w:numId w:val="28"/>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 xml:space="preserve">el principio de igualdad y no discriminación, en relación con los derechos económicos, sociales y culturales, en particular el derecho a la salud, a la alimentación adecuada, al agua o al medio ambiente sano; </w:t>
      </w:r>
    </w:p>
    <w:p w14:paraId="0A904BCA" w14:textId="77777777" w:rsidR="0086682A" w:rsidRPr="00E845EA" w:rsidRDefault="0086682A" w:rsidP="0086682A">
      <w:pPr>
        <w:pStyle w:val="ListParagraph"/>
        <w:numPr>
          <w:ilvl w:val="0"/>
          <w:numId w:val="28"/>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 xml:space="preserve">el derecho de acceso a la información; </w:t>
      </w:r>
    </w:p>
    <w:p w14:paraId="5CB84AAA" w14:textId="77777777" w:rsidR="0086682A" w:rsidRPr="00E845EA" w:rsidRDefault="0086682A" w:rsidP="0086682A">
      <w:pPr>
        <w:pStyle w:val="ListParagraph"/>
        <w:numPr>
          <w:ilvl w:val="0"/>
          <w:numId w:val="28"/>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 xml:space="preserve">el derecho a gozar de los beneficios del progreso científico; </w:t>
      </w:r>
    </w:p>
    <w:p w14:paraId="25154423" w14:textId="77777777" w:rsidR="0086682A" w:rsidRPr="00E845EA" w:rsidRDefault="0086682A" w:rsidP="0086682A">
      <w:pPr>
        <w:pStyle w:val="ListParagraph"/>
        <w:numPr>
          <w:ilvl w:val="0"/>
          <w:numId w:val="28"/>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y el derecho a contar con recursos efectivos frente a vulneraciones de los derechos a la salud, a la alimentación adecuada, al agua o al medio ambiente sano.</w:t>
      </w:r>
    </w:p>
    <w:p w14:paraId="3BE3A72A" w14:textId="77777777" w:rsidR="0086682A" w:rsidRPr="00E845EA" w:rsidRDefault="0086682A" w:rsidP="0086682A">
      <w:pPr>
        <w:pStyle w:val="ListParagraph"/>
        <w:numPr>
          <w:ilvl w:val="0"/>
          <w:numId w:val="29"/>
        </w:numPr>
        <w:spacing w:before="100" w:after="100"/>
        <w:jc w:val="both"/>
        <w:rPr>
          <w:rStyle w:val="Ninguno"/>
          <w:rFonts w:ascii="Calibri" w:hAnsi="Calibri" w:cs="Calibri"/>
          <w:sz w:val="22"/>
          <w:szCs w:val="22"/>
          <w:lang w:val="es-ES"/>
        </w:rPr>
      </w:pPr>
      <w:r w:rsidRPr="00E845EA">
        <w:rPr>
          <w:rStyle w:val="Ninguno"/>
          <w:rFonts w:ascii="Calibri" w:hAnsi="Calibri" w:cs="Calibri"/>
          <w:sz w:val="22"/>
          <w:szCs w:val="22"/>
          <w:lang w:val="es-ES"/>
        </w:rPr>
        <w:t>De ser posible, proporcione los textos legales, sentencias judiciales o indique dónde pueden consultarse.</w:t>
      </w:r>
    </w:p>
    <w:p w14:paraId="2790D5CB" w14:textId="77777777" w:rsidR="0086682A" w:rsidRPr="00E845EA" w:rsidRDefault="0086682A" w:rsidP="0086682A">
      <w:pPr>
        <w:pStyle w:val="ListParagraph"/>
        <w:numPr>
          <w:ilvl w:val="0"/>
          <w:numId w:val="29"/>
        </w:numPr>
        <w:spacing w:before="100" w:after="100"/>
        <w:jc w:val="both"/>
        <w:rPr>
          <w:rFonts w:ascii="Calibri" w:hAnsi="Calibri" w:cs="Calibri"/>
          <w:sz w:val="22"/>
          <w:szCs w:val="22"/>
          <w:lang w:val="es-ES"/>
        </w:rPr>
      </w:pPr>
      <w:r w:rsidRPr="00E845EA">
        <w:rPr>
          <w:rFonts w:ascii="Calibri" w:hAnsi="Calibri" w:cs="Calibri"/>
          <w:sz w:val="22"/>
          <w:szCs w:val="22"/>
          <w:lang w:val="es-ES"/>
        </w:rPr>
        <w:t>Mencione si el Estado ha ratificado el Convenio Marco de la OMS para el Control del Tabaco, así como las modificaciones normativas y políticas públicas que en su caso hayan sido implementadas como resultado de su ratificación.</w:t>
      </w:r>
    </w:p>
    <w:p w14:paraId="7A6696EC" w14:textId="77777777" w:rsidR="0086682A" w:rsidRPr="00E845EA" w:rsidRDefault="0086682A" w:rsidP="0086682A">
      <w:pPr>
        <w:pStyle w:val="ListParagraph"/>
        <w:spacing w:before="100" w:after="100"/>
        <w:ind w:left="1080"/>
        <w:jc w:val="both"/>
        <w:rPr>
          <w:rFonts w:ascii="Calibri" w:hAnsi="Calibri" w:cs="Calibri"/>
          <w:sz w:val="22"/>
          <w:szCs w:val="22"/>
          <w:lang w:val="es-ES"/>
        </w:rPr>
      </w:pPr>
    </w:p>
    <w:p w14:paraId="4CB8D531" w14:textId="77777777" w:rsidR="0086682A" w:rsidRPr="00E845EA" w:rsidRDefault="0086682A" w:rsidP="0086682A">
      <w:pPr>
        <w:pStyle w:val="ListParagraph"/>
        <w:numPr>
          <w:ilvl w:val="0"/>
          <w:numId w:val="30"/>
        </w:numPr>
        <w:spacing w:before="100" w:after="100"/>
        <w:ind w:left="1440"/>
        <w:rPr>
          <w:rStyle w:val="Ninguno"/>
          <w:rFonts w:ascii="Calibri" w:hAnsi="Calibri" w:cs="Calibri"/>
          <w:b/>
          <w:sz w:val="22"/>
          <w:szCs w:val="22"/>
          <w:lang w:val="es-ES"/>
        </w:rPr>
      </w:pPr>
      <w:r w:rsidRPr="00E845EA">
        <w:rPr>
          <w:rStyle w:val="Ninguno"/>
          <w:rFonts w:ascii="Calibri" w:hAnsi="Calibri" w:cs="Calibri"/>
          <w:b/>
          <w:sz w:val="22"/>
          <w:szCs w:val="22"/>
          <w:u w:val="single"/>
          <w:lang w:val="es-ES"/>
        </w:rPr>
        <w:lastRenderedPageBreak/>
        <w:t>Políticas públicas</w:t>
      </w:r>
    </w:p>
    <w:p w14:paraId="69D7A392" w14:textId="77777777" w:rsidR="0086682A" w:rsidRPr="00E845EA" w:rsidRDefault="0086682A" w:rsidP="0086682A">
      <w:pPr>
        <w:pStyle w:val="ListParagraph"/>
        <w:numPr>
          <w:ilvl w:val="0"/>
          <w:numId w:val="32"/>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Describa las políticas públicas, programas, planes estatales o nacionales y medidas que el Estado ha implementado en los últimos cinco años con la finalidad de:</w:t>
      </w:r>
    </w:p>
    <w:p w14:paraId="10AB1207" w14:textId="77777777" w:rsidR="0086682A" w:rsidRPr="00E845EA" w:rsidRDefault="0086682A" w:rsidP="0086682A">
      <w:pPr>
        <w:pStyle w:val="ListParagraph"/>
        <w:numPr>
          <w:ilvl w:val="0"/>
          <w:numId w:val="28"/>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Prevenir, diagnosticar y prestar servicios de salud para tratar las ENT.</w:t>
      </w:r>
    </w:p>
    <w:p w14:paraId="0DDF3EEF" w14:textId="77777777" w:rsidR="0086682A" w:rsidRPr="00E845EA" w:rsidRDefault="0086682A" w:rsidP="0086682A">
      <w:pPr>
        <w:pStyle w:val="ListParagraph"/>
        <w:numPr>
          <w:ilvl w:val="0"/>
          <w:numId w:val="28"/>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 xml:space="preserve">Eliminar y/o reducir los factores de riesgo modificables que contribuyen a la aparición de ENT. </w:t>
      </w:r>
    </w:p>
    <w:p w14:paraId="487E06A1" w14:textId="77777777" w:rsidR="0086682A" w:rsidRPr="00E845EA" w:rsidRDefault="0086682A" w:rsidP="0086682A">
      <w:pPr>
        <w:pStyle w:val="ListParagraph"/>
        <w:numPr>
          <w:ilvl w:val="0"/>
          <w:numId w:val="28"/>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Contribuir a que las personas adopten modos de vida saludables.</w:t>
      </w:r>
    </w:p>
    <w:p w14:paraId="25D123FC" w14:textId="77777777" w:rsidR="0086682A" w:rsidRPr="00E845EA" w:rsidRDefault="0086682A" w:rsidP="0086682A">
      <w:pPr>
        <w:pStyle w:val="ListParagraph"/>
        <w:numPr>
          <w:ilvl w:val="0"/>
          <w:numId w:val="28"/>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Asegurar y garantizar una alimentación adecuada, culturalmente apropiada, de calidad y sostenible.</w:t>
      </w:r>
    </w:p>
    <w:p w14:paraId="635E37B0" w14:textId="77777777" w:rsidR="0086682A" w:rsidRPr="00E845EA" w:rsidRDefault="0086682A" w:rsidP="0086682A">
      <w:pPr>
        <w:pStyle w:val="ListParagraph"/>
        <w:numPr>
          <w:ilvl w:val="0"/>
          <w:numId w:val="28"/>
        </w:numPr>
        <w:spacing w:before="100" w:after="100"/>
        <w:jc w:val="both"/>
        <w:rPr>
          <w:rFonts w:ascii="Calibri" w:hAnsi="Calibri" w:cs="Calibri"/>
          <w:sz w:val="22"/>
          <w:szCs w:val="22"/>
          <w:lang w:val="es-ES"/>
        </w:rPr>
      </w:pPr>
      <w:r w:rsidRPr="00E845EA">
        <w:rPr>
          <w:rStyle w:val="Ninguno"/>
          <w:rFonts w:ascii="Calibri" w:hAnsi="Calibri" w:cs="Calibri"/>
          <w:sz w:val="22"/>
          <w:szCs w:val="22"/>
          <w:lang w:val="es-ES"/>
        </w:rPr>
        <w:t>Educar e informar sobre las ENT, cómo se generan y cómo prevenirlas.</w:t>
      </w:r>
    </w:p>
    <w:p w14:paraId="308B3D2B" w14:textId="77777777" w:rsidR="0086682A" w:rsidRPr="00E845EA" w:rsidRDefault="0086682A" w:rsidP="0086682A">
      <w:pPr>
        <w:pStyle w:val="ListParagraph"/>
        <w:numPr>
          <w:ilvl w:val="0"/>
          <w:numId w:val="33"/>
        </w:numPr>
        <w:spacing w:before="100" w:after="100"/>
        <w:jc w:val="both"/>
        <w:rPr>
          <w:rFonts w:ascii="Calibri" w:hAnsi="Calibri" w:cs="Calibri"/>
          <w:sz w:val="22"/>
          <w:szCs w:val="22"/>
          <w:lang w:val="es-ES"/>
        </w:rPr>
      </w:pPr>
      <w:r w:rsidRPr="00E845EA">
        <w:rPr>
          <w:rFonts w:ascii="Calibri" w:hAnsi="Calibri" w:cs="Calibri"/>
          <w:sz w:val="22"/>
          <w:szCs w:val="22"/>
          <w:lang w:val="es-ES"/>
        </w:rPr>
        <w:t xml:space="preserve">Mencione cuáles son los indicadores y mecanismos institucionales para monitorear y evaluar los avances de estas políticas públicas. En caso de no existir, indique qué indicadores y mecanismos de supervisión considera como más adecuados. </w:t>
      </w:r>
    </w:p>
    <w:p w14:paraId="68B6797A" w14:textId="77777777" w:rsidR="0086682A" w:rsidRPr="00E845EA" w:rsidRDefault="0086682A" w:rsidP="0086682A">
      <w:pPr>
        <w:pStyle w:val="ListParagraph"/>
        <w:numPr>
          <w:ilvl w:val="0"/>
          <w:numId w:val="33"/>
        </w:numPr>
        <w:spacing w:before="100" w:after="100"/>
        <w:jc w:val="both"/>
        <w:rPr>
          <w:rFonts w:ascii="Calibri" w:hAnsi="Calibri" w:cs="Calibri"/>
          <w:sz w:val="22"/>
          <w:szCs w:val="22"/>
          <w:lang w:val="es-ES"/>
        </w:rPr>
      </w:pPr>
      <w:r w:rsidRPr="00E845EA">
        <w:rPr>
          <w:rFonts w:ascii="Calibri" w:hAnsi="Calibri" w:cs="Calibri"/>
          <w:sz w:val="22"/>
          <w:szCs w:val="22"/>
          <w:lang w:val="es-ES"/>
        </w:rPr>
        <w:t>Proporcione información sobre los desafíos y avances en el diseño, formulación, implementación, ejecución, monitoreo y evaluación de estas políticas públicas.</w:t>
      </w:r>
    </w:p>
    <w:p w14:paraId="3B5F3BE0" w14:textId="77777777" w:rsidR="0086682A" w:rsidRPr="00E845EA" w:rsidRDefault="0086682A" w:rsidP="0086682A">
      <w:pPr>
        <w:spacing w:before="100" w:after="100"/>
        <w:jc w:val="both"/>
        <w:rPr>
          <w:rFonts w:cs="Calibri"/>
          <w:lang w:val="es-ES"/>
        </w:rPr>
      </w:pPr>
    </w:p>
    <w:p w14:paraId="4F88D232" w14:textId="77777777" w:rsidR="0086682A" w:rsidRPr="00E845EA" w:rsidRDefault="0086682A" w:rsidP="0086682A">
      <w:pPr>
        <w:pStyle w:val="ListParagraph"/>
        <w:numPr>
          <w:ilvl w:val="0"/>
          <w:numId w:val="34"/>
        </w:numPr>
        <w:spacing w:before="100" w:after="100"/>
        <w:ind w:left="1440"/>
        <w:jc w:val="both"/>
        <w:rPr>
          <w:rFonts w:ascii="Calibri" w:hAnsi="Calibri" w:cs="Calibri"/>
          <w:b/>
          <w:sz w:val="22"/>
          <w:szCs w:val="22"/>
          <w:lang w:val="es-ES"/>
        </w:rPr>
      </w:pPr>
      <w:r w:rsidRPr="00E845EA">
        <w:rPr>
          <w:rStyle w:val="Ninguno"/>
          <w:rFonts w:ascii="Calibri" w:hAnsi="Calibri" w:cs="Calibri"/>
          <w:b/>
          <w:sz w:val="22"/>
          <w:szCs w:val="22"/>
          <w:u w:val="single"/>
          <w:lang w:val="es-ES"/>
        </w:rPr>
        <w:t>Mecanismos de protección judicial y no judicial</w:t>
      </w:r>
    </w:p>
    <w:p w14:paraId="4EF4AF7D" w14:textId="77777777" w:rsidR="0086682A" w:rsidRPr="00E845EA" w:rsidRDefault="0086682A" w:rsidP="0086682A">
      <w:pPr>
        <w:pStyle w:val="Cuerpo"/>
        <w:spacing w:before="100" w:after="100"/>
        <w:jc w:val="both"/>
        <w:rPr>
          <w:rStyle w:val="Ninguno"/>
          <w:rFonts w:cs="Calibri"/>
          <w:sz w:val="22"/>
          <w:szCs w:val="22"/>
          <w:lang w:val="es-ES"/>
        </w:rPr>
      </w:pPr>
      <w:r w:rsidRPr="00E845EA">
        <w:rPr>
          <w:rStyle w:val="Ninguno"/>
          <w:rFonts w:cs="Calibri"/>
          <w:sz w:val="22"/>
          <w:szCs w:val="22"/>
          <w:lang w:val="es-ES"/>
        </w:rPr>
        <w:t>Indique cuales son los mecanismos judiciales y no judiciales disponibles para proteger y garantizar el acceso a bienes y servicios relacionados con la prevención y tratamiento de las ENT, o la eliminación y reducción de los factores de riesgo que contribuyen a su aparición.</w:t>
      </w:r>
    </w:p>
    <w:p w14:paraId="1BFD3AC2" w14:textId="77777777" w:rsidR="0086682A" w:rsidRPr="00E845EA" w:rsidRDefault="0086682A" w:rsidP="0086682A">
      <w:pPr>
        <w:pStyle w:val="Cuerpo"/>
        <w:spacing w:before="100" w:after="100"/>
        <w:jc w:val="both"/>
        <w:rPr>
          <w:rStyle w:val="Ninguno"/>
          <w:rFonts w:eastAsia="Times New Roman" w:cs="Calibri"/>
          <w:sz w:val="22"/>
          <w:szCs w:val="22"/>
          <w:lang w:val="es-ES"/>
        </w:rPr>
      </w:pPr>
    </w:p>
    <w:p w14:paraId="5CC3F0FA" w14:textId="77777777" w:rsidR="0086682A" w:rsidRPr="00E845EA" w:rsidRDefault="0086682A" w:rsidP="0086682A">
      <w:pPr>
        <w:pStyle w:val="ListParagraph"/>
        <w:numPr>
          <w:ilvl w:val="0"/>
          <w:numId w:val="18"/>
        </w:numPr>
        <w:spacing w:before="100" w:after="100"/>
        <w:ind w:left="1440"/>
        <w:jc w:val="both"/>
        <w:rPr>
          <w:rFonts w:ascii="Calibri" w:hAnsi="Calibri" w:cs="Calibri"/>
          <w:b/>
          <w:sz w:val="22"/>
          <w:szCs w:val="22"/>
          <w:lang w:val="es-ES"/>
        </w:rPr>
      </w:pPr>
      <w:r w:rsidRPr="00E845EA">
        <w:rPr>
          <w:rStyle w:val="Ninguno"/>
          <w:rFonts w:ascii="Calibri" w:hAnsi="Calibri" w:cs="Calibri"/>
          <w:b/>
          <w:sz w:val="22"/>
          <w:szCs w:val="22"/>
          <w:u w:val="single"/>
          <w:lang w:val="es-ES"/>
        </w:rPr>
        <w:t>Desafíos</w:t>
      </w:r>
    </w:p>
    <w:p w14:paraId="6400921E" w14:textId="77777777" w:rsidR="0086682A" w:rsidRPr="00E845EA" w:rsidRDefault="0086682A" w:rsidP="0086682A">
      <w:pPr>
        <w:pStyle w:val="Cuerpo"/>
        <w:spacing w:before="100" w:after="100"/>
        <w:jc w:val="both"/>
        <w:rPr>
          <w:rStyle w:val="Ninguno"/>
          <w:rFonts w:cs="Calibri"/>
          <w:sz w:val="22"/>
          <w:szCs w:val="22"/>
          <w:lang w:val="es-ES"/>
        </w:rPr>
      </w:pPr>
      <w:r w:rsidRPr="00E845EA">
        <w:rPr>
          <w:rStyle w:val="Ninguno"/>
          <w:rFonts w:cs="Calibri"/>
          <w:sz w:val="22"/>
          <w:szCs w:val="22"/>
          <w:lang w:val="es-ES"/>
        </w:rPr>
        <w:t>Indique cuáles son los principales desafíos estructurales, jurídicos, económicos, culturales, políticos y sociales para introducir políticas, programas, planes y/o normas jurídicas cuyo objeto sea: (i) la prevención y tratamiento de las ENT, y (ii) eliminar y/o reducir sus factores de riesgo.</w:t>
      </w:r>
    </w:p>
    <w:p w14:paraId="04F266F0" w14:textId="77777777" w:rsidR="0086682A" w:rsidRPr="00E845EA" w:rsidRDefault="0086682A" w:rsidP="0086682A">
      <w:pPr>
        <w:pStyle w:val="Cuerpo"/>
        <w:spacing w:before="100" w:after="100"/>
        <w:jc w:val="both"/>
        <w:rPr>
          <w:rStyle w:val="Ninguno"/>
          <w:rFonts w:eastAsia="Times New Roman" w:cs="Calibri"/>
          <w:sz w:val="22"/>
          <w:szCs w:val="22"/>
          <w:lang w:val="es-ES"/>
        </w:rPr>
      </w:pPr>
    </w:p>
    <w:p w14:paraId="6263B717" w14:textId="77777777" w:rsidR="0086682A" w:rsidRPr="00E845EA" w:rsidRDefault="0086682A" w:rsidP="0086682A">
      <w:pPr>
        <w:pStyle w:val="ListParagraph"/>
        <w:numPr>
          <w:ilvl w:val="0"/>
          <w:numId w:val="18"/>
        </w:numPr>
        <w:spacing w:before="100" w:after="100"/>
        <w:ind w:left="1440"/>
        <w:jc w:val="both"/>
        <w:rPr>
          <w:rFonts w:ascii="Calibri" w:hAnsi="Calibri" w:cs="Calibri"/>
          <w:b/>
          <w:sz w:val="22"/>
          <w:szCs w:val="22"/>
          <w:lang w:val="es-ES"/>
        </w:rPr>
      </w:pPr>
      <w:r w:rsidRPr="00E845EA">
        <w:rPr>
          <w:rStyle w:val="Ninguno"/>
          <w:rFonts w:ascii="Calibri" w:hAnsi="Calibri" w:cs="Calibri"/>
          <w:b/>
          <w:sz w:val="22"/>
          <w:szCs w:val="22"/>
          <w:u w:val="single"/>
          <w:lang w:val="es-ES"/>
        </w:rPr>
        <w:t xml:space="preserve">Mejores prácticas </w:t>
      </w:r>
    </w:p>
    <w:p w14:paraId="2673C626" w14:textId="77777777" w:rsidR="0086682A" w:rsidRPr="00E845EA" w:rsidRDefault="0086682A" w:rsidP="0086682A">
      <w:pPr>
        <w:pStyle w:val="Cuerpo"/>
        <w:spacing w:before="100" w:after="100"/>
        <w:jc w:val="both"/>
        <w:rPr>
          <w:rStyle w:val="Ninguno"/>
          <w:rFonts w:eastAsia="Times New Roman" w:cs="Calibri"/>
          <w:sz w:val="22"/>
          <w:szCs w:val="22"/>
          <w:lang w:val="es-ES"/>
        </w:rPr>
      </w:pPr>
      <w:r w:rsidRPr="00E845EA">
        <w:rPr>
          <w:rStyle w:val="Ninguno"/>
          <w:rFonts w:cs="Calibri"/>
          <w:sz w:val="22"/>
          <w:szCs w:val="22"/>
          <w:lang w:val="es-ES"/>
        </w:rPr>
        <w:t>Sino han sido mencionadas anteriormente, indique cuales han sido las mejores prácticas implementadas cuyo objeto sea: (i) la prevención y tratamiento de las ENT, y (ii) eliminar y/o reducir sus factores de riesgo.</w:t>
      </w:r>
      <w:r w:rsidRPr="00E845EA">
        <w:rPr>
          <w:rStyle w:val="Ninguno"/>
          <w:rFonts w:eastAsia="Times New Roman" w:cs="Calibri"/>
          <w:sz w:val="22"/>
          <w:szCs w:val="22"/>
          <w:lang w:val="es-ES"/>
        </w:rPr>
        <w:t xml:space="preserve"> </w:t>
      </w:r>
    </w:p>
    <w:p w14:paraId="69C77523" w14:textId="77777777" w:rsidR="0086682A" w:rsidRPr="00E845EA" w:rsidRDefault="0086682A" w:rsidP="0086682A">
      <w:pPr>
        <w:pStyle w:val="Cuerpo"/>
        <w:spacing w:before="100" w:after="100"/>
        <w:jc w:val="both"/>
        <w:rPr>
          <w:rStyle w:val="Ninguno"/>
          <w:rFonts w:cs="Calibri"/>
          <w:sz w:val="22"/>
          <w:szCs w:val="22"/>
          <w:lang w:val="es-ES"/>
        </w:rPr>
      </w:pPr>
    </w:p>
    <w:p w14:paraId="42855CA6" w14:textId="1D1C8282" w:rsidR="0086682A" w:rsidRPr="00E845EA" w:rsidRDefault="0086682A" w:rsidP="0086682A">
      <w:pPr>
        <w:pStyle w:val="Cuerpo"/>
        <w:spacing w:before="100" w:after="100"/>
        <w:jc w:val="both"/>
        <w:rPr>
          <w:rFonts w:eastAsia="Times New Roman" w:cs="Calibri"/>
          <w:sz w:val="22"/>
          <w:szCs w:val="22"/>
          <w:lang w:val="es-ES"/>
        </w:rPr>
      </w:pPr>
      <w:r w:rsidRPr="00E845EA">
        <w:rPr>
          <w:rStyle w:val="Ninguno"/>
          <w:rFonts w:cs="Calibri"/>
          <w:sz w:val="22"/>
          <w:szCs w:val="22"/>
          <w:lang w:val="es-ES"/>
        </w:rPr>
        <w:t>¡Gracias por participar!</w:t>
      </w:r>
    </w:p>
    <w:p w14:paraId="4A7C8955" w14:textId="1DA1081A" w:rsidR="00FE5F7F" w:rsidRPr="00E845EA" w:rsidRDefault="00FE5F7F" w:rsidP="0086682A">
      <w:pPr>
        <w:rPr>
          <w:rFonts w:cs="Calibri"/>
          <w:lang w:val="es-ES"/>
        </w:rPr>
      </w:pPr>
    </w:p>
    <w:sectPr w:rsidR="00FE5F7F" w:rsidRPr="00E845EA" w:rsidSect="00C63F0C">
      <w:headerReference w:type="default" r:id="rId9"/>
      <w:footerReference w:type="default" r:id="rId10"/>
      <w:headerReference w:type="first" r:id="rId11"/>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0973" w14:textId="77777777" w:rsidR="00E316CF" w:rsidRDefault="00E316CF" w:rsidP="0004252D">
      <w:pPr>
        <w:spacing w:after="0" w:line="240" w:lineRule="auto"/>
      </w:pPr>
      <w:r>
        <w:separator/>
      </w:r>
    </w:p>
  </w:endnote>
  <w:endnote w:type="continuationSeparator" w:id="0">
    <w:p w14:paraId="5F2A79CB" w14:textId="77777777" w:rsidR="00E316CF" w:rsidRDefault="00E316CF" w:rsidP="0004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270976"/>
      <w:docPartObj>
        <w:docPartGallery w:val="Page Numbers (Bottom of Page)"/>
        <w:docPartUnique/>
      </w:docPartObj>
    </w:sdtPr>
    <w:sdtEndPr>
      <w:rPr>
        <w:noProof/>
      </w:rPr>
    </w:sdtEndPr>
    <w:sdtContent>
      <w:p w14:paraId="79248D1C" w14:textId="1F8BC79C" w:rsidR="00C63F0C" w:rsidRDefault="00C6656A" w:rsidP="00C63F0C">
        <w:pPr>
          <w:pStyle w:val="Footer"/>
          <w:jc w:val="center"/>
        </w:pPr>
        <w:r>
          <w:fldChar w:fldCharType="begin"/>
        </w:r>
        <w:r w:rsidR="00C63F0C">
          <w:instrText xml:space="preserve"> PAGE   \* MERGEFORMAT </w:instrText>
        </w:r>
        <w:r>
          <w:fldChar w:fldCharType="separate"/>
        </w:r>
        <w:r w:rsidR="00C90C5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37C9" w14:textId="77777777" w:rsidR="00E316CF" w:rsidRDefault="00E316CF" w:rsidP="0004252D">
      <w:pPr>
        <w:spacing w:after="0" w:line="240" w:lineRule="auto"/>
      </w:pPr>
      <w:r>
        <w:separator/>
      </w:r>
    </w:p>
  </w:footnote>
  <w:footnote w:type="continuationSeparator" w:id="0">
    <w:p w14:paraId="2C270049" w14:textId="77777777" w:rsidR="00E316CF" w:rsidRDefault="00E316CF" w:rsidP="0004252D">
      <w:pPr>
        <w:spacing w:after="0" w:line="240" w:lineRule="auto"/>
      </w:pPr>
      <w:r>
        <w:continuationSeparator/>
      </w:r>
    </w:p>
  </w:footnote>
  <w:footnote w:id="1">
    <w:p w14:paraId="114012AA" w14:textId="77777777" w:rsidR="0086682A" w:rsidRPr="0086682A" w:rsidRDefault="0086682A" w:rsidP="0086682A">
      <w:pPr>
        <w:pStyle w:val="FootnoteText"/>
        <w:jc w:val="both"/>
        <w:rPr>
          <w:rFonts w:asciiTheme="minorHAnsi" w:hAnsiTheme="minorHAnsi" w:cstheme="minorHAnsi"/>
          <w:lang w:val="es-419"/>
        </w:rPr>
      </w:pPr>
      <w:r w:rsidRPr="0086682A">
        <w:rPr>
          <w:rStyle w:val="FootnoteReference"/>
          <w:rFonts w:asciiTheme="minorHAnsi" w:hAnsiTheme="minorHAnsi" w:cstheme="minorHAnsi"/>
        </w:rPr>
        <w:footnoteRef/>
      </w:r>
      <w:r w:rsidRPr="0086682A">
        <w:rPr>
          <w:rFonts w:asciiTheme="minorHAnsi" w:hAnsiTheme="minorHAnsi" w:cstheme="minorHAnsi"/>
          <w:lang w:val="es-419"/>
        </w:rPr>
        <w:t xml:space="preserve"> Véase </w:t>
      </w:r>
      <w:r w:rsidRPr="0086682A">
        <w:rPr>
          <w:rFonts w:asciiTheme="minorHAnsi" w:hAnsiTheme="minorHAnsi" w:cstheme="minorHAnsi"/>
          <w:lang w:val="es-ES"/>
        </w:rPr>
        <w:t xml:space="preserve">OMS y OPS. </w:t>
      </w:r>
      <w:r w:rsidRPr="0086682A">
        <w:rPr>
          <w:rFonts w:asciiTheme="minorHAnsi" w:hAnsiTheme="minorHAnsi" w:cstheme="minorHAnsi"/>
          <w:i/>
          <w:iCs/>
          <w:lang w:val="es-ES"/>
        </w:rPr>
        <w:t>Las ENT de un vistazo. Mortalidad por enfermedades no transmisibles y prevalencia de sus factores de riesgo en la Región de las Américas</w:t>
      </w:r>
      <w:r w:rsidRPr="0086682A">
        <w:rPr>
          <w:rFonts w:asciiTheme="minorHAnsi" w:hAnsiTheme="minorHAnsi" w:cstheme="minorHAnsi"/>
          <w:lang w:val="es-ES"/>
        </w:rPr>
        <w:t xml:space="preserve">, 2019, pág. 4. Disponible en: </w:t>
      </w:r>
      <w:hyperlink r:id="rId1" w:history="1">
        <w:r w:rsidRPr="0086682A">
          <w:rPr>
            <w:rStyle w:val="Hyperlink"/>
            <w:rFonts w:asciiTheme="minorHAnsi" w:hAnsiTheme="minorHAnsi" w:cstheme="minorHAnsi"/>
            <w:lang w:val="es-ES"/>
          </w:rPr>
          <w:t>https://iris.paho.org/handle/10665.2/51752</w:t>
        </w:r>
      </w:hyperlink>
      <w:r w:rsidRPr="0086682A">
        <w:rPr>
          <w:rFonts w:asciiTheme="minorHAnsi" w:hAnsiTheme="minorHAnsi" w:cstheme="minorHAnsi"/>
          <w:lang w:val="es-ES"/>
        </w:rPr>
        <w:t>.</w:t>
      </w:r>
    </w:p>
  </w:footnote>
  <w:footnote w:id="2">
    <w:p w14:paraId="6218CCBC" w14:textId="77777777" w:rsidR="0086682A" w:rsidRPr="0086682A" w:rsidRDefault="0086682A" w:rsidP="0086682A">
      <w:pPr>
        <w:pStyle w:val="FootnoteText"/>
        <w:jc w:val="both"/>
        <w:rPr>
          <w:rFonts w:asciiTheme="minorHAnsi" w:hAnsiTheme="minorHAnsi" w:cstheme="minorHAnsi"/>
          <w:lang w:val="es-ES"/>
        </w:rPr>
      </w:pPr>
      <w:r w:rsidRPr="0086682A">
        <w:rPr>
          <w:rStyle w:val="FootnoteReference"/>
          <w:rFonts w:asciiTheme="minorHAnsi" w:hAnsiTheme="minorHAnsi" w:cstheme="minorHAnsi"/>
        </w:rPr>
        <w:footnoteRef/>
      </w:r>
      <w:r w:rsidRPr="0086682A">
        <w:rPr>
          <w:rFonts w:asciiTheme="minorHAnsi" w:hAnsiTheme="minorHAnsi" w:cstheme="minorHAnsi"/>
          <w:lang w:val="es-ES"/>
        </w:rPr>
        <w:t xml:space="preserve"> OMS y OPS. </w:t>
      </w:r>
      <w:r w:rsidRPr="0086682A">
        <w:rPr>
          <w:rFonts w:asciiTheme="minorHAnsi" w:hAnsiTheme="minorHAnsi" w:cstheme="minorHAnsi"/>
          <w:i/>
          <w:iCs/>
          <w:lang w:val="es-ES"/>
        </w:rPr>
        <w:t>Prevención y control de los factores de riesgo de las enfermedades no transmisibles. Estado de la aplicación de las medidas costo eficaces en América Latina</w:t>
      </w:r>
      <w:r w:rsidRPr="0086682A">
        <w:rPr>
          <w:rFonts w:asciiTheme="minorHAnsi" w:hAnsiTheme="minorHAnsi" w:cstheme="minorHAnsi"/>
          <w:lang w:val="es-ES"/>
        </w:rPr>
        <w:t xml:space="preserve">, 2019, pág. 5. Disponible en: </w:t>
      </w:r>
      <w:hyperlink r:id="rId2" w:history="1">
        <w:r w:rsidRPr="0086682A">
          <w:rPr>
            <w:rStyle w:val="Hyperlink"/>
            <w:rFonts w:asciiTheme="minorHAnsi" w:hAnsiTheme="minorHAnsi" w:cstheme="minorHAnsi"/>
            <w:lang w:val="es-ES"/>
          </w:rPr>
          <w:t>https://iris.paho.org/handle/10665.2/50833</w:t>
        </w:r>
      </w:hyperlink>
      <w:r w:rsidRPr="0086682A">
        <w:rPr>
          <w:rFonts w:asciiTheme="minorHAnsi" w:hAnsiTheme="minorHAnsi" w:cstheme="minorHAnsi"/>
          <w:lang w:val="es-ES"/>
        </w:rPr>
        <w:t xml:space="preserve">; OMS. </w:t>
      </w:r>
      <w:r w:rsidRPr="0086682A">
        <w:rPr>
          <w:rFonts w:asciiTheme="minorHAnsi" w:hAnsiTheme="minorHAnsi" w:cstheme="minorHAnsi"/>
          <w:i/>
          <w:iCs/>
          <w:lang w:val="es-ES"/>
        </w:rPr>
        <w:t>Monitoreo de Avances en materia de las enfermedades no transmisibles 2017</w:t>
      </w:r>
      <w:r w:rsidRPr="0086682A">
        <w:rPr>
          <w:rFonts w:asciiTheme="minorHAnsi" w:hAnsiTheme="minorHAnsi" w:cstheme="minorHAnsi"/>
          <w:lang w:val="es-ES"/>
        </w:rPr>
        <w:t xml:space="preserve">, pág. 7. Disponible en: </w:t>
      </w:r>
      <w:hyperlink r:id="rId3" w:history="1">
        <w:r w:rsidRPr="0086682A">
          <w:rPr>
            <w:rStyle w:val="Hyperlink"/>
            <w:rFonts w:asciiTheme="minorHAnsi" w:hAnsiTheme="minorHAnsi" w:cstheme="minorHAnsi"/>
            <w:lang w:val="es-ES"/>
          </w:rPr>
          <w:t>https://apps.who.int/iris/bitstream/handle/10665/259806/9789243513027-spa.pdf?sequence=1</w:t>
        </w:r>
      </w:hyperlink>
      <w:r w:rsidRPr="0086682A">
        <w:rPr>
          <w:rFonts w:asciiTheme="minorHAnsi" w:hAnsiTheme="minorHAnsi" w:cstheme="minorHAnsi"/>
          <w:lang w:val="es-ES"/>
        </w:rPr>
        <w:t xml:space="preserve">. </w:t>
      </w:r>
    </w:p>
  </w:footnote>
  <w:footnote w:id="3">
    <w:p w14:paraId="6C73455A" w14:textId="77777777" w:rsidR="0086682A" w:rsidRPr="0086682A" w:rsidRDefault="0086682A" w:rsidP="0086682A">
      <w:pPr>
        <w:pStyle w:val="FootnoteText"/>
        <w:jc w:val="both"/>
        <w:rPr>
          <w:rFonts w:asciiTheme="minorHAnsi" w:hAnsiTheme="minorHAnsi" w:cstheme="minorHAnsi"/>
          <w:lang w:val="es-ES"/>
        </w:rPr>
      </w:pPr>
      <w:r w:rsidRPr="0086682A">
        <w:rPr>
          <w:rStyle w:val="FootnoteReference"/>
          <w:rFonts w:asciiTheme="minorHAnsi" w:hAnsiTheme="minorHAnsi" w:cstheme="minorHAnsi"/>
        </w:rPr>
        <w:footnoteRef/>
      </w:r>
      <w:r w:rsidRPr="0086682A">
        <w:rPr>
          <w:rFonts w:asciiTheme="minorHAnsi" w:hAnsiTheme="minorHAnsi" w:cstheme="minorHAnsi"/>
          <w:lang w:val="es-ES"/>
        </w:rPr>
        <w:t xml:space="preserve"> OMS. </w:t>
      </w:r>
      <w:r w:rsidRPr="0086682A">
        <w:rPr>
          <w:rFonts w:asciiTheme="minorHAnsi" w:hAnsiTheme="minorHAnsi" w:cstheme="minorHAnsi"/>
          <w:i/>
          <w:iCs/>
          <w:lang w:val="es-ES"/>
        </w:rPr>
        <w:t>Monitoreo de Avances en materia de las enfermedades no transmisibles 2020</w:t>
      </w:r>
      <w:r w:rsidRPr="0086682A">
        <w:rPr>
          <w:rFonts w:asciiTheme="minorHAnsi" w:hAnsiTheme="minorHAnsi" w:cstheme="minorHAnsi"/>
          <w:lang w:val="es-ES"/>
        </w:rPr>
        <w:t xml:space="preserve">, pág. 1. Disponible en: </w:t>
      </w:r>
      <w:hyperlink r:id="rId4" w:history="1">
        <w:r w:rsidRPr="0086682A">
          <w:rPr>
            <w:rStyle w:val="Hyperlink"/>
            <w:rFonts w:asciiTheme="minorHAnsi" w:hAnsiTheme="minorHAnsi" w:cstheme="minorHAnsi"/>
            <w:lang w:val="es-ES"/>
          </w:rPr>
          <w:t>https://www.who.int/es/publications/i/item/ncd-progress-monitor-2020</w:t>
        </w:r>
      </w:hyperlink>
      <w:r w:rsidRPr="0086682A">
        <w:rPr>
          <w:rFonts w:asciiTheme="minorHAnsi" w:hAnsiTheme="minorHAnsi" w:cstheme="minorHAnsi"/>
          <w:lang w:val="es-ES"/>
        </w:rPr>
        <w:t xml:space="preserve">. </w:t>
      </w:r>
    </w:p>
  </w:footnote>
  <w:footnote w:id="4">
    <w:p w14:paraId="1D386D9B" w14:textId="77777777" w:rsidR="0086682A" w:rsidRPr="0086682A" w:rsidRDefault="0086682A" w:rsidP="0086682A">
      <w:pPr>
        <w:pStyle w:val="FootnoteText"/>
        <w:jc w:val="both"/>
        <w:rPr>
          <w:rFonts w:asciiTheme="minorHAnsi" w:hAnsiTheme="minorHAnsi" w:cstheme="minorHAnsi"/>
          <w:lang w:val="es-ES"/>
        </w:rPr>
      </w:pPr>
      <w:r w:rsidRPr="0086682A">
        <w:rPr>
          <w:rStyle w:val="FootnoteReference"/>
          <w:rFonts w:asciiTheme="minorHAnsi" w:hAnsiTheme="minorHAnsi" w:cstheme="minorHAnsi"/>
        </w:rPr>
        <w:footnoteRef/>
      </w:r>
      <w:r w:rsidRPr="0086682A">
        <w:rPr>
          <w:rFonts w:asciiTheme="minorHAnsi" w:hAnsiTheme="minorHAnsi" w:cstheme="minorHAnsi"/>
          <w:lang w:val="es-ES"/>
        </w:rPr>
        <w:t xml:space="preserve"> OMS y OPS. </w:t>
      </w:r>
      <w:r w:rsidRPr="0086682A">
        <w:rPr>
          <w:rFonts w:asciiTheme="minorHAnsi" w:hAnsiTheme="minorHAnsi" w:cstheme="minorHAnsi"/>
          <w:i/>
          <w:iCs/>
          <w:lang w:val="es-ES"/>
        </w:rPr>
        <w:t>Enfermedades no transmisibles. Datos clave</w:t>
      </w:r>
      <w:r w:rsidRPr="0086682A">
        <w:rPr>
          <w:rFonts w:asciiTheme="minorHAnsi" w:hAnsiTheme="minorHAnsi" w:cstheme="minorHAnsi"/>
          <w:lang w:val="es-ES"/>
        </w:rPr>
        <w:t xml:space="preserve">. Disponible en: </w:t>
      </w:r>
      <w:hyperlink r:id="rId5" w:history="1">
        <w:r w:rsidRPr="0086682A">
          <w:rPr>
            <w:rStyle w:val="Hyperlink"/>
            <w:rFonts w:asciiTheme="minorHAnsi" w:hAnsiTheme="minorHAnsi" w:cstheme="minorHAnsi"/>
            <w:lang w:val="es-ES"/>
          </w:rPr>
          <w:t>https://www.paho.org/es/temas/enfermedades-no-transmisibles</w:t>
        </w:r>
      </w:hyperlink>
      <w:r w:rsidRPr="0086682A">
        <w:rPr>
          <w:rFonts w:asciiTheme="minorHAnsi" w:hAnsiTheme="minorHAnsi" w:cstheme="minorHAnsi"/>
          <w:lang w:val="es-ES"/>
        </w:rPr>
        <w:t>.</w:t>
      </w:r>
    </w:p>
  </w:footnote>
  <w:footnote w:id="5">
    <w:p w14:paraId="18D199F8" w14:textId="77777777" w:rsidR="0086682A" w:rsidRPr="0086682A" w:rsidRDefault="0086682A" w:rsidP="0086682A">
      <w:pPr>
        <w:pStyle w:val="FootnoteText"/>
        <w:jc w:val="both"/>
        <w:rPr>
          <w:rFonts w:asciiTheme="minorHAnsi" w:hAnsiTheme="minorHAnsi" w:cstheme="minorHAnsi"/>
          <w:lang w:val="es-ES"/>
        </w:rPr>
      </w:pPr>
      <w:r w:rsidRPr="0086682A">
        <w:rPr>
          <w:rStyle w:val="FootnoteReference"/>
          <w:rFonts w:asciiTheme="minorHAnsi" w:hAnsiTheme="minorHAnsi" w:cstheme="minorHAnsi"/>
        </w:rPr>
        <w:footnoteRef/>
      </w:r>
      <w:r w:rsidRPr="0086682A">
        <w:rPr>
          <w:rFonts w:asciiTheme="minorHAnsi" w:hAnsiTheme="minorHAnsi" w:cstheme="minorHAnsi"/>
          <w:lang w:val="es-ES"/>
        </w:rPr>
        <w:t xml:space="preserve"> OMS y OPS. </w:t>
      </w:r>
      <w:r w:rsidRPr="0086682A">
        <w:rPr>
          <w:rFonts w:asciiTheme="minorHAnsi" w:hAnsiTheme="minorHAnsi" w:cstheme="minorHAnsi"/>
          <w:i/>
          <w:iCs/>
          <w:lang w:val="es-ES"/>
        </w:rPr>
        <w:t>Las ENT de un vistazo. Mortalidad por enfermedades no transmisibles y prevalencia de sus factores de riesgo en la Región de las Américas</w:t>
      </w:r>
      <w:r w:rsidRPr="0086682A">
        <w:rPr>
          <w:rFonts w:asciiTheme="minorHAnsi" w:hAnsiTheme="minorHAnsi" w:cstheme="minorHAnsi"/>
          <w:lang w:val="es-ES"/>
        </w:rPr>
        <w:t xml:space="preserve">, 2019, pág. 2. Disponible en: </w:t>
      </w:r>
      <w:hyperlink r:id="rId6" w:history="1">
        <w:r w:rsidRPr="0086682A">
          <w:rPr>
            <w:rStyle w:val="Hyperlink"/>
            <w:rFonts w:asciiTheme="minorHAnsi" w:hAnsiTheme="minorHAnsi" w:cstheme="minorHAnsi"/>
            <w:lang w:val="es-ES"/>
          </w:rPr>
          <w:t>https://iris.paho.org/handle/10665.2/51752</w:t>
        </w:r>
      </w:hyperlink>
      <w:r w:rsidRPr="0086682A">
        <w:rPr>
          <w:rFonts w:asciiTheme="minorHAnsi" w:hAnsiTheme="minorHAnsi" w:cstheme="minorHAnsi"/>
          <w:lang w:val="es-ES"/>
        </w:rPr>
        <w:t xml:space="preserve">. </w:t>
      </w:r>
    </w:p>
  </w:footnote>
  <w:footnote w:id="6">
    <w:p w14:paraId="3C0C7D96" w14:textId="77777777" w:rsidR="0086682A" w:rsidRPr="004F08BD" w:rsidRDefault="0086682A" w:rsidP="0086682A">
      <w:pPr>
        <w:pStyle w:val="FootnoteText"/>
        <w:jc w:val="both"/>
        <w:rPr>
          <w:lang w:val="es-ES"/>
        </w:rPr>
      </w:pPr>
      <w:r w:rsidRPr="0086682A">
        <w:rPr>
          <w:rStyle w:val="FootnoteReference"/>
          <w:rFonts w:asciiTheme="minorHAnsi" w:hAnsiTheme="minorHAnsi" w:cstheme="minorHAnsi"/>
        </w:rPr>
        <w:footnoteRef/>
      </w:r>
      <w:r w:rsidRPr="0086682A">
        <w:rPr>
          <w:rFonts w:asciiTheme="minorHAnsi" w:hAnsiTheme="minorHAnsi" w:cstheme="minorHAnsi"/>
          <w:lang w:val="es-ES"/>
        </w:rPr>
        <w:t xml:space="preserve"> OMS y OPS. </w:t>
      </w:r>
      <w:r w:rsidRPr="0086682A">
        <w:rPr>
          <w:rFonts w:asciiTheme="minorHAnsi" w:hAnsiTheme="minorHAnsi" w:cstheme="minorHAnsi"/>
          <w:i/>
          <w:iCs/>
          <w:lang w:val="es-ES"/>
        </w:rPr>
        <w:t>Las ENT de un vistazo. Mortalidad por enfermedades no transmisibles y prevalencia de sus factores de riesgo en la Región de las Américas</w:t>
      </w:r>
      <w:r w:rsidRPr="0086682A">
        <w:rPr>
          <w:rFonts w:asciiTheme="minorHAnsi" w:hAnsiTheme="minorHAnsi" w:cstheme="minorHAnsi"/>
          <w:lang w:val="es-ES"/>
        </w:rPr>
        <w:t xml:space="preserve">, 2019, pág. 4. Disponible en: </w:t>
      </w:r>
      <w:hyperlink r:id="rId7" w:history="1">
        <w:r w:rsidRPr="0086682A">
          <w:rPr>
            <w:rStyle w:val="Hyperlink"/>
            <w:rFonts w:asciiTheme="minorHAnsi" w:hAnsiTheme="minorHAnsi" w:cstheme="minorHAnsi"/>
            <w:lang w:val="es-ES"/>
          </w:rPr>
          <w:t>https://iris.paho.org/handle/10665.2/51752</w:t>
        </w:r>
      </w:hyperlink>
      <w:r w:rsidRPr="0086682A">
        <w:rPr>
          <w:rFonts w:asciiTheme="minorHAnsi" w:hAnsiTheme="minorHAnsi" w:cstheme="minorHAnsi"/>
          <w:lang w:val="es-ES"/>
        </w:rPr>
        <w:t>.</w:t>
      </w:r>
    </w:p>
  </w:footnote>
  <w:footnote w:id="7">
    <w:p w14:paraId="463AA9B3" w14:textId="77777777" w:rsidR="0086682A" w:rsidRPr="0086682A" w:rsidRDefault="0086682A" w:rsidP="0086682A">
      <w:pPr>
        <w:pStyle w:val="FootnoteText"/>
        <w:jc w:val="both"/>
        <w:rPr>
          <w:rFonts w:asciiTheme="minorHAnsi" w:hAnsiTheme="minorHAnsi" w:cstheme="minorHAnsi"/>
          <w:lang w:val="es-MX"/>
        </w:rPr>
      </w:pPr>
      <w:r w:rsidRPr="0086682A">
        <w:rPr>
          <w:rStyle w:val="Ninguno"/>
          <w:rFonts w:asciiTheme="minorHAnsi" w:eastAsia="Times New Roman" w:hAnsiTheme="minorHAnsi" w:cstheme="minorHAnsi"/>
          <w:vertAlign w:val="superscript"/>
          <w:lang w:val="es-ES_tradnl"/>
        </w:rPr>
        <w:footnoteRef/>
      </w:r>
      <w:r w:rsidRPr="0086682A">
        <w:rPr>
          <w:rStyle w:val="Ninguno"/>
          <w:rFonts w:asciiTheme="minorHAnsi" w:hAnsiTheme="minorHAnsi" w:cstheme="minorHAnsi"/>
          <w:lang w:val="es-ES_tradnl"/>
        </w:rPr>
        <w:t xml:space="preserve"> </w:t>
      </w:r>
      <w:r w:rsidRPr="0086682A">
        <w:rPr>
          <w:rStyle w:val="Ninguno"/>
          <w:rFonts w:asciiTheme="minorHAnsi" w:hAnsiTheme="minorHAnsi" w:cstheme="minorHAnsi"/>
          <w:i/>
          <w:iCs/>
          <w:lang w:val="es-ES_tradnl"/>
        </w:rPr>
        <w:t>Véase</w:t>
      </w:r>
      <w:r w:rsidRPr="0086682A">
        <w:rPr>
          <w:rStyle w:val="Ninguno"/>
          <w:rFonts w:asciiTheme="minorHAnsi" w:hAnsiTheme="minorHAnsi" w:cstheme="minorHAnsi"/>
          <w:lang w:val="es-ES_tradnl"/>
        </w:rPr>
        <w:t xml:space="preserve"> OMS y OPS. </w:t>
      </w:r>
      <w:r w:rsidRPr="0086682A">
        <w:rPr>
          <w:rStyle w:val="Ninguno"/>
          <w:rFonts w:asciiTheme="minorHAnsi" w:hAnsiTheme="minorHAnsi" w:cstheme="minorHAnsi"/>
          <w:i/>
          <w:iCs/>
          <w:lang w:val="es-ES_tradnl"/>
        </w:rPr>
        <w:t>Enfermedades no transmisibles</w:t>
      </w:r>
      <w:r w:rsidRPr="0086682A">
        <w:rPr>
          <w:rStyle w:val="Ninguno"/>
          <w:rFonts w:asciiTheme="minorHAnsi" w:hAnsiTheme="minorHAnsi" w:cstheme="minorHAnsi"/>
          <w:lang w:val="es-ES_tradnl"/>
        </w:rPr>
        <w:t xml:space="preserve">. Disponible en: </w:t>
      </w:r>
      <w:hyperlink r:id="rId8" w:history="1">
        <w:r w:rsidRPr="0086682A">
          <w:rPr>
            <w:rStyle w:val="Hyperlink0"/>
            <w:rFonts w:asciiTheme="minorHAnsi" w:eastAsia="Calibri" w:hAnsiTheme="minorHAnsi" w:cstheme="minorHAnsi"/>
          </w:rPr>
          <w:t>https://www.paho.org/es/temas/enfermedades-no-transmisibles</w:t>
        </w:r>
      </w:hyperlink>
      <w:r w:rsidRPr="0086682A">
        <w:rPr>
          <w:rStyle w:val="Ninguno"/>
          <w:rFonts w:asciiTheme="minorHAnsi" w:hAnsiTheme="minorHAnsi" w:cstheme="minorHAnsi"/>
          <w:lang w:val="es-ES_tradnl"/>
        </w:rPr>
        <w:t>.</w:t>
      </w:r>
    </w:p>
  </w:footnote>
  <w:footnote w:id="8">
    <w:p w14:paraId="538D196F" w14:textId="77777777" w:rsidR="0086682A" w:rsidRPr="0086682A" w:rsidRDefault="0086682A" w:rsidP="0086682A">
      <w:pPr>
        <w:pStyle w:val="FootnoteText"/>
        <w:jc w:val="both"/>
        <w:rPr>
          <w:rFonts w:asciiTheme="minorHAnsi" w:hAnsiTheme="minorHAnsi" w:cstheme="minorHAnsi"/>
        </w:rPr>
      </w:pPr>
      <w:r w:rsidRPr="0086682A">
        <w:rPr>
          <w:rStyle w:val="Ninguno"/>
          <w:rFonts w:asciiTheme="minorHAnsi" w:eastAsia="Times New Roman" w:hAnsiTheme="minorHAnsi" w:cstheme="minorHAnsi"/>
          <w:vertAlign w:val="superscript"/>
          <w:lang w:val="es-ES_tradnl"/>
        </w:rPr>
        <w:footnoteRef/>
      </w:r>
      <w:r w:rsidRPr="0086682A">
        <w:rPr>
          <w:rStyle w:val="Ninguno"/>
          <w:rFonts w:asciiTheme="minorHAnsi" w:hAnsiTheme="minorHAnsi" w:cstheme="minorHAnsi"/>
          <w:lang w:val="es-ES_tradnl"/>
        </w:rPr>
        <w:t xml:space="preserve"> </w:t>
      </w:r>
      <w:r w:rsidRPr="0086682A">
        <w:rPr>
          <w:rStyle w:val="Ninguno"/>
          <w:rFonts w:asciiTheme="minorHAnsi" w:hAnsiTheme="minorHAnsi" w:cstheme="minorHAnsi"/>
          <w:i/>
          <w:iCs/>
          <w:lang w:val="es-ES_tradnl"/>
        </w:rPr>
        <w:t>Véase</w:t>
      </w:r>
      <w:r w:rsidRPr="0086682A">
        <w:rPr>
          <w:rStyle w:val="Ninguno"/>
          <w:rFonts w:asciiTheme="minorHAnsi" w:hAnsiTheme="minorHAnsi" w:cstheme="minorHAnsi"/>
          <w:lang w:val="es-ES_tradnl"/>
        </w:rPr>
        <w:t xml:space="preserve"> OMS y OPS. </w:t>
      </w:r>
      <w:r w:rsidRPr="0086682A">
        <w:rPr>
          <w:rStyle w:val="Ninguno"/>
          <w:rFonts w:asciiTheme="minorHAnsi" w:hAnsiTheme="minorHAnsi" w:cstheme="minorHAnsi"/>
          <w:i/>
          <w:iCs/>
          <w:lang w:val="es-ES_tradnl"/>
        </w:rPr>
        <w:t>Enfermedades no transmisibles</w:t>
      </w:r>
      <w:r w:rsidRPr="0086682A">
        <w:rPr>
          <w:rStyle w:val="Ninguno"/>
          <w:rFonts w:asciiTheme="minorHAnsi" w:hAnsiTheme="minorHAnsi" w:cstheme="minorHAnsi"/>
          <w:lang w:val="es-ES_tradnl"/>
        </w:rPr>
        <w:t xml:space="preserve">. </w:t>
      </w:r>
      <w:r w:rsidRPr="0086682A">
        <w:rPr>
          <w:rStyle w:val="Ninguno"/>
          <w:rFonts w:asciiTheme="minorHAnsi" w:hAnsiTheme="minorHAnsi" w:cstheme="minorHAnsi"/>
        </w:rPr>
        <w:t xml:space="preserve">Disponible en: </w:t>
      </w:r>
      <w:hyperlink r:id="rId9" w:history="1">
        <w:r w:rsidRPr="0086682A">
          <w:rPr>
            <w:rStyle w:val="Hyperlink0"/>
            <w:rFonts w:asciiTheme="minorHAnsi" w:eastAsia="Calibri" w:hAnsiTheme="minorHAnsi" w:cstheme="minorHAnsi"/>
          </w:rPr>
          <w:t>https://www.paho.org/es/temas/enfermedades-no-transmisibles</w:t>
        </w:r>
      </w:hyperlink>
      <w:r w:rsidRPr="0086682A">
        <w:rPr>
          <w:rStyle w:val="Ninguno"/>
          <w:rFonts w:asciiTheme="minorHAnsi" w:hAnsiTheme="minorHAnsi" w:cstheme="minorHAnsi"/>
        </w:rPr>
        <w:t>.</w:t>
      </w:r>
    </w:p>
  </w:footnote>
  <w:footnote w:id="9">
    <w:p w14:paraId="67159642" w14:textId="77777777" w:rsidR="0086682A" w:rsidRPr="004F08BD" w:rsidRDefault="0086682A" w:rsidP="0086682A">
      <w:pPr>
        <w:pStyle w:val="FootnoteText"/>
        <w:jc w:val="both"/>
        <w:rPr>
          <w:lang w:val="es-ES"/>
        </w:rPr>
      </w:pPr>
      <w:r w:rsidRPr="0086682A">
        <w:rPr>
          <w:rStyle w:val="Ninguno"/>
          <w:rFonts w:asciiTheme="minorHAnsi" w:hAnsiTheme="minorHAnsi" w:cstheme="minorHAnsi"/>
          <w:vertAlign w:val="superscript"/>
          <w:lang w:val="es-ES_tradnl"/>
        </w:rPr>
        <w:footnoteRef/>
      </w:r>
      <w:r w:rsidRPr="0086682A">
        <w:rPr>
          <w:rFonts w:asciiTheme="minorHAnsi" w:hAnsiTheme="minorHAnsi" w:cstheme="minorHAnsi"/>
        </w:rPr>
        <w:t xml:space="preserve"> Pan American Health Organization. NCDs at a Glance: NCD Mortality and Risk Factor Prevalence in the Americas. </w:t>
      </w:r>
      <w:r w:rsidRPr="0086682A">
        <w:rPr>
          <w:rFonts w:asciiTheme="minorHAnsi" w:hAnsiTheme="minorHAnsi" w:cstheme="minorHAnsi"/>
          <w:lang w:val="es-ES_tradnl"/>
        </w:rPr>
        <w:t xml:space="preserve">Washington, D.C.: PAHO; 2019. Disponible en: </w:t>
      </w:r>
      <w:hyperlink r:id="rId10" w:history="1">
        <w:r w:rsidRPr="0086682A">
          <w:rPr>
            <w:rStyle w:val="Enlace"/>
            <w:rFonts w:asciiTheme="minorHAnsi" w:hAnsiTheme="minorHAnsi" w:cstheme="minorHAnsi"/>
            <w:lang w:val="es-ES_tradnl"/>
          </w:rPr>
          <w:t>https://iris.paho.org/handle/10665.2/51696?locale-attribute=es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91E7" w14:textId="77777777" w:rsidR="00C63F0C" w:rsidRPr="0058688A" w:rsidRDefault="00C63F0C" w:rsidP="00C63F0C">
    <w:pPr>
      <w:pStyle w:val="Header"/>
      <w:jc w:val="center"/>
      <w:rPr>
        <w:lang w:val="es-ES_tradnl"/>
      </w:rPr>
    </w:pPr>
    <w:r>
      <w:rPr>
        <w:noProof/>
        <w:lang w:val="es-UY" w:eastAsia="es-UY"/>
      </w:rPr>
      <w:drawing>
        <wp:inline distT="0" distB="0" distL="0" distR="0" wp14:anchorId="2A2436BB" wp14:editId="4A547EF9">
          <wp:extent cx="2289810" cy="119380"/>
          <wp:effectExtent l="0" t="0" r="0" b="0"/>
          <wp:docPr id="6" name="Picture 1" descr="cidh-pe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19380"/>
                  </a:xfrm>
                  <a:prstGeom prst="rect">
                    <a:avLst/>
                  </a:prstGeom>
                  <a:noFill/>
                  <a:ln>
                    <a:noFill/>
                  </a:ln>
                </pic:spPr>
              </pic:pic>
            </a:graphicData>
          </a:graphic>
        </wp:inline>
      </w:drawing>
    </w:r>
  </w:p>
  <w:p w14:paraId="3D651C97" w14:textId="77777777" w:rsidR="00C63F0C" w:rsidRDefault="00E845EA">
    <w:pPr>
      <w:pStyle w:val="Header"/>
    </w:pPr>
    <w:r>
      <w:rPr>
        <w:noProof/>
      </w:rPr>
      <w:pict w14:anchorId="2697E489">
        <v:rect id="_x0000_i1025" alt="" style="width:7in;height:.05pt;mso-wrap-style:square;mso-width-percent:0;mso-height-percent:0;mso-width-percent:0;mso-height-percent:0;v-text-anchor:top"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5EAD" w14:textId="73164601" w:rsidR="00EC7706" w:rsidRDefault="00EC7706" w:rsidP="00EC7706">
    <w:pPr>
      <w:pStyle w:val="Header"/>
    </w:pPr>
    <w:r>
      <w:rPr>
        <w:noProof/>
        <w:lang w:val="es-UY" w:eastAsia="es-UY"/>
      </w:rPr>
      <w:drawing>
        <wp:anchor distT="0" distB="0" distL="114300" distR="114300" simplePos="0" relativeHeight="251661312" behindDoc="1" locked="0" layoutInCell="1" allowOverlap="1" wp14:anchorId="02A92143" wp14:editId="0C0F939C">
          <wp:simplePos x="0" y="0"/>
          <wp:positionH relativeFrom="column">
            <wp:posOffset>2600325</wp:posOffset>
          </wp:positionH>
          <wp:positionV relativeFrom="paragraph">
            <wp:posOffset>-95250</wp:posOffset>
          </wp:positionV>
          <wp:extent cx="1323975" cy="676275"/>
          <wp:effectExtent l="0" t="0" r="0" b="0"/>
          <wp:wrapThrough wrapText="bothSides">
            <wp:wrapPolygon edited="0">
              <wp:start x="0" y="0"/>
              <wp:lineTo x="0" y="21296"/>
              <wp:lineTo x="21445" y="21296"/>
              <wp:lineTo x="21445" y="0"/>
              <wp:lineTo x="0" y="0"/>
            </wp:wrapPolygon>
          </wp:wrapThrough>
          <wp:docPr id="8" name="Picture 8" descr="C:\Users\MDuarte\Documents\Indíce y cuestionarios\Definitivos\logo sin arbol 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uarte\Documents\Indíce y cuestionarios\Definitivos\logo sin arbol 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1" wp14:anchorId="2D6DA7DC" wp14:editId="38888AFA">
          <wp:simplePos x="0" y="0"/>
          <wp:positionH relativeFrom="column">
            <wp:posOffset>4629150</wp:posOffset>
          </wp:positionH>
          <wp:positionV relativeFrom="paragraph">
            <wp:posOffset>-47625</wp:posOffset>
          </wp:positionV>
          <wp:extent cx="1790700" cy="456565"/>
          <wp:effectExtent l="0" t="0" r="0" b="0"/>
          <wp:wrapThrough wrapText="bothSides">
            <wp:wrapPolygon edited="0">
              <wp:start x="1149" y="0"/>
              <wp:lineTo x="0" y="4506"/>
              <wp:lineTo x="0" y="16223"/>
              <wp:lineTo x="1149" y="20729"/>
              <wp:lineTo x="4136" y="20729"/>
              <wp:lineTo x="21370" y="18025"/>
              <wp:lineTo x="21370" y="3605"/>
              <wp:lineTo x="4136" y="0"/>
              <wp:lineTo x="1149" y="0"/>
            </wp:wrapPolygon>
          </wp:wrapThrough>
          <wp:docPr id="4" name="Picture 4"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_Seal_ESP_Principal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59264" behindDoc="1" locked="0" layoutInCell="1" allowOverlap="1" wp14:anchorId="62CD7651" wp14:editId="3C202DD9">
          <wp:simplePos x="0" y="0"/>
          <wp:positionH relativeFrom="column">
            <wp:posOffset>0</wp:posOffset>
          </wp:positionH>
          <wp:positionV relativeFrom="paragraph">
            <wp:posOffset>9525</wp:posOffset>
          </wp:positionV>
          <wp:extent cx="2047875" cy="398145"/>
          <wp:effectExtent l="0" t="0" r="0" b="0"/>
          <wp:wrapThrough wrapText="bothSides">
            <wp:wrapPolygon edited="0">
              <wp:start x="0" y="0"/>
              <wp:lineTo x="0" y="20670"/>
              <wp:lineTo x="21500" y="20670"/>
              <wp:lineTo x="21500" y="0"/>
              <wp:lineTo x="0" y="0"/>
            </wp:wrapPolygon>
          </wp:wrapThrough>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3981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9300E67" w14:textId="77777777" w:rsidR="00EC7706" w:rsidRDefault="00EC7706" w:rsidP="00EC7706">
    <w:pPr>
      <w:pStyle w:val="Header"/>
    </w:pPr>
  </w:p>
  <w:p w14:paraId="73A5737C" w14:textId="77777777" w:rsidR="00EC7706" w:rsidRDefault="00EC7706" w:rsidP="00EC7706">
    <w:pPr>
      <w:pStyle w:val="Header"/>
    </w:pPr>
  </w:p>
  <w:p w14:paraId="2D4C55BB" w14:textId="77777777" w:rsidR="00EC7706" w:rsidRDefault="00E845EA" w:rsidP="00EC7706">
    <w:pPr>
      <w:pStyle w:val="Header"/>
    </w:pPr>
    <w:r>
      <w:rPr>
        <w:noProof/>
      </w:rPr>
      <w:pict w14:anchorId="7F40F8A2">
        <v:rect id="_x0000_i1026" alt="" style="width:468pt;height:.05pt;mso-width-percent:0;mso-height-percent:0;mso-width-percent:0;mso-height-percent:0" o:hralign="center" o:hrstd="t" o:hr="t" fillcolor="#a0a0a0" stroked="f"/>
      </w:pict>
    </w:r>
  </w:p>
  <w:p w14:paraId="6551D7AC" w14:textId="40AB31FA" w:rsidR="00C63F0C" w:rsidRPr="00EC7706" w:rsidRDefault="00C63F0C" w:rsidP="00EC7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1AD7"/>
    <w:multiLevelType w:val="hybridMultilevel"/>
    <w:tmpl w:val="8B887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37184"/>
    <w:multiLevelType w:val="hybridMultilevel"/>
    <w:tmpl w:val="378075C4"/>
    <w:styleLink w:val="Estiloimportado7"/>
    <w:lvl w:ilvl="0" w:tplc="71D200D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01442">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22C6A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1E2A3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6867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6A822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00BE7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EA6CD0">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E6E846">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5935B2"/>
    <w:multiLevelType w:val="multilevel"/>
    <w:tmpl w:val="5AB8D2FC"/>
    <w:numStyleLink w:val="Estiloimportado1"/>
  </w:abstractNum>
  <w:abstractNum w:abstractNumId="3" w15:restartNumberingAfterBreak="0">
    <w:nsid w:val="162D6F5D"/>
    <w:multiLevelType w:val="multilevel"/>
    <w:tmpl w:val="1EA61B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7740026"/>
    <w:multiLevelType w:val="hybridMultilevel"/>
    <w:tmpl w:val="6568CEF0"/>
    <w:numStyleLink w:val="Estiloimportado8"/>
  </w:abstractNum>
  <w:abstractNum w:abstractNumId="5" w15:restartNumberingAfterBreak="0">
    <w:nsid w:val="1E987740"/>
    <w:multiLevelType w:val="hybridMultilevel"/>
    <w:tmpl w:val="6568CEF0"/>
    <w:styleLink w:val="Estiloimportado8"/>
    <w:lvl w:ilvl="0" w:tplc="63D4439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D4EB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EEF44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5947DA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F8001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A89B2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E76D59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B27BF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E65F94">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F47143"/>
    <w:multiLevelType w:val="hybridMultilevel"/>
    <w:tmpl w:val="9E3A9AF8"/>
    <w:numStyleLink w:val="Estiloimportado4"/>
  </w:abstractNum>
  <w:abstractNum w:abstractNumId="7" w15:restartNumberingAfterBreak="0">
    <w:nsid w:val="258224EA"/>
    <w:multiLevelType w:val="multilevel"/>
    <w:tmpl w:val="9AECB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9E72CC3"/>
    <w:multiLevelType w:val="multilevel"/>
    <w:tmpl w:val="CF50E8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FB04010"/>
    <w:multiLevelType w:val="multilevel"/>
    <w:tmpl w:val="BAA4BF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3AD2618"/>
    <w:multiLevelType w:val="multilevel"/>
    <w:tmpl w:val="5498E7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6977BDD"/>
    <w:multiLevelType w:val="hybridMultilevel"/>
    <w:tmpl w:val="33966C2C"/>
    <w:styleLink w:val="Estiloimportado3"/>
    <w:lvl w:ilvl="0" w:tplc="5EC05C2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60E8D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7454A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3DAAB3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78D7D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E2FFF6">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6B6671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D0A19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3A8D3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9DB3B75"/>
    <w:multiLevelType w:val="hybridMultilevel"/>
    <w:tmpl w:val="F6A6001C"/>
    <w:lvl w:ilvl="0" w:tplc="4B1CE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585A0B"/>
    <w:multiLevelType w:val="hybridMultilevel"/>
    <w:tmpl w:val="2B06E20C"/>
    <w:styleLink w:val="Estiloimportado5"/>
    <w:lvl w:ilvl="0" w:tplc="9BBCF37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0E805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F6D5E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E86BD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6C27C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D2D3F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722D7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4C63BC">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087C7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6A3333"/>
    <w:multiLevelType w:val="multilevel"/>
    <w:tmpl w:val="CB10C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A8A652B"/>
    <w:multiLevelType w:val="hybridMultilevel"/>
    <w:tmpl w:val="0472F388"/>
    <w:lvl w:ilvl="0" w:tplc="280A000F">
      <w:start w:val="1"/>
      <w:numFmt w:val="decimal"/>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BA70823"/>
    <w:multiLevelType w:val="multilevel"/>
    <w:tmpl w:val="C464BD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FF54220"/>
    <w:multiLevelType w:val="hybridMultilevel"/>
    <w:tmpl w:val="378075C4"/>
    <w:numStyleLink w:val="Estiloimportado7"/>
  </w:abstractNum>
  <w:abstractNum w:abstractNumId="18" w15:restartNumberingAfterBreak="0">
    <w:nsid w:val="501E60F4"/>
    <w:multiLevelType w:val="hybridMultilevel"/>
    <w:tmpl w:val="5AEEDD9A"/>
    <w:styleLink w:val="Estiloimportado6"/>
    <w:lvl w:ilvl="0" w:tplc="16F06B6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A6B82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D0095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BA04E6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B8CEC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A6339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D2453F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BA4EF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8CFEB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09B1EC9"/>
    <w:multiLevelType w:val="hybridMultilevel"/>
    <w:tmpl w:val="9E3A9AF8"/>
    <w:styleLink w:val="Estiloimportado4"/>
    <w:lvl w:ilvl="0" w:tplc="AE56ABA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784E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2E01B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A2E14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947C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9AA65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E06C0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36C53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84B4B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6BB7A4E"/>
    <w:multiLevelType w:val="hybridMultilevel"/>
    <w:tmpl w:val="5A86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D3F59"/>
    <w:multiLevelType w:val="hybridMultilevel"/>
    <w:tmpl w:val="03262D3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5E96B1E"/>
    <w:multiLevelType w:val="hybridMultilevel"/>
    <w:tmpl w:val="5AB8D2FC"/>
    <w:styleLink w:val="Estiloimportado1"/>
    <w:lvl w:ilvl="0" w:tplc="A98875B0">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B4C7DF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9E2D5C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BE58E00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DDAF6D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6CCCBEC">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964E13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C16E62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37433B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87513E8"/>
    <w:multiLevelType w:val="hybridMultilevel"/>
    <w:tmpl w:val="5AEEDD9A"/>
    <w:numStyleLink w:val="Estiloimportado6"/>
  </w:abstractNum>
  <w:abstractNum w:abstractNumId="24" w15:restartNumberingAfterBreak="0">
    <w:nsid w:val="69FC3AC6"/>
    <w:multiLevelType w:val="multilevel"/>
    <w:tmpl w:val="15BAEB3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B974E10"/>
    <w:multiLevelType w:val="hybridMultilevel"/>
    <w:tmpl w:val="AA448A1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7012B61"/>
    <w:multiLevelType w:val="hybridMultilevel"/>
    <w:tmpl w:val="33966C2C"/>
    <w:numStyleLink w:val="Estiloimportado3"/>
  </w:abstractNum>
  <w:abstractNum w:abstractNumId="27" w15:restartNumberingAfterBreak="0">
    <w:nsid w:val="79631D04"/>
    <w:multiLevelType w:val="hybridMultilevel"/>
    <w:tmpl w:val="2B06E20C"/>
    <w:numStyleLink w:val="Estiloimportado5"/>
  </w:abstractNum>
  <w:num w:numId="1" w16cid:durableId="1597860064">
    <w:abstractNumId w:val="21"/>
  </w:num>
  <w:num w:numId="2" w16cid:durableId="240602869">
    <w:abstractNumId w:val="15"/>
  </w:num>
  <w:num w:numId="3" w16cid:durableId="1595943358">
    <w:abstractNumId w:val="25"/>
  </w:num>
  <w:num w:numId="4" w16cid:durableId="1847672177">
    <w:abstractNumId w:val="20"/>
  </w:num>
  <w:num w:numId="5" w16cid:durableId="2065136607">
    <w:abstractNumId w:val="0"/>
  </w:num>
  <w:num w:numId="6" w16cid:durableId="1605649802">
    <w:abstractNumId w:val="12"/>
  </w:num>
  <w:num w:numId="7" w16cid:durableId="40860626">
    <w:abstractNumId w:val="8"/>
  </w:num>
  <w:num w:numId="8" w16cid:durableId="59138918">
    <w:abstractNumId w:val="24"/>
  </w:num>
  <w:num w:numId="9" w16cid:durableId="413472547">
    <w:abstractNumId w:val="10"/>
  </w:num>
  <w:num w:numId="10" w16cid:durableId="1497376365">
    <w:abstractNumId w:val="16"/>
  </w:num>
  <w:num w:numId="11" w16cid:durableId="1881940602">
    <w:abstractNumId w:val="9"/>
  </w:num>
  <w:num w:numId="12" w16cid:durableId="1811437811">
    <w:abstractNumId w:val="3"/>
  </w:num>
  <w:num w:numId="13" w16cid:durableId="655957068">
    <w:abstractNumId w:val="14"/>
  </w:num>
  <w:num w:numId="14" w16cid:durableId="1039208531">
    <w:abstractNumId w:val="7"/>
  </w:num>
  <w:num w:numId="15" w16cid:durableId="95903526">
    <w:abstractNumId w:val="22"/>
  </w:num>
  <w:num w:numId="16" w16cid:durableId="264846446">
    <w:abstractNumId w:val="2"/>
  </w:num>
  <w:num w:numId="17" w16cid:durableId="419375400">
    <w:abstractNumId w:val="11"/>
  </w:num>
  <w:num w:numId="18" w16cid:durableId="501818659">
    <w:abstractNumId w:val="26"/>
  </w:num>
  <w:num w:numId="19" w16cid:durableId="1734232957">
    <w:abstractNumId w:val="19"/>
  </w:num>
  <w:num w:numId="20" w16cid:durableId="1082414070">
    <w:abstractNumId w:val="6"/>
  </w:num>
  <w:num w:numId="21" w16cid:durableId="1566258240">
    <w:abstractNumId w:val="13"/>
  </w:num>
  <w:num w:numId="22" w16cid:durableId="1066031234">
    <w:abstractNumId w:val="27"/>
  </w:num>
  <w:num w:numId="23" w16cid:durableId="47069252">
    <w:abstractNumId w:val="6"/>
    <w:lvlOverride w:ilvl="0">
      <w:startOverride w:val="2"/>
    </w:lvlOverride>
  </w:num>
  <w:num w:numId="24" w16cid:durableId="1932884737">
    <w:abstractNumId w:val="26"/>
    <w:lvlOverride w:ilvl="0">
      <w:startOverride w:val="2"/>
    </w:lvlOverride>
  </w:num>
  <w:num w:numId="25" w16cid:durableId="132211319">
    <w:abstractNumId w:val="18"/>
  </w:num>
  <w:num w:numId="26" w16cid:durableId="1056320884">
    <w:abstractNumId w:val="23"/>
  </w:num>
  <w:num w:numId="27" w16cid:durableId="166598399">
    <w:abstractNumId w:val="1"/>
  </w:num>
  <w:num w:numId="28" w16cid:durableId="1734700146">
    <w:abstractNumId w:val="17"/>
  </w:num>
  <w:num w:numId="29" w16cid:durableId="1711035056">
    <w:abstractNumId w:val="23"/>
    <w:lvlOverride w:ilvl="0">
      <w:startOverride w:val="2"/>
    </w:lvlOverride>
  </w:num>
  <w:num w:numId="30" w16cid:durableId="1494830011">
    <w:abstractNumId w:val="26"/>
    <w:lvlOverride w:ilvl="0">
      <w:startOverride w:val="3"/>
    </w:lvlOverride>
  </w:num>
  <w:num w:numId="31" w16cid:durableId="1455321474">
    <w:abstractNumId w:val="5"/>
  </w:num>
  <w:num w:numId="32" w16cid:durableId="1441753502">
    <w:abstractNumId w:val="4"/>
  </w:num>
  <w:num w:numId="33" w16cid:durableId="1007438117">
    <w:abstractNumId w:val="4"/>
    <w:lvlOverride w:ilvl="0">
      <w:startOverride w:val="2"/>
    </w:lvlOverride>
  </w:num>
  <w:num w:numId="34" w16cid:durableId="1277521824">
    <w:abstractNumId w:val="26"/>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252D"/>
    <w:rsid w:val="00002758"/>
    <w:rsid w:val="000266EB"/>
    <w:rsid w:val="0004252D"/>
    <w:rsid w:val="00046B47"/>
    <w:rsid w:val="00046CB1"/>
    <w:rsid w:val="00046DE9"/>
    <w:rsid w:val="0004798D"/>
    <w:rsid w:val="000521BC"/>
    <w:rsid w:val="000528FE"/>
    <w:rsid w:val="00075FE1"/>
    <w:rsid w:val="000C360C"/>
    <w:rsid w:val="000F38D2"/>
    <w:rsid w:val="00141AB4"/>
    <w:rsid w:val="00194B48"/>
    <w:rsid w:val="001A62B9"/>
    <w:rsid w:val="001B168A"/>
    <w:rsid w:val="001E293F"/>
    <w:rsid w:val="001F2869"/>
    <w:rsid w:val="00206B45"/>
    <w:rsid w:val="00246F98"/>
    <w:rsid w:val="0026314C"/>
    <w:rsid w:val="00264E2D"/>
    <w:rsid w:val="002C4B42"/>
    <w:rsid w:val="002C7E52"/>
    <w:rsid w:val="002D6D75"/>
    <w:rsid w:val="002F060C"/>
    <w:rsid w:val="00315983"/>
    <w:rsid w:val="00352655"/>
    <w:rsid w:val="00370E8C"/>
    <w:rsid w:val="003812B4"/>
    <w:rsid w:val="00392AE2"/>
    <w:rsid w:val="00395981"/>
    <w:rsid w:val="003D5395"/>
    <w:rsid w:val="003E2C3C"/>
    <w:rsid w:val="0041381D"/>
    <w:rsid w:val="00485219"/>
    <w:rsid w:val="004B4696"/>
    <w:rsid w:val="004C041C"/>
    <w:rsid w:val="004D6A71"/>
    <w:rsid w:val="004D7369"/>
    <w:rsid w:val="004E1A2F"/>
    <w:rsid w:val="00522D31"/>
    <w:rsid w:val="00532FB7"/>
    <w:rsid w:val="00535762"/>
    <w:rsid w:val="00535845"/>
    <w:rsid w:val="00536A2C"/>
    <w:rsid w:val="00556A4A"/>
    <w:rsid w:val="0056101F"/>
    <w:rsid w:val="00572FB6"/>
    <w:rsid w:val="00573224"/>
    <w:rsid w:val="00576A96"/>
    <w:rsid w:val="00585DCE"/>
    <w:rsid w:val="00587714"/>
    <w:rsid w:val="0059604A"/>
    <w:rsid w:val="005B1E5E"/>
    <w:rsid w:val="0060091F"/>
    <w:rsid w:val="006731C9"/>
    <w:rsid w:val="00676C68"/>
    <w:rsid w:val="00684AEA"/>
    <w:rsid w:val="00686FC4"/>
    <w:rsid w:val="00707AE5"/>
    <w:rsid w:val="00711074"/>
    <w:rsid w:val="0079549E"/>
    <w:rsid w:val="007A56CC"/>
    <w:rsid w:val="007A67A1"/>
    <w:rsid w:val="007E43D4"/>
    <w:rsid w:val="00803DE8"/>
    <w:rsid w:val="00811002"/>
    <w:rsid w:val="00817DF0"/>
    <w:rsid w:val="0083274E"/>
    <w:rsid w:val="00852857"/>
    <w:rsid w:val="00856780"/>
    <w:rsid w:val="0086682A"/>
    <w:rsid w:val="00870EE7"/>
    <w:rsid w:val="00871C02"/>
    <w:rsid w:val="00894B52"/>
    <w:rsid w:val="00896CC5"/>
    <w:rsid w:val="00897D1C"/>
    <w:rsid w:val="008E223B"/>
    <w:rsid w:val="00902CD7"/>
    <w:rsid w:val="009342EF"/>
    <w:rsid w:val="00944530"/>
    <w:rsid w:val="00976D8C"/>
    <w:rsid w:val="009B3A03"/>
    <w:rsid w:val="009C720D"/>
    <w:rsid w:val="009F262B"/>
    <w:rsid w:val="00A17265"/>
    <w:rsid w:val="00A37F95"/>
    <w:rsid w:val="00A56410"/>
    <w:rsid w:val="00A61B7C"/>
    <w:rsid w:val="00A64FED"/>
    <w:rsid w:val="00A71728"/>
    <w:rsid w:val="00A820E8"/>
    <w:rsid w:val="00AA48E8"/>
    <w:rsid w:val="00AB2502"/>
    <w:rsid w:val="00AC50FF"/>
    <w:rsid w:val="00B13A5D"/>
    <w:rsid w:val="00B13D54"/>
    <w:rsid w:val="00B14CD8"/>
    <w:rsid w:val="00B37269"/>
    <w:rsid w:val="00B45339"/>
    <w:rsid w:val="00B66372"/>
    <w:rsid w:val="00BA3649"/>
    <w:rsid w:val="00BB3CA6"/>
    <w:rsid w:val="00BD5972"/>
    <w:rsid w:val="00BE10B7"/>
    <w:rsid w:val="00BE59F3"/>
    <w:rsid w:val="00C00EB0"/>
    <w:rsid w:val="00C05E0F"/>
    <w:rsid w:val="00C34471"/>
    <w:rsid w:val="00C62E87"/>
    <w:rsid w:val="00C63F0C"/>
    <w:rsid w:val="00C6656A"/>
    <w:rsid w:val="00C679D3"/>
    <w:rsid w:val="00C838B1"/>
    <w:rsid w:val="00C90C59"/>
    <w:rsid w:val="00C912EC"/>
    <w:rsid w:val="00C938F4"/>
    <w:rsid w:val="00CA29CB"/>
    <w:rsid w:val="00CC648C"/>
    <w:rsid w:val="00CD3962"/>
    <w:rsid w:val="00D0422E"/>
    <w:rsid w:val="00D265C5"/>
    <w:rsid w:val="00D42603"/>
    <w:rsid w:val="00D45B72"/>
    <w:rsid w:val="00D5036E"/>
    <w:rsid w:val="00D6073D"/>
    <w:rsid w:val="00D9138F"/>
    <w:rsid w:val="00D9776B"/>
    <w:rsid w:val="00DA3D8E"/>
    <w:rsid w:val="00DF50CA"/>
    <w:rsid w:val="00E23D64"/>
    <w:rsid w:val="00E316CF"/>
    <w:rsid w:val="00E333E3"/>
    <w:rsid w:val="00E35C1A"/>
    <w:rsid w:val="00E56A9C"/>
    <w:rsid w:val="00E60477"/>
    <w:rsid w:val="00E73F27"/>
    <w:rsid w:val="00E77549"/>
    <w:rsid w:val="00E845EA"/>
    <w:rsid w:val="00E90452"/>
    <w:rsid w:val="00EB0F77"/>
    <w:rsid w:val="00EC7706"/>
    <w:rsid w:val="00F0307D"/>
    <w:rsid w:val="00F06EF9"/>
    <w:rsid w:val="00F31728"/>
    <w:rsid w:val="00F3768F"/>
    <w:rsid w:val="00F651D6"/>
    <w:rsid w:val="00F92F7F"/>
    <w:rsid w:val="00FA2D45"/>
    <w:rsid w:val="00FC7AEA"/>
    <w:rsid w:val="00FE21E8"/>
    <w:rsid w:val="00FE5F7F"/>
    <w:rsid w:val="00FE5F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78D96"/>
  <w15:docId w15:val="{19DA9E31-4B83-9B44-BDA4-080E6BF6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2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4252D"/>
    <w:pPr>
      <w:keepNext/>
      <w:spacing w:before="240" w:after="60"/>
      <w:outlineLvl w:val="0"/>
    </w:pPr>
    <w:rPr>
      <w:rFonts w:ascii="Calibri Light" w:eastAsia="Times New Roman" w:hAnsi="Calibri Light"/>
      <w:b/>
      <w:bCs/>
      <w:kern w:val="32"/>
      <w:sz w:val="32"/>
      <w:szCs w:val="32"/>
    </w:rPr>
  </w:style>
  <w:style w:type="paragraph" w:styleId="Heading4">
    <w:name w:val="heading 4"/>
    <w:basedOn w:val="Normal"/>
    <w:next w:val="Normal"/>
    <w:link w:val="Heading4Char"/>
    <w:uiPriority w:val="9"/>
    <w:unhideWhenUsed/>
    <w:qFormat/>
    <w:rsid w:val="0004252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aliases w:val="Heading 4 bis"/>
    <w:basedOn w:val="Normal"/>
    <w:next w:val="Normal"/>
    <w:link w:val="FootnoteReference"/>
    <w:autoRedefine/>
    <w:uiPriority w:val="99"/>
    <w:qFormat/>
    <w:rsid w:val="0004252D"/>
    <w:pPr>
      <w:keepNext/>
      <w:tabs>
        <w:tab w:val="num" w:pos="851"/>
      </w:tabs>
      <w:spacing w:after="0" w:line="240" w:lineRule="auto"/>
      <w:ind w:left="408"/>
      <w:outlineLvl w:val="4"/>
    </w:pPr>
    <w:rPr>
      <w:sz w:val="20"/>
      <w:szCs w:val="20"/>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52D"/>
    <w:rPr>
      <w:rFonts w:ascii="Calibri Light" w:eastAsia="Times New Roman" w:hAnsi="Calibri Light" w:cs="Times New Roman"/>
      <w:b/>
      <w:bCs/>
      <w:kern w:val="32"/>
      <w:sz w:val="32"/>
      <w:szCs w:val="32"/>
    </w:rPr>
  </w:style>
  <w:style w:type="character" w:customStyle="1" w:styleId="Heading4Char">
    <w:name w:val="Heading 4 Char"/>
    <w:basedOn w:val="DefaultParagraphFont"/>
    <w:link w:val="Heading4"/>
    <w:uiPriority w:val="9"/>
    <w:rsid w:val="0004252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uiPriority w:val="9"/>
    <w:semiHidden/>
    <w:rsid w:val="0004252D"/>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04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52D"/>
    <w:rPr>
      <w:rFonts w:ascii="Calibri" w:eastAsia="Calibri" w:hAnsi="Calibri" w:cs="Times New Roman"/>
    </w:rPr>
  </w:style>
  <w:style w:type="paragraph" w:styleId="Footer">
    <w:name w:val="footer"/>
    <w:basedOn w:val="Normal"/>
    <w:link w:val="FooterChar"/>
    <w:uiPriority w:val="99"/>
    <w:unhideWhenUsed/>
    <w:rsid w:val="0004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52D"/>
    <w:rPr>
      <w:rFonts w:ascii="Calibri" w:eastAsia="Calibri" w:hAnsi="Calibri" w:cs="Times New Roman"/>
    </w:rPr>
  </w:style>
  <w:style w:type="paragraph" w:styleId="ListParagraph">
    <w:name w:val="List Paragraph"/>
    <w:qFormat/>
    <w:rsid w:val="0004252D"/>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FootnoteTextChar"/>
    <w:uiPriority w:val="99"/>
    <w:unhideWhenUsed/>
    <w:qFormat/>
    <w:rsid w:val="0004252D"/>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04252D"/>
    <w:rPr>
      <w:rFonts w:ascii="Times New Roman" w:eastAsia="Calibri" w:hAnsi="Times New Roman" w:cs="Times New Roman"/>
      <w:sz w:val="20"/>
      <w:szCs w:val="20"/>
    </w:rPr>
  </w:style>
  <w:style w:type="character" w:styleId="FootnoteReference">
    <w:name w:val="footnote reference"/>
    <w:aliases w:val="Heading 5 Char1,Heading 4 bis Char"/>
    <w:link w:val="Heading5"/>
    <w:uiPriority w:val="99"/>
    <w:unhideWhenUsed/>
    <w:qFormat/>
    <w:rsid w:val="0004252D"/>
    <w:rPr>
      <w:rFonts w:ascii="Calibri" w:eastAsia="Calibri" w:hAnsi="Calibri" w:cs="Times New Roman"/>
      <w:sz w:val="20"/>
      <w:szCs w:val="20"/>
      <w:vertAlign w:val="superscript"/>
    </w:rPr>
  </w:style>
  <w:style w:type="character" w:styleId="Hyperlink">
    <w:name w:val="Hyperlink"/>
    <w:aliases w:val="Heading 2 Char1,Apple Heading 2 Char1"/>
    <w:uiPriority w:val="99"/>
    <w:rsid w:val="0004252D"/>
    <w:rPr>
      <w:rFonts w:cs="Times New Roman"/>
      <w:color w:val="0000FF"/>
      <w:u w:val="single"/>
    </w:rPr>
  </w:style>
  <w:style w:type="paragraph" w:customStyle="1" w:styleId="Corpo">
    <w:name w:val="Corpo"/>
    <w:rsid w:val="0004252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rPr>
  </w:style>
  <w:style w:type="character" w:styleId="CommentReference">
    <w:name w:val="annotation reference"/>
    <w:uiPriority w:val="99"/>
    <w:semiHidden/>
    <w:unhideWhenUsed/>
    <w:rsid w:val="0004252D"/>
    <w:rPr>
      <w:sz w:val="16"/>
      <w:szCs w:val="16"/>
    </w:rPr>
  </w:style>
  <w:style w:type="paragraph" w:styleId="CommentText">
    <w:name w:val="annotation text"/>
    <w:basedOn w:val="Normal"/>
    <w:link w:val="CommentTextChar"/>
    <w:uiPriority w:val="99"/>
    <w:unhideWhenUsed/>
    <w:rsid w:val="0004252D"/>
    <w:rPr>
      <w:sz w:val="20"/>
      <w:szCs w:val="20"/>
    </w:rPr>
  </w:style>
  <w:style w:type="character" w:customStyle="1" w:styleId="CommentTextChar">
    <w:name w:val="Comment Text Char"/>
    <w:basedOn w:val="DefaultParagraphFont"/>
    <w:link w:val="CommentText"/>
    <w:uiPriority w:val="99"/>
    <w:rsid w:val="0004252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42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52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41381D"/>
    <w:pPr>
      <w:spacing w:line="240" w:lineRule="auto"/>
    </w:pPr>
    <w:rPr>
      <w:b/>
      <w:bCs/>
    </w:rPr>
  </w:style>
  <w:style w:type="character" w:customStyle="1" w:styleId="CommentSubjectChar">
    <w:name w:val="Comment Subject Char"/>
    <w:basedOn w:val="CommentTextChar"/>
    <w:link w:val="CommentSubject"/>
    <w:uiPriority w:val="99"/>
    <w:semiHidden/>
    <w:rsid w:val="0041381D"/>
    <w:rPr>
      <w:rFonts w:ascii="Calibri" w:eastAsia="Calibri" w:hAnsi="Calibri" w:cs="Times New Roman"/>
      <w:b/>
      <w:bCs/>
      <w:sz w:val="20"/>
      <w:szCs w:val="20"/>
    </w:rPr>
  </w:style>
  <w:style w:type="character" w:customStyle="1" w:styleId="Mencinsinresolver1">
    <w:name w:val="Mención sin resolver1"/>
    <w:basedOn w:val="DefaultParagraphFont"/>
    <w:uiPriority w:val="99"/>
    <w:semiHidden/>
    <w:unhideWhenUsed/>
    <w:rsid w:val="00B13A5D"/>
    <w:rPr>
      <w:color w:val="605E5C"/>
      <w:shd w:val="clear" w:color="auto" w:fill="E1DFDD"/>
    </w:rPr>
  </w:style>
  <w:style w:type="table" w:styleId="TableGrid">
    <w:name w:val="Table Grid"/>
    <w:basedOn w:val="TableNormal"/>
    <w:rsid w:val="009342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86682A"/>
  </w:style>
  <w:style w:type="paragraph" w:customStyle="1" w:styleId="Cuerpo">
    <w:name w:val="Cuerpo"/>
    <w:rsid w:val="0086682A"/>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rPr>
  </w:style>
  <w:style w:type="numbering" w:customStyle="1" w:styleId="Estiloimportado1">
    <w:name w:val="Estilo importado 1"/>
    <w:rsid w:val="0086682A"/>
    <w:pPr>
      <w:numPr>
        <w:numId w:val="15"/>
      </w:numPr>
    </w:pPr>
  </w:style>
  <w:style w:type="character" w:customStyle="1" w:styleId="Enlace">
    <w:name w:val="Enlace"/>
    <w:rsid w:val="0086682A"/>
    <w:rPr>
      <w:outline w:val="0"/>
      <w:color w:val="0563C1"/>
      <w:u w:val="single" w:color="0563C1"/>
    </w:rPr>
  </w:style>
  <w:style w:type="character" w:customStyle="1" w:styleId="Hyperlink0">
    <w:name w:val="Hyperlink.0"/>
    <w:basedOn w:val="Enlace"/>
    <w:rsid w:val="0086682A"/>
    <w:rPr>
      <w:rFonts w:ascii="Times New Roman" w:eastAsia="Times New Roman" w:hAnsi="Times New Roman" w:cs="Times New Roman"/>
      <w:outline w:val="0"/>
      <w:color w:val="0563C1"/>
      <w:u w:val="single" w:color="0563C1"/>
      <w:lang w:val="es-ES_tradnl"/>
    </w:rPr>
  </w:style>
  <w:style w:type="numbering" w:customStyle="1" w:styleId="Estiloimportado3">
    <w:name w:val="Estilo importado 3"/>
    <w:rsid w:val="0086682A"/>
    <w:pPr>
      <w:numPr>
        <w:numId w:val="17"/>
      </w:numPr>
    </w:pPr>
  </w:style>
  <w:style w:type="numbering" w:customStyle="1" w:styleId="Estiloimportado4">
    <w:name w:val="Estilo importado 4"/>
    <w:rsid w:val="0086682A"/>
    <w:pPr>
      <w:numPr>
        <w:numId w:val="19"/>
      </w:numPr>
    </w:pPr>
  </w:style>
  <w:style w:type="numbering" w:customStyle="1" w:styleId="Estiloimportado5">
    <w:name w:val="Estilo importado 5"/>
    <w:rsid w:val="0086682A"/>
    <w:pPr>
      <w:numPr>
        <w:numId w:val="21"/>
      </w:numPr>
    </w:pPr>
  </w:style>
  <w:style w:type="numbering" w:customStyle="1" w:styleId="Estiloimportado6">
    <w:name w:val="Estilo importado 6"/>
    <w:rsid w:val="0086682A"/>
    <w:pPr>
      <w:numPr>
        <w:numId w:val="25"/>
      </w:numPr>
    </w:pPr>
  </w:style>
  <w:style w:type="numbering" w:customStyle="1" w:styleId="Estiloimportado7">
    <w:name w:val="Estilo importado 7"/>
    <w:rsid w:val="0086682A"/>
    <w:pPr>
      <w:numPr>
        <w:numId w:val="27"/>
      </w:numPr>
    </w:pPr>
  </w:style>
  <w:style w:type="numbering" w:customStyle="1" w:styleId="Estiloimportado8">
    <w:name w:val="Estilo importado 8"/>
    <w:rsid w:val="0086682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DH_DESCA@o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paho.org/es/temas/enfermedades-no-transmisibles" TargetMode="External"/><Relationship Id="rId3" Type="http://schemas.openxmlformats.org/officeDocument/2006/relationships/hyperlink" Target="https://apps.who.int/iris/bitstream/handle/10665/259806/9789243513027-spa.pdf?sequence=1" TargetMode="External"/><Relationship Id="rId7" Type="http://schemas.openxmlformats.org/officeDocument/2006/relationships/hyperlink" Target="https://iris.paho.org/handle/10665.2/51752" TargetMode="External"/><Relationship Id="rId2" Type="http://schemas.openxmlformats.org/officeDocument/2006/relationships/hyperlink" Target="https://iris.paho.org/handle/10665.2/50833" TargetMode="External"/><Relationship Id="rId1" Type="http://schemas.openxmlformats.org/officeDocument/2006/relationships/hyperlink" Target="https://iris.paho.org/handle/10665.2/51752" TargetMode="External"/><Relationship Id="rId6" Type="http://schemas.openxmlformats.org/officeDocument/2006/relationships/hyperlink" Target="https://iris.paho.org/handle/10665.2/51752" TargetMode="External"/><Relationship Id="rId5" Type="http://schemas.openxmlformats.org/officeDocument/2006/relationships/hyperlink" Target="https://www.paho.org/es/temas/enfermedades-no-transmisibles" TargetMode="External"/><Relationship Id="rId10" Type="http://schemas.openxmlformats.org/officeDocument/2006/relationships/hyperlink" Target="https://iris.paho.org/handle/10665.2/51696?locale-attribute=es" TargetMode="External"/><Relationship Id="rId4" Type="http://schemas.openxmlformats.org/officeDocument/2006/relationships/hyperlink" Target="https://www.who.int/es/publications/i/item/ncd-progress-monitor-2020" TargetMode="External"/><Relationship Id="rId9" Type="http://schemas.openxmlformats.org/officeDocument/2006/relationships/hyperlink" Target="https://www.paho.org/es/temas/enfermedades-no-transmisib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EE3E-9580-4D86-B65F-2B7267AF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1434</Words>
  <Characters>8178</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Duarte, Maximiliano</dc:creator>
  <cp:lastModifiedBy>Seminario, Javier</cp:lastModifiedBy>
  <cp:revision>15</cp:revision>
  <cp:lastPrinted>2019-08-26T19:10:00Z</cp:lastPrinted>
  <dcterms:created xsi:type="dcterms:W3CDTF">2019-10-24T17:32:00Z</dcterms:created>
  <dcterms:modified xsi:type="dcterms:W3CDTF">2023-01-30T16:59:00Z</dcterms:modified>
</cp:coreProperties>
</file>